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2228" w:rsidRPr="00B17BC5" w:rsidRDefault="00171978" w:rsidP="00B17BC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Н. М. Торчинська</w:t>
      </w:r>
    </w:p>
    <w:p w:rsidR="00203B8D" w:rsidRPr="00B17BC5" w:rsidRDefault="00203B8D" w:rsidP="00B17BC5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к.філол.н., доцент кафедри слов’янської філо</w:t>
      </w:r>
      <w:r w:rsidR="00C12338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л</w:t>
      </w:r>
      <w:r w:rsidRPr="00B17BC5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огії</w:t>
      </w:r>
    </w:p>
    <w:p w:rsidR="00203B8D" w:rsidRPr="00B17BC5" w:rsidRDefault="00203B8D" w:rsidP="00B17BC5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Хмельницького національного університету</w:t>
      </w:r>
    </w:p>
    <w:p w:rsidR="00203B8D" w:rsidRPr="00B17BC5" w:rsidRDefault="00203B8D" w:rsidP="00B17BC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</w:pPr>
    </w:p>
    <w:p w:rsidR="00171978" w:rsidRPr="00B17BC5" w:rsidRDefault="00171978" w:rsidP="00B17BC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РЕКЛАМНИЙ </w:t>
      </w:r>
      <w:r w:rsidR="00B17BC5" w:rsidRPr="00B17BC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МОНОЛОГІЧНИЙ ДИСКУРС </w:t>
      </w:r>
      <w:r w:rsidRPr="00B17BC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ЯК РІЗНОВИД ЧУЖОГО МОВЛЕННЯ</w:t>
      </w:r>
    </w:p>
    <w:p w:rsidR="008829C2" w:rsidRPr="00B17BC5" w:rsidRDefault="008829C2" w:rsidP="00B17BC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6E391F" w:rsidRPr="00B17BC5" w:rsidRDefault="006E391F" w:rsidP="00B17BC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Основною соціально-практичною функцією мови в суспільстві є комунікативна, яка реалізується у різних формах передачі чужого мовлення – пряма / непряма мова, монологи, діалоги, полілоги, цитати тощо. Обслуговуючи потреба суспільства у забезпеченні інформаційних процесів, мова утверджує свою поліфункціональність. Одним з елементів сучасного комунікативно-інформаційного дискурсу є рекламний текст, тобто «сукупність одиниць різних знакових систем: вербальної (текст, який є завершеним, об’єктивованим у писемному вигляді, може складатися з назви (заголовка) та особливих одиниць (надфразних єдностей), має певну цілеспрямованість і прагматичну настанову) та невербальної (зображення, відеоряд, аудіочастина тощо)»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[</w:t>
      </w:r>
      <w:r w:rsidR="00B17BC5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2, с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B17BC5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7</w:t>
      </w:r>
      <w:r w:rsidR="00B17BC5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B17BC5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8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]</w:t>
      </w:r>
      <w:r w:rsidR="00B17BC5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376242" w:rsidRPr="00B17BC5" w:rsidRDefault="00376242" w:rsidP="00B17BC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Сучасне суспільство не уявляє свого життя без реклами, яка виконує низку соціальних функцій: інформаційну (повідомляє про предмети, їхні властивості, явища, дії та процеси), експресивну (пропонує оцінну інформацію про предмети і явища), прагматичну (спонукає людину до певної реакції, наприклад, до придбання відповідного товару) та ін.</w:t>
      </w:r>
    </w:p>
    <w:p w:rsidR="00376242" w:rsidRPr="00B17BC5" w:rsidRDefault="00EF39C0" w:rsidP="00B17BC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Ці та низка інших обставин викликали в лінгвістів інтерес до вивчення потенційних можливостей рекламних текстів. Аналіз наукових досліджень українських мовознавців у галузі рекламознавства дозволяє стверджувати, що найбільше уваги науковці приділяли англомовній (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 xml:space="preserve">А. О. Ворначев, </w:t>
      </w:r>
      <w:r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9F9F9"/>
          <w:lang w:eastAsia="uk-UA"/>
        </w:rPr>
        <w:t xml:space="preserve">Л. М. Киричук, Л. С. Козуб, Н. С. Лиса, І. О. Лисичкіна, 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О. Є. Ткачук-Мірошниченко, С. А. 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Федорець, 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І. М. Шукало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) та російськомовній (</w:t>
      </w:r>
      <w:r w:rsidR="00CC527B"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9F9F9"/>
          <w:lang w:eastAsia="uk-UA"/>
        </w:rPr>
        <w:t>Ю. В. Булик, В. В. Горлачова, Т. В. Гулак, В. В. Зірка, Н. Л. Коваленко,</w:t>
      </w:r>
      <w:r w:rsidR="00CC527B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 xml:space="preserve"> І. М. Мозова, Н. І. Романець, </w:t>
      </w:r>
      <w:r w:rsidR="00CC527B" w:rsidRPr="00B17BC5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Н. В. Паршук,</w:t>
      </w:r>
      <w:r w:rsidR="00CC527B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 xml:space="preserve"> С. В. Подолкова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) рекламі, що, ймовірно, зумовлено незначною кількістю власне українських рекламних текстів (маються на увазі не перекладені тексти, а саме ті, які репрезентують вітчизняного товаровиробника, вітчизняні події, фільми тощо).</w:t>
      </w:r>
    </w:p>
    <w:p w:rsidR="00376242" w:rsidRPr="00B17BC5" w:rsidRDefault="00EF39C0" w:rsidP="00B17BC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</w:pP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прикладі ж україномовної реклами досліджувалося </w:t>
      </w:r>
      <w:r w:rsidR="00376242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співвідношення вербальних оцінок і паралінгвістичних компонентів</w:t>
      </w:r>
      <w:r w:rsidR="00376242" w:rsidRPr="00B17BC5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 xml:space="preserve"> </w:t>
      </w:r>
      <w:r w:rsidR="00376242" w:rsidRPr="00B17BC5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9F9F9"/>
        </w:rPr>
        <w:t>реклам</w:t>
      </w:r>
      <w:r w:rsidR="00376242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ного тексту (М. Л. </w:t>
      </w:r>
      <w:r w:rsidR="00376242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Крамаренко), </w:t>
      </w:r>
      <w:r w:rsidR="00376242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вербальні та невербальні маркери українського</w:t>
      </w:r>
      <w:r w:rsidR="00376242" w:rsidRPr="00B17BC5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 xml:space="preserve"> </w:t>
      </w:r>
      <w:r w:rsidR="00376242" w:rsidRPr="00B17BC5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9F9F9"/>
        </w:rPr>
        <w:t>реклам</w:t>
      </w:r>
      <w:r w:rsidR="00376242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 xml:space="preserve">ного </w:t>
      </w:r>
      <w:r w:rsidR="001C59F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і</w:t>
      </w:r>
      <w:r w:rsidR="00376242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 xml:space="preserve"> політичного мовлення (</w:t>
      </w:r>
      <w:r w:rsidR="00376242"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9F9F9"/>
          <w:lang w:eastAsia="uk-UA"/>
        </w:rPr>
        <w:t>Т. Ю. Ковалевська</w:t>
      </w:r>
      <w:r w:rsidR="00376242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)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,</w:t>
      </w:r>
      <w:r w:rsidR="00376242"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="00CC527B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синтаксис рекламного дискурсу в комунікативно-прагматичному та структурно-семантичному аспектах</w:t>
      </w:r>
      <w:r w:rsidR="00376242"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(</w:t>
      </w:r>
      <w:r w:rsidR="00376242"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9F9F9"/>
          <w:lang w:eastAsia="uk-UA"/>
        </w:rPr>
        <w:t>С. В. Гузенко</w:t>
      </w:r>
      <w:r w:rsidR="00376242"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). </w:t>
      </w:r>
      <w:r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Іноді рекламу розглядали з</w:t>
      </w:r>
      <w:r w:rsidR="00376242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 xml:space="preserve"> літературознав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чого погляду, визначаючи її поетику</w:t>
      </w:r>
      <w:r w:rsidR="00376242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 xml:space="preserve"> (</w:t>
      </w:r>
      <w:r w:rsidR="00376242"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9F9F9"/>
          <w:lang w:eastAsia="uk-UA"/>
        </w:rPr>
        <w:t xml:space="preserve">А. В. Сажина) </w:t>
      </w:r>
      <w:r w:rsidR="001C59F5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9F9F9"/>
          <w:lang w:eastAsia="uk-UA"/>
        </w:rPr>
        <w:t>і</w:t>
      </w:r>
      <w:r w:rsidR="00376242"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9F9F9"/>
          <w:lang w:eastAsia="uk-UA"/>
        </w:rPr>
        <w:t xml:space="preserve"> </w:t>
      </w:r>
      <w:r w:rsidR="00376242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когнітивні механізми створення, реалізації та фіксації</w:t>
      </w:r>
      <w:r w:rsidR="00376242" w:rsidRPr="00B17BC5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 xml:space="preserve"> </w:t>
      </w:r>
      <w:r w:rsidR="00376242" w:rsidRPr="00B17BC5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9F9F9"/>
        </w:rPr>
        <w:t>реклам</w:t>
      </w:r>
      <w:r w:rsidR="00376242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ного іміджу (Т. В. Смирнова).</w:t>
      </w:r>
      <w:r w:rsidR="00CC527B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 xml:space="preserve"> Саме така незначна кількість розвідок україномовного рекламного дискурсу </w:t>
      </w:r>
      <w:r w:rsidR="001C59F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й</w:t>
      </w:r>
      <w:r w:rsidR="00CC527B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 xml:space="preserve"> зумовила актуальність теми нашого дослідження, метою якого ста</w:t>
      </w:r>
      <w:r w:rsidR="00B17BC5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в</w:t>
      </w:r>
      <w:r w:rsidR="00CC527B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 xml:space="preserve"> аналіз рекламн</w:t>
      </w:r>
      <w:r w:rsidR="001C59F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их</w:t>
      </w:r>
      <w:r w:rsidR="00CC527B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 xml:space="preserve"> </w:t>
      </w:r>
      <w:r w:rsidR="001C59F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текстів</w:t>
      </w:r>
      <w:r w:rsidR="00B17BC5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, побудован</w:t>
      </w:r>
      <w:r w:rsidR="001C59F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их</w:t>
      </w:r>
      <w:r w:rsidR="00B17BC5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 xml:space="preserve"> за зразком монологічного мовлення</w:t>
      </w:r>
      <w:r w:rsidR="00C86C1B" w:rsidRPr="00B17B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.</w:t>
      </w:r>
      <w:r w:rsidR="00C86C1B"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Для аналізу нами </w:t>
      </w:r>
      <w:r w:rsidR="00C86C1B"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було вибрано різнопланов</w:t>
      </w:r>
      <w:r w:rsidR="00B17BC5"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="00C86C1B"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текст</w:t>
      </w:r>
      <w:r w:rsidR="00B17BC5"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</w:t>
      </w:r>
      <w:r w:rsidR="00C86C1B"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телереклами, яка звучала протягом березня 2016 року на телеканал</w:t>
      </w:r>
      <w:r w:rsidR="00B17BC5"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="00C86C1B"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«Україна»</w:t>
      </w:r>
      <w:r w:rsidR="00C909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:rsidR="001C59F5" w:rsidRPr="00B17BC5" w:rsidRDefault="001C59F5" w:rsidP="001C59F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Реклама – це реальний, адресований конкретній аудиторії монолог, </w:t>
      </w:r>
      <w:r w:rsidR="00C90999">
        <w:rPr>
          <w:rFonts w:ascii="Times New Roman" w:hAnsi="Times New Roman" w:cs="Times New Roman"/>
          <w:color w:val="000000" w:themeColor="text1"/>
          <w:sz w:val="28"/>
          <w:szCs w:val="28"/>
        </w:rPr>
        <w:t>офрмлений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90999">
        <w:rPr>
          <w:rFonts w:ascii="Times New Roman" w:hAnsi="Times New Roman" w:cs="Times New Roman"/>
          <w:color w:val="000000" w:themeColor="text1"/>
          <w:sz w:val="28"/>
          <w:szCs w:val="28"/>
        </w:rPr>
        <w:t>за зразком цілісного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тексту </w:t>
      </w:r>
      <w:r w:rsidR="00C90999">
        <w:rPr>
          <w:rFonts w:ascii="Times New Roman" w:hAnsi="Times New Roman" w:cs="Times New Roman"/>
          <w:color w:val="000000" w:themeColor="text1"/>
          <w:sz w:val="28"/>
          <w:szCs w:val="28"/>
        </w:rPr>
        <w:t>(надфразної єдності) із певними тема-рематичними закономірностями (наявністю логічного зв’язку та семантико-синтаксичних відношень між структурними одиницями)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C90999">
        <w:rPr>
          <w:rFonts w:ascii="Times New Roman" w:hAnsi="Times New Roman" w:cs="Times New Roman"/>
          <w:color w:val="000000" w:themeColor="text1"/>
          <w:sz w:val="28"/>
          <w:szCs w:val="28"/>
        </w:rPr>
        <w:t>побудований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відповідно до форми спілкування </w:t>
      </w:r>
      <w:r w:rsidR="00C90999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комунікативн</w:t>
      </w:r>
      <w:r w:rsidR="00C90999">
        <w:rPr>
          <w:rFonts w:ascii="Times New Roman" w:hAnsi="Times New Roman" w:cs="Times New Roman"/>
          <w:color w:val="000000" w:themeColor="text1"/>
          <w:sz w:val="28"/>
          <w:szCs w:val="28"/>
        </w:rPr>
        <w:t>о-прагматичної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функції: </w:t>
      </w:r>
      <w:r w:rsidRPr="00B17BC5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 xml:space="preserve">Не дайте обличчю виказати ваш вік. </w:t>
      </w:r>
      <w:proofErr w:type="gramStart"/>
      <w:r w:rsidRPr="00B17BC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Supreme</w:t>
      </w:r>
      <w:r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від </w:t>
      </w:r>
      <w:proofErr w:type="spellStart"/>
      <w:r w:rsidRPr="00B17BC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Vishi</w:t>
      </w:r>
      <w:proofErr w:type="spellEnd"/>
      <w:r w:rsidRPr="00B17BC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– наш перший антивіковий засіб тривалої дії.</w:t>
      </w:r>
      <w:proofErr w:type="gramEnd"/>
      <w:r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Протягом дня шкіра виглядає гладенькою та пружною. Протягом першого місяця зморшки помітно розгладжені. Інновація! Сироватка </w:t>
      </w:r>
      <w:r w:rsidRPr="00B17BC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Supreme</w:t>
      </w:r>
      <w:r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для прискореного відновлення шкіри. Ліфт актив </w:t>
      </w:r>
      <w:r w:rsidRPr="00B17BC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Supreme</w:t>
      </w:r>
      <w:r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– корекція зморщок та пружність шкіри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>.</w:t>
      </w:r>
    </w:p>
    <w:p w:rsidR="006E391F" w:rsidRPr="00B17BC5" w:rsidRDefault="00C90999" w:rsidP="00B17BC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Лише</w:t>
      </w:r>
      <w:r w:rsidR="00C86C1B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правильно побудоване мовлення спонукає реципієнта масової комунікації до певних дій і вчинків, а якщо пам’ятати, що найкраще і найбільше впливає на слухача саме медіа-контент, то синтаксична структура рекламних текстів відіграє важливу роль.</w:t>
      </w:r>
      <w:r w:rsidR="00C86C1B" w:rsidRPr="00B17B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</w:p>
    <w:p w:rsidR="00F77AA6" w:rsidRPr="00B17BC5" w:rsidRDefault="00C90999" w:rsidP="00B17BC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pacing w:val="10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Як показали наші дослідження, близько 15 % </w:t>
      </w:r>
      <w:r w:rsidR="00F77AA6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текстів рекламного дискурсу репрезентовано у вигляді монологу, тобто усного розгорнутого мовлення однієї особи, яке не розраховане на безпосередню словесну реакцію слухача й адресується іншим особам</w:t>
      </w:r>
      <w:r w:rsidR="006B6DC8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F77AA6" w:rsidRPr="00B17BC5">
        <w:rPr>
          <w:rFonts w:ascii="Times New Roman" w:hAnsi="Times New Roman" w:cs="Times New Roman"/>
          <w:b/>
          <w:color w:val="000000" w:themeColor="text1"/>
          <w:spacing w:val="10"/>
          <w:sz w:val="28"/>
          <w:szCs w:val="28"/>
        </w:rPr>
        <w:t xml:space="preserve"> </w:t>
      </w:r>
      <w:r w:rsidR="006B6DC8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Монолог як форма цілеспрямованого тривалого словесного акту характеризує</w:t>
      </w:r>
      <w:bookmarkStart w:id="0" w:name="_GoBack"/>
      <w:bookmarkEnd w:id="0"/>
      <w:r w:rsidR="006B6DC8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ться розгорнутими і складними, синтаксичними побудовами, загальністю структур, цілісністю і композиційною завершеністю</w:t>
      </w:r>
      <w:r w:rsidR="00D8687D" w:rsidRPr="00B17B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[</w:t>
      </w:r>
      <w:r w:rsidR="00B17BC5" w:rsidRPr="00B17BC5">
        <w:rPr>
          <w:rFonts w:ascii="Times New Roman" w:hAnsi="Times New Roman" w:cs="Times New Roman"/>
          <w:color w:val="000000" w:themeColor="text1"/>
          <w:spacing w:val="10"/>
          <w:sz w:val="28"/>
          <w:szCs w:val="28"/>
        </w:rPr>
        <w:t>4, с</w:t>
      </w:r>
      <w:r w:rsidR="00D8687D" w:rsidRPr="00B17BC5">
        <w:rPr>
          <w:rFonts w:ascii="Times New Roman" w:hAnsi="Times New Roman" w:cs="Times New Roman"/>
          <w:color w:val="000000" w:themeColor="text1"/>
          <w:spacing w:val="10"/>
          <w:sz w:val="28"/>
          <w:szCs w:val="28"/>
        </w:rPr>
        <w:t>.</w:t>
      </w:r>
      <w:r w:rsidR="00B17BC5" w:rsidRPr="00B17BC5">
        <w:rPr>
          <w:rFonts w:ascii="Times New Roman" w:hAnsi="Times New Roman" w:cs="Times New Roman"/>
          <w:color w:val="000000" w:themeColor="text1"/>
          <w:spacing w:val="10"/>
          <w:sz w:val="28"/>
          <w:szCs w:val="28"/>
        </w:rPr>
        <w:t> </w:t>
      </w:r>
      <w:r w:rsidR="00D8687D" w:rsidRPr="00B17BC5">
        <w:rPr>
          <w:rFonts w:ascii="Times New Roman" w:hAnsi="Times New Roman" w:cs="Times New Roman"/>
          <w:color w:val="000000" w:themeColor="text1"/>
          <w:spacing w:val="10"/>
          <w:sz w:val="28"/>
          <w:szCs w:val="28"/>
        </w:rPr>
        <w:t>370</w:t>
      </w:r>
      <w:r w:rsidR="00D8687D" w:rsidRPr="00B17BC5">
        <w:rPr>
          <w:rFonts w:ascii="Times New Roman" w:hAnsi="Times New Roman" w:cs="Times New Roman"/>
          <w:color w:val="000000" w:themeColor="text1"/>
          <w:spacing w:val="10"/>
          <w:sz w:val="28"/>
          <w:szCs w:val="28"/>
          <w:lang w:val="en-US"/>
        </w:rPr>
        <w:t>].</w:t>
      </w:r>
    </w:p>
    <w:p w:rsidR="00D8687D" w:rsidRPr="00B17BC5" w:rsidRDefault="00EA29F8" w:rsidP="00B17BC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Якщо говорити про рекламний дискурс, то варто згадати про різні типи класифікацій монологічного мовлення</w:t>
      </w:r>
      <w:r w:rsidR="00D8687D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зокрема за метою висловлювання. Так., О. С. Ахманова виокремила розповідний (повідомлювальний) монолог як основний засіб логічного і послідовно організованого повідомлення та навіювальний (агітаційний, сугестивний) монолог, який є основною формою ораторського мовлення </w:t>
      </w:r>
      <w:r w:rsidR="00D8687D" w:rsidRPr="00B17B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[</w:t>
      </w:r>
      <w:r w:rsidR="00B17BC5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1,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8687D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с. 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239</w:t>
      </w:r>
      <w:r w:rsidR="00D8687D" w:rsidRPr="00B17B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]. </w:t>
      </w:r>
      <w:r w:rsidR="00D8687D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Саме до другого різновиду і відносимо рекламні тексти, оскільки кожен зразок містить у собі інформацію</w:t>
      </w:r>
      <w:r w:rsidR="009F212F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</w:t>
      </w:r>
      <w:r w:rsidR="00D8687D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а наративні конструкції, які й спонукають адресатів до певних дій: 1. </w:t>
      </w:r>
      <w:proofErr w:type="gramStart"/>
      <w:r w:rsidR="00D8687D" w:rsidRPr="00B17BC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Jacobs</w:t>
      </w:r>
      <w:r w:rsidR="00D8687D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="00D8687D" w:rsidRPr="00B17BC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Monarch</w:t>
      </w:r>
      <w:r w:rsidR="00D8687D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– аромоксамит, що зближує.</w:t>
      </w:r>
      <w:proofErr w:type="gramEnd"/>
      <w:r w:rsidR="00D8687D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="00D8687D" w:rsidRPr="00B17BC5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Зустрічайте новинку</w:t>
      </w:r>
      <w:r w:rsidR="00D8687D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: </w:t>
      </w:r>
      <w:r w:rsidR="00D8687D" w:rsidRPr="00B17BC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Jacobs</w:t>
      </w:r>
      <w:r w:rsidR="00D8687D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="00D8687D" w:rsidRPr="00B17BC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Monarch</w:t>
      </w:r>
      <w:r w:rsidR="00D8687D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20 грамів на 10 чашок кави з незрівняним аромоксамитом у доступному мініформаті.</w:t>
      </w:r>
      <w:r w:rsidR="00D8687D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2. </w:t>
      </w:r>
      <w:r w:rsidR="00D8687D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«Торчин» розпочинає кулінарну подорож з «Діжонської гірчиці» – її пікантний присмак наповнює страву легкою гірчинкою. Ковбаска… </w:t>
      </w:r>
      <w:r w:rsidR="009F212F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Солодкої </w:t>
      </w:r>
      <w:r w:rsidR="00D8687D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карамельної нотки додає «Баварська гірчиця» «Торчин». Лагідний смак та медовий колір улюбленій картоплі надасть «Американська гірчиця». </w:t>
      </w:r>
      <w:r w:rsidR="00D8687D" w:rsidRPr="00B17BC5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Додайте пікантного смаку з гірчицями «Торчин»</w:t>
      </w:r>
      <w:r w:rsidR="009F212F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D8687D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F16063" w:rsidRPr="00B17BC5" w:rsidRDefault="00F16063" w:rsidP="00B17BC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Подекуди у таких монологічних рекламах спонукальні конструкції можуть бути відсутніми</w:t>
      </w:r>
      <w:r w:rsidR="004B3E53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, проте тоді прагматичну функцію виконують речення із займенниками, які спрямовані на слухача (Ви, Ваш) і опосередковано закликають до потрібної реакції: 1. </w:t>
      </w:r>
      <w:r w:rsidR="00265D9A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DOVE запросив жінок, щоб протестувати їхні гелі для душу. Реагент реагує, як шкіра. Якщо звичайні гелі так пошкоджують його, тоді що вони можуть зробити зі шкірою? DOVE – особливий, його революційна </w:t>
      </w:r>
      <w:r w:rsidR="00265D9A" w:rsidRPr="00B17BC5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формула</w:t>
      </w:r>
      <w:r w:rsidR="00265D9A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="00265D9A" w:rsidRPr="00B17BC5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доглядає за Вашою шкірою</w:t>
      </w:r>
      <w:r w:rsidR="00265D9A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. Так, це </w:t>
      </w:r>
      <w:r w:rsidR="00265D9A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lastRenderedPageBreak/>
        <w:t>DOVE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4B3E53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2. </w:t>
      </w:r>
      <w:r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Імовірність зустріти відомого футболіста в дельфінарії – один до мільйона. Імовірність, що він заб’є в наступному матчі – один до одного. Парі Матч – </w:t>
      </w:r>
      <w:r w:rsidRPr="00B17BC5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 xml:space="preserve">грають вони – виграєте </w:t>
      </w:r>
      <w:r w:rsidR="004B3E53" w:rsidRPr="00B17BC5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В</w:t>
      </w:r>
      <w:r w:rsidRPr="00B17BC5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и!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D8687D" w:rsidRPr="00B17BC5" w:rsidRDefault="004B3E53" w:rsidP="00B17BC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Водночас фіксуємо звичайний монолог-розповідь, коли мовець ділиться зі слухачами (глядачами) інформацією від першої особи, причому текст побудований за зразком поради: </w:t>
      </w:r>
      <w:r w:rsidR="00D8687D" w:rsidRPr="00B17BC5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 xml:space="preserve">Щоб мій борщ став ще смачнішим, я використовую заправку «Торчин» </w:t>
      </w:r>
      <w:r w:rsidR="00D8687D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за оновленою рецептурою. Багатий смак, натуральні овочі, українські бурячки, соковиті помідори, морква. З оновленою заправкою «Торчин» мій борщ іще смачніший</w:t>
      </w:r>
      <w:r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.</w:t>
      </w:r>
    </w:p>
    <w:p w:rsidR="00C90999" w:rsidRPr="00B17BC5" w:rsidRDefault="00C90999" w:rsidP="00C90999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Автори рекламного дискурсу люблять будувати монологічні висловлювання з використанням внутрішнього діалогу, коли мовець сам питає і одразу відповідає на своє запитання: </w:t>
      </w:r>
      <w:r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Болить голова? «Комбіспазм»! «Комбіспазм» має подвійну дію: одна складова усуває біль, а друга має спазмолітичний ефект. «Комбіспазм» – виведи біль та спазм зі свого життя. 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Така синтаксична структура тексту зумовлення поєднанням відеосюжету, де можна спостерігати за дійовими особами, які активно чи пасивно реагують на запитання мовця, тобто відбувається б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езпосередньо-контактне мовлення.</w:t>
      </w:r>
    </w:p>
    <w:p w:rsidR="003B229E" w:rsidRPr="00B17BC5" w:rsidRDefault="008413CC" w:rsidP="00B17BC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Чільне місце у рекламному дискурсі посідають теле- та кіноаноси, які становлять, як зазначає С. А. Панченко, самостійний мовний твір, що містить у собі фрагментарну (часто з елементом інтриги) інформацію, відповідно оформлений композиційно і синтаксично, має </w:t>
      </w:r>
      <w:r w:rsidRPr="00B17BC5">
        <w:rPr>
          <w:rFonts w:ascii="Times New Roman" w:hAnsi="Times New Roman" w:cs="Times New Roman"/>
          <w:color w:val="000000" w:themeColor="text1"/>
          <w:spacing w:val="6"/>
          <w:sz w:val="28"/>
          <w:szCs w:val="28"/>
          <w:lang w:eastAsia="uk-UA"/>
        </w:rPr>
        <w:t xml:space="preserve">прагматичну установку на залучення уваги потенційного глядача </w:t>
      </w:r>
      <w:r w:rsidRPr="00B17BC5">
        <w:rPr>
          <w:rFonts w:ascii="Times New Roman" w:hAnsi="Times New Roman" w:cs="Times New Roman"/>
          <w:color w:val="000000" w:themeColor="text1"/>
          <w:spacing w:val="6"/>
          <w:sz w:val="28"/>
          <w:szCs w:val="28"/>
          <w:lang w:val="en-US" w:eastAsia="uk-UA"/>
        </w:rPr>
        <w:t>[</w:t>
      </w:r>
      <w:r w:rsidR="00B17BC5" w:rsidRPr="00B17BC5">
        <w:rPr>
          <w:rFonts w:ascii="Times New Roman" w:hAnsi="Times New Roman" w:cs="Times New Roman"/>
          <w:color w:val="000000" w:themeColor="text1"/>
          <w:spacing w:val="6"/>
          <w:sz w:val="28"/>
          <w:szCs w:val="28"/>
          <w:lang w:eastAsia="uk-UA"/>
        </w:rPr>
        <w:t>3</w:t>
      </w:r>
      <w:r w:rsidRPr="00B17BC5">
        <w:rPr>
          <w:rFonts w:ascii="Times New Roman" w:hAnsi="Times New Roman" w:cs="Times New Roman"/>
          <w:color w:val="000000" w:themeColor="text1"/>
          <w:spacing w:val="6"/>
          <w:sz w:val="28"/>
          <w:szCs w:val="28"/>
          <w:lang w:eastAsia="uk-UA"/>
        </w:rPr>
        <w:t>, с. 5</w:t>
      </w:r>
      <w:r w:rsidRPr="00B17BC5">
        <w:rPr>
          <w:rFonts w:ascii="Times New Roman" w:hAnsi="Times New Roman" w:cs="Times New Roman"/>
          <w:color w:val="000000" w:themeColor="text1"/>
          <w:spacing w:val="6"/>
          <w:sz w:val="28"/>
          <w:szCs w:val="28"/>
          <w:lang w:val="en-US" w:eastAsia="uk-UA"/>
        </w:rPr>
        <w:t>]</w:t>
      </w:r>
      <w:r w:rsidRPr="00B17BC5">
        <w:rPr>
          <w:rFonts w:ascii="Times New Roman" w:hAnsi="Times New Roman" w:cs="Times New Roman"/>
          <w:color w:val="000000" w:themeColor="text1"/>
          <w:spacing w:val="6"/>
          <w:sz w:val="28"/>
          <w:szCs w:val="28"/>
          <w:lang w:eastAsia="uk-UA"/>
        </w:rPr>
        <w:t xml:space="preserve">. Тут </w:t>
      </w:r>
      <w:r w:rsidR="007F5D2E">
        <w:rPr>
          <w:rFonts w:ascii="Times New Roman" w:hAnsi="Times New Roman" w:cs="Times New Roman"/>
          <w:color w:val="000000" w:themeColor="text1"/>
          <w:spacing w:val="6"/>
          <w:sz w:val="28"/>
          <w:szCs w:val="28"/>
          <w:lang w:eastAsia="uk-UA"/>
        </w:rPr>
        <w:t>з</w:t>
      </w:r>
      <w:r w:rsidRPr="00B17BC5">
        <w:rPr>
          <w:rFonts w:ascii="Times New Roman" w:hAnsi="Times New Roman" w:cs="Times New Roman"/>
          <w:color w:val="000000" w:themeColor="text1"/>
          <w:spacing w:val="6"/>
          <w:sz w:val="28"/>
          <w:szCs w:val="28"/>
          <w:lang w:eastAsia="uk-UA"/>
        </w:rPr>
        <w:t>упинимося лише на анонсах-монологах: 1. </w:t>
      </w:r>
      <w:r w:rsidR="00265D9A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Весна у великому місті! Усі зірки України на музичній платформі! 29 березня, київський Палац спорту, 19.00. Квитки в усіх касах міста</w:t>
      </w:r>
      <w:r w:rsidR="00EA29F8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. </w:t>
      </w:r>
      <w:r w:rsidR="00265D9A" w:rsidRPr="00B17BC5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Зустрінемо весну разом</w:t>
      </w:r>
      <w:r w:rsidR="00EA29F8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!</w:t>
      </w:r>
      <w:r w:rsidR="00EA29F8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2. </w:t>
      </w:r>
      <w:r w:rsidR="003B229E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Завтра!</w:t>
      </w:r>
      <w:r w:rsidR="003B229E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B229E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Напередодні європейського чемпіонату наша збірна пройде ще один іспит: до Києва завітають гості з Туманного Альбіону. </w:t>
      </w:r>
      <w:r w:rsidR="003B229E" w:rsidRPr="00B17BC5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Не пропустіть контрольний матч двох збірних Україна – Уельс</w:t>
      </w:r>
      <w:r w:rsidR="003B229E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. Завтра о 20.55 на каналі «Україна»</w:t>
      </w:r>
      <w:r w:rsidR="00EA29F8" w:rsidRPr="00B17BC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. </w:t>
      </w:r>
      <w:r w:rsidR="00EA29F8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Як бачимо, наративність висловлю</w:t>
      </w:r>
      <w:r w:rsidR="004E2A2E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EA29F8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ання міститься у кінці тексту у вигляді означено-особових речень.</w:t>
      </w:r>
    </w:p>
    <w:p w:rsidR="00F77AA6" w:rsidRPr="00B17BC5" w:rsidRDefault="00F93766" w:rsidP="00B17BC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Таким чином, можемо говорити про специфічну синтаксичну будову рекламних монологів, які поряд із розповідними компонентами містять наративні предикативні одиниці (переважно означено-особові односкладні речення), що експліцитно спонукають адресата до певних дій </w:t>
      </w:r>
      <w:r w:rsidR="00B17BC5"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після отриманої інформації</w:t>
      </w:r>
      <w:r w:rsidR="00750077">
        <w:rPr>
          <w:rFonts w:ascii="Times New Roman" w:hAnsi="Times New Roman" w:cs="Times New Roman"/>
          <w:color w:val="000000" w:themeColor="text1"/>
          <w:sz w:val="28"/>
          <w:szCs w:val="28"/>
        </w:rPr>
        <w:t>, оскільки реклама харктеризується одно</w:t>
      </w:r>
      <w:r w:rsidR="009F2BDB">
        <w:rPr>
          <w:rFonts w:ascii="Times New Roman" w:hAnsi="Times New Roman" w:cs="Times New Roman"/>
          <w:color w:val="000000" w:themeColor="text1"/>
          <w:sz w:val="28"/>
          <w:szCs w:val="28"/>
        </w:rPr>
        <w:t>бічн</w:t>
      </w:r>
      <w:r w:rsidR="00750077">
        <w:rPr>
          <w:rFonts w:ascii="Times New Roman" w:hAnsi="Times New Roman" w:cs="Times New Roman"/>
          <w:color w:val="000000" w:themeColor="text1"/>
          <w:sz w:val="28"/>
          <w:szCs w:val="28"/>
        </w:rPr>
        <w:t>ою спрямованістю.</w:t>
      </w:r>
    </w:p>
    <w:p w:rsidR="00171978" w:rsidRPr="00B17BC5" w:rsidRDefault="00203B8D" w:rsidP="00B17BC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Список використаних джерел</w:t>
      </w:r>
    </w:p>
    <w:p w:rsidR="00EA29F8" w:rsidRPr="00B17BC5" w:rsidRDefault="00EA29F8" w:rsidP="00B17BC5">
      <w:pPr>
        <w:pStyle w:val="a5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Ахманова О. С. Словарь лингвистических терминов / О. С. Ахманова. – М. : Советская энциклопедия, 1969. – 608 с.</w:t>
      </w:r>
    </w:p>
    <w:p w:rsidR="00F77AA6" w:rsidRPr="00B17BC5" w:rsidRDefault="009D096F" w:rsidP="00B17BC5">
      <w:pPr>
        <w:pStyle w:val="a5"/>
        <w:widowControl w:val="0"/>
        <w:numPr>
          <w:ilvl w:val="0"/>
          <w:numId w:val="4"/>
        </w:numPr>
        <w:spacing w:after="0" w:line="240" w:lineRule="auto"/>
        <w:ind w:left="0" w:firstLine="709"/>
        <w:jc w:val="both"/>
        <w:outlineLvl w:val="0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Гузенко С. В. Синтаксис рекламного дискурсу : автореф. дис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. … кандидата філол. наук : зі спеціальності 10.02.01 – українська мова / С. В. Гузенко. – К., 2010. – 22 с.</w:t>
      </w:r>
    </w:p>
    <w:p w:rsidR="00B17BC5" w:rsidRPr="00B17BC5" w:rsidRDefault="00B17BC5" w:rsidP="00B17BC5">
      <w:pPr>
        <w:pStyle w:val="a5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pacing w:val="6"/>
          <w:sz w:val="28"/>
          <w:szCs w:val="28"/>
        </w:rPr>
      </w:pPr>
      <w:r w:rsidRPr="00B17BC5">
        <w:rPr>
          <w:rFonts w:ascii="Times New Roman" w:hAnsi="Times New Roman" w:cs="Times New Roman"/>
          <w:bCs/>
          <w:color w:val="000000" w:themeColor="text1"/>
          <w:spacing w:val="6"/>
          <w:sz w:val="28"/>
          <w:szCs w:val="28"/>
        </w:rPr>
        <w:t>Панченко Сергій. А. Лінгвістичні параметри кіноанонсу :</w:t>
      </w:r>
      <w:r w:rsidRPr="00B17BC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автореф. д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ис. … канд. філол. наук : </w:t>
      </w:r>
      <w:r w:rsidRPr="00B17BC5">
        <w:rPr>
          <w:rFonts w:ascii="Times New Roman" w:hAnsi="Times New Roman" w:cs="Times New Roman"/>
          <w:color w:val="000000" w:themeColor="text1"/>
          <w:spacing w:val="6"/>
          <w:sz w:val="28"/>
          <w:szCs w:val="28"/>
        </w:rPr>
        <w:t>10.02.02 – російська мова / С. А. Панченко. – Дніпропетровськ, 2008. – 20 с.</w:t>
      </w:r>
    </w:p>
    <w:p w:rsidR="009D096F" w:rsidRPr="00B17BC5" w:rsidRDefault="00F77AA6" w:rsidP="00B17BC5">
      <w:pPr>
        <w:pStyle w:val="a5"/>
        <w:widowControl w:val="0"/>
        <w:numPr>
          <w:ilvl w:val="0"/>
          <w:numId w:val="4"/>
        </w:numPr>
        <w:spacing w:after="0" w:line="240" w:lineRule="auto"/>
        <w:ind w:left="0" w:firstLine="709"/>
        <w:jc w:val="both"/>
        <w:outlineLvl w:val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Українська мова. Енциклопедія : 2-ге вид., випр. і доп. – К. : Вид-во </w:t>
      </w:r>
      <w:r w:rsidR="00EA3C32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>Укр. енциклопедія</w:t>
      </w:r>
      <w:r w:rsidR="00EA3C32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Pr="00B17B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ім. М. П. Бажана, 2004. – 824 с.</w:t>
      </w:r>
    </w:p>
    <w:sectPr w:rsidR="009D096F" w:rsidRPr="00B17BC5" w:rsidSect="0017197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4E1AE7"/>
    <w:multiLevelType w:val="hybridMultilevel"/>
    <w:tmpl w:val="A7DAED30"/>
    <w:lvl w:ilvl="0" w:tplc="E3CC850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296F41A3"/>
    <w:multiLevelType w:val="multilevel"/>
    <w:tmpl w:val="A22C11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41C4ADE"/>
    <w:multiLevelType w:val="singleLevel"/>
    <w:tmpl w:val="E2A221E6"/>
    <w:lvl w:ilvl="0">
      <w:start w:val="1"/>
      <w:numFmt w:val="decimal"/>
      <w:lvlText w:val="%1."/>
      <w:legacy w:legacy="1" w:legacySpace="0" w:legacyIndent="235"/>
      <w:lvlJc w:val="left"/>
      <w:rPr>
        <w:rFonts w:ascii="Times New Roman" w:hAnsi="Times New Roman" w:cs="Times New Roman" w:hint="default"/>
      </w:rPr>
    </w:lvl>
  </w:abstractNum>
  <w:abstractNum w:abstractNumId="3">
    <w:nsid w:val="573F638A"/>
    <w:multiLevelType w:val="singleLevel"/>
    <w:tmpl w:val="E3CC8500"/>
    <w:lvl w:ilvl="0">
      <w:start w:val="1"/>
      <w:numFmt w:val="decimal"/>
      <w:lvlText w:val="%1."/>
      <w:legacy w:legacy="1" w:legacySpace="0" w:legacyIndent="206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5D8"/>
    <w:rsid w:val="0003225C"/>
    <w:rsid w:val="00171978"/>
    <w:rsid w:val="001C59F5"/>
    <w:rsid w:val="00203B8D"/>
    <w:rsid w:val="00265D9A"/>
    <w:rsid w:val="002825D8"/>
    <w:rsid w:val="00376242"/>
    <w:rsid w:val="003B229E"/>
    <w:rsid w:val="004B3E53"/>
    <w:rsid w:val="004E2A2E"/>
    <w:rsid w:val="004F556F"/>
    <w:rsid w:val="006B6DC8"/>
    <w:rsid w:val="006E391F"/>
    <w:rsid w:val="00750077"/>
    <w:rsid w:val="007F26FC"/>
    <w:rsid w:val="007F5D2E"/>
    <w:rsid w:val="008413CC"/>
    <w:rsid w:val="00841721"/>
    <w:rsid w:val="008829C2"/>
    <w:rsid w:val="008A53E9"/>
    <w:rsid w:val="008D25E0"/>
    <w:rsid w:val="00934D8C"/>
    <w:rsid w:val="009D096F"/>
    <w:rsid w:val="009F212F"/>
    <w:rsid w:val="009F2BDB"/>
    <w:rsid w:val="00A3184B"/>
    <w:rsid w:val="00B17BC5"/>
    <w:rsid w:val="00B42228"/>
    <w:rsid w:val="00B64AD4"/>
    <w:rsid w:val="00B65326"/>
    <w:rsid w:val="00C12338"/>
    <w:rsid w:val="00C86C1B"/>
    <w:rsid w:val="00C90999"/>
    <w:rsid w:val="00CC527B"/>
    <w:rsid w:val="00D8687D"/>
    <w:rsid w:val="00E84D9F"/>
    <w:rsid w:val="00EA29F8"/>
    <w:rsid w:val="00EA3C32"/>
    <w:rsid w:val="00EF39C0"/>
    <w:rsid w:val="00F16063"/>
    <w:rsid w:val="00F677B2"/>
    <w:rsid w:val="00F77AA6"/>
    <w:rsid w:val="00F93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E84D9F"/>
  </w:style>
  <w:style w:type="paragraph" w:styleId="a3">
    <w:name w:val="Normal (Web)"/>
    <w:basedOn w:val="a"/>
    <w:uiPriority w:val="99"/>
    <w:semiHidden/>
    <w:unhideWhenUsed/>
    <w:rsid w:val="00E84D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E84D9F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EA29F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E84D9F"/>
  </w:style>
  <w:style w:type="paragraph" w:styleId="a3">
    <w:name w:val="Normal (Web)"/>
    <w:basedOn w:val="a"/>
    <w:uiPriority w:val="99"/>
    <w:semiHidden/>
    <w:unhideWhenUsed/>
    <w:rsid w:val="00E84D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E84D9F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EA29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048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</TotalTime>
  <Pages>3</Pages>
  <Words>5562</Words>
  <Characters>3171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Computer</Company>
  <LinksUpToDate>false</LinksUpToDate>
  <CharactersWithSpaces>8716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2016-04-10T10:36:00Z</dcterms:created>
  <dcterms:modified xsi:type="dcterms:W3CDTF">2016-05-02T14:09:00Z</dcterms:modified>
</cp:coreProperties>
</file>