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A7B" w:rsidRPr="00965A67" w:rsidRDefault="006B4A7B" w:rsidP="006B4A7B">
      <w:pPr>
        <w:spacing w:line="360" w:lineRule="auto"/>
        <w:jc w:val="right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Оксана </w:t>
      </w:r>
      <w:proofErr w:type="spellStart"/>
      <w:r>
        <w:rPr>
          <w:b/>
          <w:i/>
          <w:sz w:val="28"/>
          <w:szCs w:val="28"/>
          <w:lang w:val="uk-UA"/>
        </w:rPr>
        <w:t>Рогульська</w:t>
      </w:r>
      <w:proofErr w:type="spellEnd"/>
    </w:p>
    <w:p w:rsidR="006B4A7B" w:rsidRPr="00965A67" w:rsidRDefault="006B4A7B" w:rsidP="006B4A7B">
      <w:pPr>
        <w:spacing w:line="360" w:lineRule="auto"/>
        <w:jc w:val="right"/>
        <w:rPr>
          <w:i/>
          <w:sz w:val="28"/>
          <w:szCs w:val="28"/>
          <w:lang w:val="uk-UA" w:eastAsia="uk-UA"/>
        </w:rPr>
      </w:pPr>
      <w:r w:rsidRPr="00965A67">
        <w:rPr>
          <w:i/>
          <w:sz w:val="28"/>
          <w:szCs w:val="28"/>
          <w:lang w:val="uk-UA"/>
        </w:rPr>
        <w:t>(м. Хмельницький)</w:t>
      </w:r>
    </w:p>
    <w:p w:rsidR="006B4A7B" w:rsidRDefault="006B4A7B" w:rsidP="006C68E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A1130" w:rsidRDefault="000A1130" w:rsidP="006C68E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C68E0">
        <w:rPr>
          <w:b/>
          <w:sz w:val="28"/>
          <w:szCs w:val="28"/>
        </w:rPr>
        <w:t>ВИКОРИСТАННЯ Д</w:t>
      </w:r>
      <w:r w:rsidRPr="006C68E0">
        <w:rPr>
          <w:b/>
          <w:sz w:val="28"/>
          <w:szCs w:val="28"/>
          <w:lang w:val="uk-UA"/>
        </w:rPr>
        <w:t xml:space="preserve">ІЛОВИХ ІГОР У </w:t>
      </w:r>
      <w:proofErr w:type="gramStart"/>
      <w:r w:rsidRPr="006C68E0">
        <w:rPr>
          <w:b/>
          <w:sz w:val="28"/>
          <w:szCs w:val="28"/>
          <w:lang w:val="uk-UA"/>
        </w:rPr>
        <w:t>П</w:t>
      </w:r>
      <w:proofErr w:type="gramEnd"/>
      <w:r w:rsidRPr="006C68E0">
        <w:rPr>
          <w:b/>
          <w:sz w:val="28"/>
          <w:szCs w:val="28"/>
          <w:lang w:val="uk-UA"/>
        </w:rPr>
        <w:t>ІДГОТОВЦІ МАЙБУТНІХ ФАХІВЦІВ ДО ПРОФЕСІЙНОЇ ДІЯЛЬНОСТІ</w:t>
      </w:r>
    </w:p>
    <w:p w:rsidR="006B4A7B" w:rsidRDefault="006B4A7B" w:rsidP="006C68E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01F29" w:rsidRPr="00B53CB8" w:rsidRDefault="00501F29" w:rsidP="006C68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Використання </w:t>
      </w:r>
      <w:r w:rsidRPr="00B53CB8">
        <w:rPr>
          <w:bCs/>
          <w:sz w:val="28"/>
          <w:szCs w:val="28"/>
          <w:lang w:val="uk-UA" w:eastAsia="en-US"/>
        </w:rPr>
        <w:t>ігрових форм роботи під час навчально-пізнавальної діяльності полегшує опанування знань про особливості професійної діяльності, а також допомагає осмислити власну роль у ній. Ігрові форми оптимізують закріплення та поглиблення знань, засвоєних у ході бесід, лекцій, розповідей, семінарів, практичних занять, розвивають практичні навички і вміння, дають інструм</w:t>
      </w:r>
      <w:bookmarkStart w:id="0" w:name="_GoBack"/>
      <w:bookmarkEnd w:id="0"/>
      <w:r w:rsidRPr="00B53CB8">
        <w:rPr>
          <w:bCs/>
          <w:sz w:val="28"/>
          <w:szCs w:val="28"/>
          <w:lang w:val="uk-UA" w:eastAsia="en-US"/>
        </w:rPr>
        <w:t xml:space="preserve">енти для творчого застосування в розв’язанні професійних питань, забезпечують умови для продуктивного обміну </w:t>
      </w:r>
      <w:r w:rsidRPr="00864935">
        <w:rPr>
          <w:bCs/>
          <w:sz w:val="28"/>
          <w:szCs w:val="28"/>
          <w:lang w:val="uk-UA" w:eastAsia="en-US"/>
        </w:rPr>
        <w:t>досвідом [</w:t>
      </w:r>
      <w:r w:rsidR="00864935" w:rsidRPr="00864935">
        <w:rPr>
          <w:sz w:val="28"/>
          <w:szCs w:val="28"/>
          <w:lang w:val="uk-UA"/>
        </w:rPr>
        <w:t>2</w:t>
      </w:r>
      <w:r w:rsidRPr="00864935">
        <w:rPr>
          <w:sz w:val="28"/>
          <w:szCs w:val="28"/>
          <w:lang w:val="uk-UA"/>
        </w:rPr>
        <w:t>;</w:t>
      </w:r>
      <w:r w:rsidR="00864935" w:rsidRPr="00864935">
        <w:rPr>
          <w:bCs/>
          <w:sz w:val="28"/>
          <w:szCs w:val="28"/>
          <w:lang w:val="uk-UA" w:eastAsia="en-US"/>
        </w:rPr>
        <w:t xml:space="preserve"> 6</w:t>
      </w:r>
      <w:r w:rsidRPr="00864935">
        <w:rPr>
          <w:bCs/>
          <w:sz w:val="28"/>
          <w:szCs w:val="28"/>
          <w:lang w:val="uk-UA" w:eastAsia="en-US"/>
        </w:rPr>
        <w:t>].</w:t>
      </w:r>
      <w:r w:rsidRPr="00B53CB8">
        <w:rPr>
          <w:bCs/>
          <w:sz w:val="28"/>
          <w:szCs w:val="28"/>
          <w:lang w:val="uk-UA" w:eastAsia="en-US"/>
        </w:rPr>
        <w:t xml:space="preserve"> 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12761">
        <w:rPr>
          <w:bCs/>
          <w:spacing w:val="-2"/>
          <w:sz w:val="28"/>
          <w:szCs w:val="28"/>
          <w:lang w:val="uk-UA" w:eastAsia="en-US"/>
        </w:rPr>
        <w:t>Д</w:t>
      </w:r>
      <w:r w:rsidRPr="00B12761">
        <w:rPr>
          <w:spacing w:val="-2"/>
          <w:sz w:val="28"/>
          <w:szCs w:val="28"/>
          <w:lang w:val="uk-UA"/>
        </w:rPr>
        <w:t>ілова гра має на меті відтворення предметного й соціального наповнення</w:t>
      </w:r>
      <w:r w:rsidRPr="00B53CB8">
        <w:rPr>
          <w:sz w:val="28"/>
          <w:szCs w:val="28"/>
          <w:lang w:val="uk-UA"/>
        </w:rPr>
        <w:t xml:space="preserve"> професійної діяльності, проектування основних умов і взаємин, властивих певному видові роботи. У навчальному процесі ділові ігри проходять, зазвичай, </w:t>
      </w:r>
      <w:r w:rsidRPr="00B12761">
        <w:rPr>
          <w:spacing w:val="-2"/>
          <w:sz w:val="28"/>
          <w:szCs w:val="28"/>
          <w:lang w:val="uk-UA"/>
        </w:rPr>
        <w:t xml:space="preserve">у вигляді професійних педагогічних ігор. Залежно від </w:t>
      </w:r>
      <w:proofErr w:type="spellStart"/>
      <w:r w:rsidRPr="00B12761">
        <w:rPr>
          <w:spacing w:val="-2"/>
          <w:sz w:val="28"/>
          <w:szCs w:val="28"/>
          <w:lang w:val="uk-UA"/>
        </w:rPr>
        <w:t>функційного</w:t>
      </w:r>
      <w:proofErr w:type="spellEnd"/>
      <w:r w:rsidRPr="00B12761">
        <w:rPr>
          <w:spacing w:val="-2"/>
          <w:sz w:val="28"/>
          <w:szCs w:val="28"/>
          <w:lang w:val="uk-UA"/>
        </w:rPr>
        <w:t xml:space="preserve"> призначення</w:t>
      </w:r>
      <w:r w:rsidRPr="00B53CB8">
        <w:rPr>
          <w:sz w:val="28"/>
          <w:szCs w:val="28"/>
          <w:lang w:val="uk-UA"/>
        </w:rPr>
        <w:t>, ігри диференціюють на навчальні й дослідницькі. Навчальні ігри передбачають імітаційне моделювання процесів і механізмів, що характерні для професійної діяльності [</w:t>
      </w:r>
      <w:r w:rsidR="00864935">
        <w:rPr>
          <w:sz w:val="28"/>
          <w:szCs w:val="28"/>
          <w:lang w:val="uk-UA"/>
        </w:rPr>
        <w:t>2</w:t>
      </w:r>
      <w:r w:rsidRPr="00B53CB8">
        <w:rPr>
          <w:sz w:val="28"/>
          <w:szCs w:val="28"/>
          <w:lang w:val="uk-UA"/>
        </w:rPr>
        <w:t>;</w:t>
      </w:r>
      <w:r w:rsidR="00864935">
        <w:rPr>
          <w:sz w:val="28"/>
          <w:szCs w:val="28"/>
          <w:lang w:val="uk-UA"/>
        </w:rPr>
        <w:t xml:space="preserve"> 3</w:t>
      </w:r>
      <w:r w:rsidRPr="00B53CB8">
        <w:rPr>
          <w:sz w:val="28"/>
          <w:szCs w:val="28"/>
          <w:lang w:val="uk-UA"/>
        </w:rPr>
        <w:t>]. Натомість дослідницькі ігри, крім проектування реалій, допомагають моделювати об’єкти, процеси, механізми та експериментально вивчати їх. До того ж гра стає прикладом, який у майбутньому дасть змогу студентові використати її (у цілому або окремі елементи) як модель навчальних занять такого типу у власній діяльності [</w:t>
      </w:r>
      <w:r w:rsidR="00864935">
        <w:rPr>
          <w:sz w:val="28"/>
          <w:szCs w:val="28"/>
          <w:lang w:val="uk-UA"/>
        </w:rPr>
        <w:t>1</w:t>
      </w:r>
      <w:r w:rsidRPr="00B53CB8">
        <w:rPr>
          <w:sz w:val="28"/>
          <w:szCs w:val="28"/>
          <w:lang w:val="uk-UA"/>
        </w:rPr>
        <w:t>].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Перебіг ділової гри охоплює три етапи: підготовчий, проведення ділової гри та завершальний етап (</w:t>
      </w:r>
      <w:proofErr w:type="spellStart"/>
      <w:r w:rsidRPr="00B53CB8">
        <w:rPr>
          <w:sz w:val="28"/>
          <w:szCs w:val="28"/>
          <w:lang w:val="uk-UA"/>
        </w:rPr>
        <w:t>етап</w:t>
      </w:r>
      <w:proofErr w:type="spellEnd"/>
      <w:r w:rsidRPr="00B53CB8">
        <w:rPr>
          <w:sz w:val="28"/>
          <w:szCs w:val="28"/>
          <w:lang w:val="uk-UA"/>
        </w:rPr>
        <w:t xml:space="preserve"> оцінювання результатів). Під час підготовчого етапу потрібно написати сценарій та підготувати місце для проведення ігрової практики. На етапі проведення ділової гри викладач </w:t>
      </w:r>
      <w:r w:rsidRPr="00B53CB8">
        <w:rPr>
          <w:sz w:val="28"/>
          <w:szCs w:val="28"/>
          <w:lang w:val="uk-UA"/>
        </w:rPr>
        <w:lastRenderedPageBreak/>
        <w:t xml:space="preserve">зобов’язаний окреслити мету, ролі й рольові стосунки між усіма учасниками процесу, а також дати чіткі інструкції кожному учасникові стосовно того, що він повинен робити, запропонувати оцінювати діяльність групи, що грає, тим, хто не бере участь у грі («експертна група»). Під час проведення гри викладач має скеровувати діалог групи, якщо процес набуває затяжного характеру – давати підказки. Також викладач може створювати нові проблемні ситуації, якщо попередні були швидко розв’язані, та змінювати тему дискусії. Обов’язковим під час проведення ділової гри є обговорення як загальної структури, так і кожного окремого елемента. Етап оцінювання полягає в тому, що викладач вислуховує думку так званої «експертної групи»: чи було дотримано всіх правил  як грав </w:t>
      </w:r>
      <w:r w:rsidRPr="00B12761">
        <w:rPr>
          <w:spacing w:val="-2"/>
          <w:sz w:val="28"/>
          <w:szCs w:val="28"/>
          <w:lang w:val="uk-UA"/>
        </w:rPr>
        <w:t>кожен з учасників. Потім викладач та експерти обговорюють власне процес гри,</w:t>
      </w:r>
      <w:r w:rsidRPr="00B53CB8">
        <w:rPr>
          <w:sz w:val="28"/>
          <w:szCs w:val="28"/>
          <w:lang w:val="uk-UA"/>
        </w:rPr>
        <w:t xml:space="preserve"> її позитивні й негативні моменти. Метод ділової гри найкраще використовувати в підготовці студентів, які навчаються на старших курсах </w:t>
      </w:r>
      <w:proofErr w:type="spellStart"/>
      <w:r w:rsidRPr="00B53CB8">
        <w:rPr>
          <w:sz w:val="28"/>
          <w:szCs w:val="28"/>
          <w:lang w:val="uk-UA"/>
        </w:rPr>
        <w:t>бакалаврату</w:t>
      </w:r>
      <w:proofErr w:type="spellEnd"/>
      <w:r w:rsidRPr="00B53CB8">
        <w:rPr>
          <w:sz w:val="28"/>
          <w:szCs w:val="28"/>
          <w:lang w:val="uk-UA"/>
        </w:rPr>
        <w:t xml:space="preserve"> або в магістратурі, оскільки вони уже володіють базою знань і вміють їх застосовувати. Цей метод допоможе їм закріпити набуті знання, розвинути нові й удосконалити навички та вміння; розвинути особистісні якості [</w:t>
      </w:r>
      <w:r w:rsidR="00864935">
        <w:rPr>
          <w:sz w:val="28"/>
          <w:szCs w:val="28"/>
          <w:lang w:val="uk-UA"/>
        </w:rPr>
        <w:t>4</w:t>
      </w:r>
      <w:r w:rsidRPr="00B53CB8">
        <w:rPr>
          <w:sz w:val="28"/>
          <w:szCs w:val="28"/>
          <w:lang w:val="uk-UA"/>
        </w:rPr>
        <w:t xml:space="preserve">]. 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У процесі вивчення іноземних мов методи гри забезпечують формування комунікативної та </w:t>
      </w:r>
      <w:proofErr w:type="spellStart"/>
      <w:r w:rsidRPr="00B53CB8">
        <w:rPr>
          <w:sz w:val="28"/>
          <w:szCs w:val="28"/>
          <w:lang w:val="uk-UA"/>
        </w:rPr>
        <w:t>лінгвальної</w:t>
      </w:r>
      <w:proofErr w:type="spellEnd"/>
      <w:r w:rsidRPr="00B53CB8">
        <w:rPr>
          <w:sz w:val="28"/>
          <w:szCs w:val="28"/>
          <w:lang w:val="uk-UA"/>
        </w:rPr>
        <w:t xml:space="preserve"> компетентності студентів. Під час опанування педагогіки, психології, методики викладання іноземної мови тощо формується методична, інформаційна, управлінська компетентність. Ділова гра імітує різн</w:t>
      </w:r>
      <w:r>
        <w:rPr>
          <w:sz w:val="28"/>
          <w:szCs w:val="28"/>
          <w:lang w:val="uk-UA"/>
        </w:rPr>
        <w:t>і </w:t>
      </w:r>
      <w:r w:rsidRPr="00B53CB8">
        <w:rPr>
          <w:sz w:val="28"/>
          <w:szCs w:val="28"/>
          <w:lang w:val="uk-UA"/>
        </w:rPr>
        <w:t>аспекти професійної діяльності, соціальної взаємодії, слугує засобом ефективного навчання.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highlight w:val="yellow"/>
          <w:lang w:val="uk-UA"/>
        </w:rPr>
      </w:pPr>
      <w:r w:rsidRPr="00B53CB8">
        <w:rPr>
          <w:sz w:val="28"/>
          <w:szCs w:val="28"/>
          <w:lang w:val="uk-UA"/>
        </w:rPr>
        <w:t xml:space="preserve">Навчальна ділова гра має такі функції: 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1) розвивальна – забезпечує під час навчальної діяльності розвиток творчого потенціалу студентів, їхню самостійність в оволодінні методами отримання необхідних знань;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12761">
        <w:rPr>
          <w:spacing w:val="-4"/>
          <w:sz w:val="28"/>
          <w:szCs w:val="28"/>
          <w:lang w:val="uk-UA"/>
        </w:rPr>
        <w:t>2) комунікативна – реалізована через організацію спілкування, регулювання</w:t>
      </w:r>
      <w:r w:rsidRPr="00B53CB8">
        <w:rPr>
          <w:sz w:val="28"/>
          <w:szCs w:val="28"/>
          <w:lang w:val="uk-UA"/>
        </w:rPr>
        <w:t xml:space="preserve"> міжособистісних взаємин, виникнення механізму саморегуляції поведінки;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lastRenderedPageBreak/>
        <w:t>3)</w:t>
      </w:r>
      <w:proofErr w:type="spellStart"/>
      <w:r w:rsidRPr="00B53CB8">
        <w:rPr>
          <w:sz w:val="28"/>
          <w:szCs w:val="28"/>
          <w:lang w:val="uk-UA"/>
        </w:rPr>
        <w:t> активізаційн</w:t>
      </w:r>
      <w:proofErr w:type="spellEnd"/>
      <w:r w:rsidRPr="00B53CB8">
        <w:rPr>
          <w:sz w:val="28"/>
          <w:szCs w:val="28"/>
          <w:lang w:val="uk-UA"/>
        </w:rPr>
        <w:t>а – передбачає стимулювання пізнавальних процесів, інтересів, потреб;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4) інформаційна – виявляється в спрямованості змісту гри на соціальні, психологічні, педагогічні та методичні проблеми;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lang w:val="uk-UA"/>
        </w:rPr>
      </w:pPr>
      <w:r w:rsidRPr="00B53CB8">
        <w:rPr>
          <w:sz w:val="28"/>
          <w:szCs w:val="28"/>
          <w:lang w:val="uk-UA"/>
        </w:rPr>
        <w:t>5) інтеграційна – забезпечує міжпредметні зв’язки між курсами загальних об’єктів вивчення [</w:t>
      </w:r>
      <w:r w:rsidR="00864935">
        <w:rPr>
          <w:sz w:val="28"/>
          <w:szCs w:val="28"/>
          <w:lang w:val="uk-UA"/>
        </w:rPr>
        <w:t>5</w:t>
      </w:r>
      <w:r w:rsidRPr="00B53CB8">
        <w:rPr>
          <w:sz w:val="28"/>
          <w:szCs w:val="28"/>
          <w:lang w:val="uk-UA"/>
        </w:rPr>
        <w:t>].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>Ділова гра усуває суперечності між абстрактним характером навчального предмета й реальним характером професійної діяльності. Саме цим вона сприяє скороченню часу, запланованого для вивчення теми, і більш ефективному засвоєнню навчального матеріалу, процес навчання стає більш творчим та захопливим.</w:t>
      </w:r>
      <w:r w:rsidRPr="00B53CB8">
        <w:rPr>
          <w:b/>
          <w:sz w:val="28"/>
          <w:szCs w:val="28"/>
          <w:lang w:val="uk-UA"/>
        </w:rPr>
        <w:t xml:space="preserve"> </w:t>
      </w:r>
      <w:r w:rsidRPr="00B53CB8">
        <w:rPr>
          <w:sz w:val="28"/>
          <w:szCs w:val="28"/>
          <w:lang w:val="uk-UA"/>
        </w:rPr>
        <w:t>Наприклад, гра «</w:t>
      </w:r>
      <w:r w:rsidRPr="00B53CB8">
        <w:rPr>
          <w:i/>
          <w:sz w:val="28"/>
          <w:szCs w:val="28"/>
          <w:lang w:val="uk-UA"/>
        </w:rPr>
        <w:t>Моє майбутнє місце роботи</w:t>
      </w:r>
      <w:r w:rsidRPr="00B53CB8">
        <w:rPr>
          <w:sz w:val="28"/>
          <w:szCs w:val="28"/>
          <w:lang w:val="uk-UA"/>
        </w:rPr>
        <w:t>»</w:t>
      </w:r>
      <w:r w:rsidRPr="00B53CB8">
        <w:rPr>
          <w:i/>
          <w:sz w:val="28"/>
          <w:szCs w:val="28"/>
          <w:lang w:val="uk-UA"/>
        </w:rPr>
        <w:t>.</w:t>
      </w:r>
      <w:r w:rsidRPr="00B53CB8">
        <w:rPr>
          <w:sz w:val="28"/>
          <w:szCs w:val="28"/>
          <w:lang w:val="uk-UA"/>
        </w:rPr>
        <w:t xml:space="preserve"> Групі студентів пропонують самостійно скласти власне резюме так, щоб експерти (два–три студенти й викладач) серед інших кандидатів на посаду обрали одного. </w:t>
      </w:r>
    </w:p>
    <w:p w:rsidR="00501F29" w:rsidRPr="00B53CB8" w:rsidRDefault="00501F29" w:rsidP="00501F2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53CB8">
        <w:rPr>
          <w:sz w:val="28"/>
          <w:szCs w:val="28"/>
          <w:lang w:val="uk-UA"/>
        </w:rPr>
        <w:t xml:space="preserve">Перед початком гри викладач обов’язково окреслює професійні риси та критерії, згідно з якими потрібно обрати найкращого кандидата на посаду. Студенти не тільки усвідомлюють, які саме якості та навички їм необхідно сформувати для працевлаштування, але й вчаться </w:t>
      </w:r>
      <w:proofErr w:type="spellStart"/>
      <w:r w:rsidRPr="00B53CB8">
        <w:rPr>
          <w:sz w:val="28"/>
          <w:szCs w:val="28"/>
          <w:lang w:val="uk-UA"/>
        </w:rPr>
        <w:t>креативно</w:t>
      </w:r>
      <w:proofErr w:type="spellEnd"/>
      <w:r w:rsidRPr="00B53CB8">
        <w:rPr>
          <w:sz w:val="28"/>
          <w:szCs w:val="28"/>
          <w:lang w:val="uk-UA"/>
        </w:rPr>
        <w:t xml:space="preserve"> підходити до процесу самореклами. </w:t>
      </w:r>
    </w:p>
    <w:p w:rsidR="008D3A34" w:rsidRDefault="008D3A34">
      <w:pPr>
        <w:rPr>
          <w:lang w:val="uk-UA"/>
        </w:rPr>
      </w:pPr>
    </w:p>
    <w:p w:rsidR="006B4A7B" w:rsidRDefault="006B4A7B" w:rsidP="006B4A7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використаної літератури</w:t>
      </w:r>
    </w:p>
    <w:p w:rsidR="006B4A7B" w:rsidRDefault="006B4A7B">
      <w:pPr>
        <w:rPr>
          <w:lang w:val="uk-UA"/>
        </w:rPr>
      </w:pPr>
    </w:p>
    <w:p w:rsidR="006C68E0" w:rsidRPr="00933777" w:rsidRDefault="006C68E0" w:rsidP="006C68E0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134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bookmarkStart w:id="1" w:name="_Ref7473818"/>
      <w:proofErr w:type="spellStart"/>
      <w:r w:rsidRPr="00933777">
        <w:rPr>
          <w:sz w:val="28"/>
          <w:szCs w:val="28"/>
        </w:rPr>
        <w:t>Березюк</w:t>
      </w:r>
      <w:proofErr w:type="spellEnd"/>
      <w:r w:rsidRPr="00933777">
        <w:rPr>
          <w:sz w:val="28"/>
          <w:szCs w:val="28"/>
        </w:rPr>
        <w:t xml:space="preserve"> О. С. Методи організації </w:t>
      </w:r>
      <w:proofErr w:type="spellStart"/>
      <w:r w:rsidRPr="00933777">
        <w:rPr>
          <w:sz w:val="28"/>
          <w:szCs w:val="28"/>
        </w:rPr>
        <w:t>особистісно</w:t>
      </w:r>
      <w:proofErr w:type="spellEnd"/>
      <w:r w:rsidRPr="00933777">
        <w:rPr>
          <w:sz w:val="28"/>
          <w:szCs w:val="28"/>
        </w:rPr>
        <w:t xml:space="preserve"> орієнтованого навчання в освітньому середовищі. </w:t>
      </w:r>
      <w:r w:rsidRPr="00933777">
        <w:rPr>
          <w:i/>
          <w:sz w:val="28"/>
          <w:szCs w:val="28"/>
        </w:rPr>
        <w:t xml:space="preserve">Професійна педагогічна освіта: </w:t>
      </w:r>
      <w:proofErr w:type="spellStart"/>
      <w:r w:rsidRPr="00933777">
        <w:rPr>
          <w:i/>
          <w:sz w:val="28"/>
          <w:szCs w:val="28"/>
        </w:rPr>
        <w:t>особистісно</w:t>
      </w:r>
      <w:proofErr w:type="spellEnd"/>
      <w:r w:rsidRPr="00933777">
        <w:rPr>
          <w:i/>
          <w:sz w:val="28"/>
          <w:szCs w:val="28"/>
        </w:rPr>
        <w:t xml:space="preserve"> орієнтований підхід:</w:t>
      </w:r>
      <w:r w:rsidRPr="00933777">
        <w:rPr>
          <w:sz w:val="28"/>
          <w:szCs w:val="28"/>
        </w:rPr>
        <w:t xml:space="preserve"> монографія / за ред. </w:t>
      </w:r>
      <w:proofErr w:type="spellStart"/>
      <w:r w:rsidRPr="00933777">
        <w:rPr>
          <w:sz w:val="28"/>
          <w:szCs w:val="28"/>
        </w:rPr>
        <w:t>О. А. Дубасе</w:t>
      </w:r>
      <w:proofErr w:type="spellEnd"/>
      <w:r w:rsidRPr="00933777">
        <w:rPr>
          <w:sz w:val="28"/>
          <w:szCs w:val="28"/>
        </w:rPr>
        <w:t>нюк. Житомир: Вид-во ЖДУ ім. І. Франка, 2012. С. 346–360.</w:t>
      </w:r>
      <w:bookmarkEnd w:id="1"/>
    </w:p>
    <w:p w:rsidR="006C68E0" w:rsidRDefault="006C68E0" w:rsidP="006C68E0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134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proofErr w:type="spellStart"/>
      <w:r w:rsidRPr="00933777">
        <w:rPr>
          <w:sz w:val="28"/>
          <w:szCs w:val="28"/>
        </w:rPr>
        <w:t>Березюк</w:t>
      </w:r>
      <w:proofErr w:type="spellEnd"/>
      <w:r w:rsidRPr="00933777">
        <w:rPr>
          <w:sz w:val="28"/>
          <w:szCs w:val="28"/>
        </w:rPr>
        <w:t xml:space="preserve"> О. С. Методи організації </w:t>
      </w:r>
      <w:proofErr w:type="spellStart"/>
      <w:r w:rsidRPr="00933777">
        <w:rPr>
          <w:sz w:val="28"/>
          <w:szCs w:val="28"/>
        </w:rPr>
        <w:t>особистісно</w:t>
      </w:r>
      <w:proofErr w:type="spellEnd"/>
      <w:r w:rsidRPr="00933777">
        <w:rPr>
          <w:sz w:val="28"/>
          <w:szCs w:val="28"/>
        </w:rPr>
        <w:t xml:space="preserve"> орієнтованого навчання в освітньому середовищі. Професійна педагогічна освіта: </w:t>
      </w:r>
      <w:proofErr w:type="spellStart"/>
      <w:r w:rsidRPr="00933777">
        <w:rPr>
          <w:sz w:val="28"/>
          <w:szCs w:val="28"/>
        </w:rPr>
        <w:t>особистісно</w:t>
      </w:r>
      <w:proofErr w:type="spellEnd"/>
      <w:r w:rsidRPr="00933777">
        <w:rPr>
          <w:sz w:val="28"/>
          <w:szCs w:val="28"/>
        </w:rPr>
        <w:t xml:space="preserve"> орієнтований </w:t>
      </w:r>
      <w:bookmarkStart w:id="2" w:name="Березюк_методи_організації"/>
      <w:bookmarkEnd w:id="2"/>
      <w:r w:rsidRPr="00933777">
        <w:rPr>
          <w:sz w:val="28"/>
          <w:szCs w:val="28"/>
        </w:rPr>
        <w:t xml:space="preserve">підхід : монографія / за ред. О. А. </w:t>
      </w:r>
      <w:proofErr w:type="spellStart"/>
      <w:r w:rsidRPr="00933777">
        <w:rPr>
          <w:sz w:val="28"/>
          <w:szCs w:val="28"/>
        </w:rPr>
        <w:t>Дубасенюк</w:t>
      </w:r>
      <w:proofErr w:type="spellEnd"/>
      <w:r w:rsidRPr="00933777">
        <w:rPr>
          <w:sz w:val="28"/>
          <w:szCs w:val="28"/>
        </w:rPr>
        <w:t xml:space="preserve">. Житомир : Вид-во ЖДУ </w:t>
      </w:r>
      <w:proofErr w:type="spellStart"/>
      <w:r w:rsidRPr="00933777">
        <w:rPr>
          <w:sz w:val="28"/>
          <w:szCs w:val="28"/>
        </w:rPr>
        <w:t>ім. І. Фр</w:t>
      </w:r>
      <w:proofErr w:type="spellEnd"/>
      <w:r w:rsidRPr="00933777">
        <w:rPr>
          <w:sz w:val="28"/>
          <w:szCs w:val="28"/>
        </w:rPr>
        <w:t>анка, 2012. С. 346-360.</w:t>
      </w:r>
    </w:p>
    <w:p w:rsidR="00864935" w:rsidRPr="00864935" w:rsidRDefault="00864935" w:rsidP="00864935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72" w:lineRule="auto"/>
        <w:ind w:left="0" w:firstLine="709"/>
        <w:jc w:val="both"/>
        <w:rPr>
          <w:sz w:val="28"/>
          <w:szCs w:val="28"/>
        </w:rPr>
      </w:pPr>
      <w:bookmarkStart w:id="3" w:name="_Ref7943375"/>
      <w:proofErr w:type="spellStart"/>
      <w:r w:rsidRPr="00933777">
        <w:rPr>
          <w:sz w:val="28"/>
          <w:szCs w:val="28"/>
        </w:rPr>
        <w:lastRenderedPageBreak/>
        <w:t>Жицька</w:t>
      </w:r>
      <w:proofErr w:type="spellEnd"/>
      <w:r w:rsidRPr="00933777">
        <w:rPr>
          <w:sz w:val="28"/>
          <w:szCs w:val="28"/>
        </w:rPr>
        <w:t xml:space="preserve"> С. А. Використання навчально-рольових ігор професійної спрямованості для підготовки до професійно-</w:t>
      </w:r>
      <w:r>
        <w:rPr>
          <w:sz w:val="28"/>
          <w:szCs w:val="28"/>
        </w:rPr>
        <w:t>комунікативної діяльності. URL:</w:t>
      </w:r>
      <w:hyperlink r:id="rId6" w:history="1">
        <w:r w:rsidRPr="00933777">
          <w:rPr>
            <w:sz w:val="28"/>
            <w:szCs w:val="28"/>
          </w:rPr>
          <w:t>http://webcache.googleusercontent.com/search?q=cache:http://confesp.fl.kpi.ua/ru/node/1083</w:t>
        </w:r>
      </w:hyperlink>
      <w:r w:rsidRPr="00933777">
        <w:rPr>
          <w:sz w:val="28"/>
          <w:szCs w:val="28"/>
        </w:rPr>
        <w:t xml:space="preserve"> (дата звернення:</w:t>
      </w:r>
      <w:r>
        <w:rPr>
          <w:sz w:val="28"/>
          <w:szCs w:val="28"/>
        </w:rPr>
        <w:t xml:space="preserve"> 16.10.2021</w:t>
      </w:r>
      <w:r w:rsidRPr="00933777">
        <w:rPr>
          <w:sz w:val="28"/>
          <w:szCs w:val="28"/>
        </w:rPr>
        <w:t>).</w:t>
      </w:r>
      <w:bookmarkEnd w:id="3"/>
    </w:p>
    <w:p w:rsidR="006C68E0" w:rsidRDefault="006C68E0" w:rsidP="006C68E0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bookmarkStart w:id="4" w:name="_Ref7943473"/>
      <w:proofErr w:type="spellStart"/>
      <w:r w:rsidRPr="00933777">
        <w:rPr>
          <w:sz w:val="28"/>
          <w:szCs w:val="28"/>
        </w:rPr>
        <w:t>Киричок</w:t>
      </w:r>
      <w:proofErr w:type="spellEnd"/>
      <w:r w:rsidRPr="00933777">
        <w:rPr>
          <w:sz w:val="28"/>
          <w:szCs w:val="28"/>
        </w:rPr>
        <w:t xml:space="preserve"> А. П. Використання методу ділова гра в підготовці фахівців зі зв’язків з громадськістю. Обрії друкарства. 2016. № 1 (5). С. 46–51.</w:t>
      </w:r>
      <w:bookmarkEnd w:id="4"/>
      <w:r w:rsidRPr="00933777">
        <w:rPr>
          <w:sz w:val="28"/>
          <w:szCs w:val="28"/>
        </w:rPr>
        <w:t xml:space="preserve"> </w:t>
      </w:r>
    </w:p>
    <w:p w:rsidR="00864935" w:rsidRDefault="006C68E0" w:rsidP="00864935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bookmarkStart w:id="5" w:name="_Ref7943510"/>
      <w:proofErr w:type="spellStart"/>
      <w:r w:rsidRPr="00933777">
        <w:rPr>
          <w:sz w:val="28"/>
          <w:szCs w:val="28"/>
        </w:rPr>
        <w:t>Циркаль</w:t>
      </w:r>
      <w:proofErr w:type="spellEnd"/>
      <w:r w:rsidRPr="00933777">
        <w:rPr>
          <w:sz w:val="28"/>
          <w:szCs w:val="28"/>
        </w:rPr>
        <w:t xml:space="preserve"> А. Ю. Огляд найбільш цікавих інтерактивних методів на заняттях з англійської мови. </w:t>
      </w:r>
      <w:r w:rsidRPr="00933777">
        <w:rPr>
          <w:i/>
          <w:sz w:val="28"/>
          <w:szCs w:val="28"/>
        </w:rPr>
        <w:t>Сучасні методи викладання іноземної мови професійного спрямування у вищій школі:</w:t>
      </w:r>
      <w:r w:rsidRPr="00933777">
        <w:rPr>
          <w:sz w:val="28"/>
          <w:szCs w:val="28"/>
        </w:rPr>
        <w:t xml:space="preserve"> зб. наук. статей. Київ: НТУУ «КПІ», 2013. С. 350–360.</w:t>
      </w:r>
      <w:bookmarkStart w:id="6" w:name="_Ref7378774"/>
      <w:bookmarkEnd w:id="5"/>
    </w:p>
    <w:p w:rsidR="006C68E0" w:rsidRPr="00864935" w:rsidRDefault="006C68E0" w:rsidP="00864935">
      <w:pPr>
        <w:pStyle w:val="1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709"/>
        <w:jc w:val="both"/>
        <w:rPr>
          <w:sz w:val="28"/>
          <w:szCs w:val="28"/>
        </w:rPr>
      </w:pPr>
      <w:proofErr w:type="spellStart"/>
      <w:r w:rsidRPr="00864935">
        <w:rPr>
          <w:sz w:val="28"/>
          <w:szCs w:val="28"/>
        </w:rPr>
        <w:t>Ягупов</w:t>
      </w:r>
      <w:proofErr w:type="spellEnd"/>
      <w:r w:rsidRPr="00864935">
        <w:rPr>
          <w:sz w:val="28"/>
          <w:szCs w:val="28"/>
        </w:rPr>
        <w:t xml:space="preserve"> В. В. Імітаційні методи навчання. Метод інсценування. URL: </w:t>
      </w:r>
      <w:hyperlink r:id="rId7" w:history="1">
        <w:r w:rsidRPr="00864935">
          <w:rPr>
            <w:sz w:val="28"/>
            <w:szCs w:val="28"/>
          </w:rPr>
          <w:t>https://eduknigi.com/ped_view.php?id=196</w:t>
        </w:r>
      </w:hyperlink>
      <w:r w:rsidR="00240F51" w:rsidRPr="00864935">
        <w:rPr>
          <w:sz w:val="28"/>
          <w:szCs w:val="28"/>
        </w:rPr>
        <w:t xml:space="preserve"> (дата звернення: 04.10.2021</w:t>
      </w:r>
      <w:r w:rsidRPr="00864935">
        <w:rPr>
          <w:sz w:val="28"/>
          <w:szCs w:val="28"/>
        </w:rPr>
        <w:t>).</w:t>
      </w:r>
      <w:bookmarkEnd w:id="6"/>
    </w:p>
    <w:p w:rsidR="006C68E0" w:rsidRPr="006C68E0" w:rsidRDefault="006C68E0">
      <w:pPr>
        <w:rPr>
          <w:lang w:val="uk-UA"/>
        </w:rPr>
      </w:pPr>
    </w:p>
    <w:sectPr w:rsidR="006C68E0" w:rsidRPr="006C68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F29"/>
    <w:rsid w:val="000A1130"/>
    <w:rsid w:val="00240F51"/>
    <w:rsid w:val="00501F29"/>
    <w:rsid w:val="006B4A7B"/>
    <w:rsid w:val="006C68E0"/>
    <w:rsid w:val="008572BA"/>
    <w:rsid w:val="00864935"/>
    <w:rsid w:val="008D3A34"/>
    <w:rsid w:val="00D05A81"/>
    <w:rsid w:val="00EF1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F29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aliases w:val="для моей работы"/>
    <w:basedOn w:val="a"/>
    <w:uiPriority w:val="34"/>
    <w:qFormat/>
    <w:rsid w:val="006C68E0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F29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aliases w:val="для моей работы"/>
    <w:basedOn w:val="a"/>
    <w:uiPriority w:val="34"/>
    <w:qFormat/>
    <w:rsid w:val="006C68E0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eduknigi.com/ped_view.php?id=19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ebcache.googleusercontent.com/search?q=cache:http://confesp.fl.kpi.ua/ru/node/108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785</Words>
  <Characters>5410</Characters>
  <Application>Microsoft Office Word</Application>
  <DocSecurity>0</DocSecurity>
  <Lines>106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2021-12-06T14:00:00Z</dcterms:created>
  <dcterms:modified xsi:type="dcterms:W3CDTF">2021-12-06T14:00:00Z</dcterms:modified>
</cp:coreProperties>
</file>