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329" w:rsidRDefault="004B5329" w:rsidP="00A92E69">
      <w:pPr>
        <w:spacing w:after="0" w:line="360" w:lineRule="auto"/>
        <w:ind w:firstLine="720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482FAE">
        <w:rPr>
          <w:rFonts w:ascii="Times New Roman" w:hAnsi="Times New Roman"/>
          <w:b/>
          <w:caps/>
          <w:sz w:val="28"/>
          <w:szCs w:val="28"/>
          <w:lang w:val="uk-UA"/>
        </w:rPr>
        <w:t>місце страхових компаній в системі недер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жавного пенсійного забезпечення</w:t>
      </w:r>
    </w:p>
    <w:p w:rsidR="004B5329" w:rsidRPr="00482FAE" w:rsidRDefault="004B5329" w:rsidP="006C0ACD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4B5329" w:rsidRPr="00344953" w:rsidRDefault="004B5329" w:rsidP="006C0ACD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М. А. ПОДЗЕРЕЙ</w:t>
      </w:r>
      <w:r w:rsidRPr="00344953">
        <w:rPr>
          <w:rFonts w:ascii="Times New Roman" w:hAnsi="Times New Roman"/>
          <w:sz w:val="28"/>
          <w:szCs w:val="28"/>
          <w:lang w:val="uk-UA"/>
        </w:rPr>
        <w:t>, 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953">
        <w:rPr>
          <w:rFonts w:ascii="Times New Roman" w:hAnsi="Times New Roman"/>
          <w:sz w:val="28"/>
          <w:szCs w:val="28"/>
          <w:lang w:val="uk-UA"/>
        </w:rPr>
        <w:t>А. ПРИСТУПА</w:t>
      </w:r>
    </w:p>
    <w:p w:rsidR="004B5329" w:rsidRDefault="004B5329" w:rsidP="006C0ACD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Хмельницький національний університет</w:t>
      </w:r>
    </w:p>
    <w:p w:rsidR="004B5329" w:rsidRDefault="004B5329" w:rsidP="006C0ACD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B5329" w:rsidRPr="00482FAE" w:rsidRDefault="004B5329" w:rsidP="006C0ACD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482FAE">
        <w:rPr>
          <w:rFonts w:ascii="Times New Roman" w:hAnsi="Times New Roman"/>
          <w:i/>
          <w:sz w:val="24"/>
          <w:szCs w:val="24"/>
          <w:lang w:val="uk-UA"/>
        </w:rPr>
        <w:t xml:space="preserve">У статті здійснено аналіз валових страхових премій та виплат договорів страхування, якими передбачено досягнення застрахованою особою визначеного договором пенсійного віку, а також розглянуто 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місце страхових компаній в системі недержавного пенсійного забезпечення. </w:t>
      </w:r>
    </w:p>
    <w:p w:rsidR="004B5329" w:rsidRPr="00084B49" w:rsidRDefault="004B5329" w:rsidP="006C0A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B5329" w:rsidRPr="00D76512" w:rsidRDefault="004B5329" w:rsidP="006C0A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44953"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</w:t>
      </w:r>
      <w:r w:rsidRPr="00D76512">
        <w:rPr>
          <w:rFonts w:ascii="Times New Roman" w:hAnsi="Times New Roman"/>
          <w:sz w:val="28"/>
          <w:szCs w:val="28"/>
          <w:lang w:val="uk-UA"/>
        </w:rPr>
        <w:t xml:space="preserve">У сучасних умовах господарювання в Україні попри </w:t>
      </w:r>
      <w:r>
        <w:rPr>
          <w:rFonts w:ascii="Times New Roman" w:hAnsi="Times New Roman"/>
          <w:sz w:val="28"/>
          <w:szCs w:val="28"/>
          <w:lang w:val="uk-UA"/>
        </w:rPr>
        <w:t xml:space="preserve">низку </w:t>
      </w:r>
      <w:r w:rsidRPr="00D76512">
        <w:rPr>
          <w:rFonts w:ascii="Times New Roman" w:hAnsi="Times New Roman"/>
          <w:sz w:val="28"/>
          <w:szCs w:val="28"/>
          <w:lang w:val="uk-UA"/>
        </w:rPr>
        <w:t>економічних проблем досить гостро постали питання соціального захисту населення, зокрема у сфері пенсійного забезпечення, медичного обслуговування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76512">
        <w:rPr>
          <w:rFonts w:ascii="Times New Roman" w:hAnsi="Times New Roman"/>
          <w:sz w:val="28"/>
          <w:szCs w:val="28"/>
          <w:lang w:val="uk-UA"/>
        </w:rPr>
        <w:t>захисту при настанні різного роду нещасних випадків.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76512">
        <w:rPr>
          <w:rFonts w:ascii="Times New Roman" w:hAnsi="Times New Roman"/>
          <w:sz w:val="28"/>
          <w:szCs w:val="28"/>
          <w:lang w:val="uk-UA"/>
        </w:rPr>
        <w:t>Єдиним дієвим механізмом вирішення таких проблем є побудова ефективної системи державного соціального страхування     та     створення     умов     для     розвитку добровільного особистого страхування.</w:t>
      </w:r>
    </w:p>
    <w:p w:rsidR="004B5329" w:rsidRPr="00B914E2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B914E2">
        <w:rPr>
          <w:rFonts w:ascii="Times New Roman" w:hAnsi="Times New Roman"/>
          <w:sz w:val="28"/>
          <w:szCs w:val="28"/>
          <w:lang w:val="uk-UA"/>
        </w:rPr>
        <w:t xml:space="preserve"> Україні впроваджено інноваційний підхід до структури системи пенсійного забезпечення – трирівневу пенсійну систему, у зв’язку з чим і виникає багато проблем. Третій рівень недержавного  пенсійного  забезпечення  вважається  найбільш перспективним. </w:t>
      </w:r>
    </w:p>
    <w:p w:rsidR="004B5329" w:rsidRPr="00084B49" w:rsidRDefault="004B5329" w:rsidP="006C0ACD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44953"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</w:t>
      </w:r>
      <w:r w:rsidRPr="0034495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36791">
        <w:rPr>
          <w:rFonts w:ascii="Times New Roman" w:hAnsi="Times New Roman"/>
          <w:sz w:val="28"/>
          <w:szCs w:val="28"/>
          <w:lang w:val="uk-UA"/>
        </w:rPr>
        <w:t>Досліджен</w:t>
      </w:r>
      <w:r>
        <w:rPr>
          <w:rFonts w:ascii="Times New Roman" w:hAnsi="Times New Roman"/>
          <w:sz w:val="28"/>
          <w:szCs w:val="28"/>
          <w:lang w:val="uk-UA"/>
        </w:rPr>
        <w:t xml:space="preserve">ню         особливостей </w:t>
      </w:r>
      <w:r w:rsidRPr="00036791">
        <w:rPr>
          <w:rFonts w:ascii="Times New Roman" w:hAnsi="Times New Roman"/>
          <w:sz w:val="28"/>
          <w:szCs w:val="28"/>
          <w:lang w:val="uk-UA"/>
        </w:rPr>
        <w:t>функціонування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сфери </w:t>
      </w:r>
      <w:r w:rsidRPr="00036791">
        <w:rPr>
          <w:rFonts w:ascii="Times New Roman" w:hAnsi="Times New Roman"/>
          <w:sz w:val="28"/>
          <w:szCs w:val="28"/>
          <w:lang w:val="uk-UA"/>
        </w:rPr>
        <w:t xml:space="preserve">особистого </w:t>
      </w:r>
      <w:r>
        <w:rPr>
          <w:rFonts w:ascii="Times New Roman" w:hAnsi="Times New Roman"/>
          <w:sz w:val="28"/>
          <w:szCs w:val="28"/>
          <w:lang w:val="uk-UA"/>
        </w:rPr>
        <w:t xml:space="preserve">пенсійного </w:t>
      </w:r>
      <w:r w:rsidRPr="00036791">
        <w:rPr>
          <w:rFonts w:ascii="Times New Roman" w:hAnsi="Times New Roman"/>
          <w:sz w:val="28"/>
          <w:szCs w:val="28"/>
          <w:lang w:val="uk-UA"/>
        </w:rPr>
        <w:t xml:space="preserve">страхування присвячені праці багатьох вітчизняних науковців, серед яких О. Залєтов, </w:t>
      </w:r>
      <w:r w:rsidRPr="00A92E69"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036791">
        <w:rPr>
          <w:rFonts w:ascii="Times New Roman" w:hAnsi="Times New Roman"/>
          <w:sz w:val="28"/>
          <w:szCs w:val="28"/>
          <w:lang w:val="uk-UA"/>
        </w:rPr>
        <w:t>Н. Нагайчук, С. Осадець, В. Плиса, О. Славіна, К. Слюсаренко, О. Солдатенко, Я. Шумелда та інші</w:t>
      </w:r>
      <w:r>
        <w:rPr>
          <w:rFonts w:ascii="Times New Roman" w:hAnsi="Times New Roman"/>
          <w:sz w:val="28"/>
          <w:szCs w:val="28"/>
          <w:lang w:val="uk-UA"/>
        </w:rPr>
        <w:t xml:space="preserve"> [1, 3, 4 та ін.]</w:t>
      </w:r>
      <w:r w:rsidRPr="0003679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5329" w:rsidRPr="00DC26FE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44953"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 дослідження.</w:t>
      </w:r>
      <w:r w:rsidRPr="003449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C26FE">
        <w:rPr>
          <w:rFonts w:ascii="Times New Roman" w:hAnsi="Times New Roman"/>
          <w:color w:val="000000"/>
          <w:sz w:val="28"/>
          <w:szCs w:val="28"/>
          <w:lang w:val="uk-UA"/>
        </w:rPr>
        <w:t>Світовий с</w:t>
      </w:r>
      <w:r w:rsidRPr="00DC26FE">
        <w:rPr>
          <w:rFonts w:ascii="Times New Roman" w:hAnsi="Times New Roman"/>
          <w:color w:val="000000"/>
          <w:sz w:val="28"/>
          <w:szCs w:val="28"/>
        </w:rPr>
        <w:t xml:space="preserve">траховий ринок чітко поділений на ринок страхування життя і ринок загального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</w:t>
      </w:r>
      <w:r w:rsidRPr="00DC26FE">
        <w:rPr>
          <w:rFonts w:ascii="Times New Roman" w:hAnsi="Times New Roman"/>
          <w:color w:val="000000"/>
          <w:sz w:val="28"/>
          <w:szCs w:val="28"/>
        </w:rPr>
        <w:t>страхування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[1</w:t>
      </w:r>
      <w:r w:rsidRPr="008D0D44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Pr="00DC26FE">
        <w:rPr>
          <w:rFonts w:ascii="Times New Roman" w:hAnsi="Times New Roman"/>
          <w:color w:val="000000"/>
          <w:sz w:val="28"/>
          <w:szCs w:val="28"/>
        </w:rPr>
        <w:t xml:space="preserve">. Відповідним чином будується і статистика. 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Варто прослідкувати динаміку кількості страхових компаній, </w:t>
      </w:r>
      <w:r w:rsidRPr="00372377">
        <w:rPr>
          <w:rFonts w:ascii="Times New Roman" w:hAnsi="Times New Roman"/>
          <w:sz w:val="28"/>
          <w:szCs w:val="28"/>
          <w:lang w:val="uk-UA"/>
        </w:rPr>
        <w:t xml:space="preserve"> що здійснюют</w:t>
      </w:r>
      <w:r>
        <w:rPr>
          <w:rFonts w:ascii="Times New Roman" w:hAnsi="Times New Roman"/>
          <w:sz w:val="28"/>
          <w:szCs w:val="28"/>
          <w:lang w:val="uk-UA"/>
        </w:rPr>
        <w:t xml:space="preserve">ь страхування видів, інших ніж </w:t>
      </w:r>
      <w:r w:rsidRPr="00372377">
        <w:rPr>
          <w:rFonts w:ascii="Times New Roman" w:hAnsi="Times New Roman"/>
          <w:sz w:val="28"/>
          <w:szCs w:val="28"/>
          <w:lang w:val="uk-UA"/>
        </w:rPr>
        <w:t>страхування життя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377">
        <w:rPr>
          <w:rFonts w:ascii="Times New Roman" w:hAnsi="Times New Roman"/>
          <w:sz w:val="28"/>
          <w:szCs w:val="28"/>
          <w:lang w:val="uk-UA"/>
        </w:rPr>
        <w:t>СК "non-Life"</w:t>
      </w:r>
      <w:r>
        <w:rPr>
          <w:rFonts w:ascii="Times New Roman" w:hAnsi="Times New Roman"/>
          <w:sz w:val="28"/>
          <w:szCs w:val="28"/>
          <w:lang w:val="uk-UA"/>
        </w:rPr>
        <w:t>) та страхових компаній</w:t>
      </w:r>
      <w:r w:rsidRPr="00372377">
        <w:rPr>
          <w:rFonts w:ascii="Times New Roman" w:hAnsi="Times New Roman"/>
          <w:sz w:val="28"/>
          <w:szCs w:val="28"/>
          <w:lang w:val="uk-UA"/>
        </w:rPr>
        <w:t>, що здійснюють страхування життя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377">
        <w:rPr>
          <w:rFonts w:ascii="Times New Roman" w:hAnsi="Times New Roman"/>
          <w:sz w:val="28"/>
          <w:szCs w:val="28"/>
          <w:lang w:val="uk-UA"/>
        </w:rPr>
        <w:t>CК "Life"</w:t>
      </w:r>
      <w:r>
        <w:rPr>
          <w:rFonts w:ascii="Times New Roman" w:hAnsi="Times New Roman"/>
          <w:sz w:val="28"/>
          <w:szCs w:val="28"/>
          <w:lang w:val="uk-UA"/>
        </w:rPr>
        <w:t>) (табл. 1</w:t>
      </w:r>
      <w:r w:rsidRPr="00344953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5329" w:rsidRPr="00372377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5329" w:rsidRPr="009A272F" w:rsidRDefault="004B5329" w:rsidP="006C0AC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1 – Динаміка кількості страхових компаній України за 2009-2011 роки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992"/>
        <w:gridCol w:w="850"/>
        <w:gridCol w:w="851"/>
        <w:gridCol w:w="1276"/>
        <w:gridCol w:w="1275"/>
      </w:tblGrid>
      <w:tr w:rsidR="004B5329" w:rsidRPr="00A465CC" w:rsidTr="00454E67">
        <w:trPr>
          <w:trHeight w:hRule="exact" w:val="283"/>
        </w:trPr>
        <w:tc>
          <w:tcPr>
            <w:tcW w:w="439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566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56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Кількість страхових компаній</w:t>
            </w:r>
          </w:p>
          <w:p w:rsidR="004B5329" w:rsidRPr="00A465CC" w:rsidRDefault="004B5329" w:rsidP="00454E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B5329" w:rsidRPr="00A465CC" w:rsidRDefault="004B5329" w:rsidP="00454E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B5329" w:rsidRPr="00A465CC" w:rsidRDefault="004B5329" w:rsidP="00454E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а кінець року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Темпи приросту %</w:t>
            </w:r>
          </w:p>
        </w:tc>
      </w:tr>
      <w:tr w:rsidR="004B5329" w:rsidRPr="00A465CC" w:rsidTr="00454E67">
        <w:trPr>
          <w:trHeight w:hRule="exact" w:val="331"/>
        </w:trPr>
        <w:tc>
          <w:tcPr>
            <w:tcW w:w="439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74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2010</w:t>
            </w:r>
            <w:r w:rsidRPr="00A465CC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/ </w:t>
            </w:r>
            <w:r w:rsidRPr="00A465CC">
              <w:rPr>
                <w:rFonts w:ascii="Times New Roman" w:hAnsi="Times New Roman"/>
                <w:spacing w:val="-5"/>
                <w:sz w:val="24"/>
                <w:szCs w:val="24"/>
                <w:lang w:val="uk-UA"/>
              </w:rPr>
              <w:t>200</w:t>
            </w:r>
            <w:r>
              <w:rPr>
                <w:rFonts w:ascii="Times New Roman" w:hAnsi="Times New Roman"/>
                <w:spacing w:val="-5"/>
                <w:sz w:val="24"/>
                <w:szCs w:val="24"/>
                <w:lang w:val="uk-UA"/>
              </w:rPr>
              <w:t>9</w:t>
            </w:r>
          </w:p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2011</w:t>
            </w:r>
            <w:r w:rsidRPr="00A465CC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/ </w:t>
            </w:r>
            <w:r w:rsidRPr="00A465CC">
              <w:rPr>
                <w:rFonts w:ascii="Times New Roman" w:hAnsi="Times New Roman"/>
                <w:spacing w:val="-5"/>
                <w:sz w:val="24"/>
                <w:szCs w:val="24"/>
                <w:lang w:val="uk-UA"/>
              </w:rPr>
              <w:t>20</w:t>
            </w:r>
            <w:r>
              <w:rPr>
                <w:rFonts w:ascii="Times New Roman" w:hAnsi="Times New Roman"/>
                <w:spacing w:val="-5"/>
                <w:sz w:val="24"/>
                <w:szCs w:val="24"/>
                <w:lang w:val="uk-UA"/>
              </w:rPr>
              <w:t>10</w:t>
            </w:r>
          </w:p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5329" w:rsidRPr="00A465CC" w:rsidTr="00454E67">
        <w:trPr>
          <w:trHeight w:hRule="exact" w:val="278"/>
        </w:trPr>
        <w:tc>
          <w:tcPr>
            <w:tcW w:w="439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pacing w:val="-6"/>
                <w:sz w:val="24"/>
                <w:szCs w:val="24"/>
                <w:lang w:val="uk-UA"/>
              </w:rPr>
              <w:t>200</w:t>
            </w:r>
            <w:r>
              <w:rPr>
                <w:rFonts w:ascii="Times New Roman" w:hAnsi="Times New Roman"/>
                <w:spacing w:val="-6"/>
                <w:sz w:val="24"/>
                <w:szCs w:val="24"/>
                <w:lang w:val="uk-UA"/>
              </w:rPr>
              <w:t>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pacing w:val="-7"/>
                <w:sz w:val="24"/>
                <w:szCs w:val="24"/>
                <w:lang w:val="uk-UA"/>
              </w:rPr>
              <w:t>20</w:t>
            </w:r>
            <w:r>
              <w:rPr>
                <w:rFonts w:ascii="Times New Roman" w:hAnsi="Times New Roman"/>
                <w:spacing w:val="-7"/>
                <w:sz w:val="24"/>
                <w:szCs w:val="24"/>
                <w:lang w:val="uk-UA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pacing w:val="-7"/>
                <w:sz w:val="24"/>
                <w:szCs w:val="24"/>
                <w:lang w:val="uk-UA"/>
              </w:rPr>
              <w:t>20</w:t>
            </w:r>
            <w:r>
              <w:rPr>
                <w:rFonts w:ascii="Times New Roman" w:hAnsi="Times New Roman"/>
                <w:spacing w:val="-7"/>
                <w:sz w:val="24"/>
                <w:szCs w:val="24"/>
                <w:lang w:val="uk-UA"/>
              </w:rPr>
              <w:t>11</w:t>
            </w: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5329" w:rsidRPr="00A465CC" w:rsidTr="00454E67">
        <w:trPr>
          <w:trHeight w:hRule="exact" w:val="278"/>
        </w:trPr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6B2996">
            <w:pPr>
              <w:shd w:val="clear" w:color="auto" w:fill="FFFFFF"/>
              <w:spacing w:after="0" w:line="240" w:lineRule="auto"/>
              <w:ind w:left="1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Загальна кількість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456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442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1,3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-3,1</w:t>
            </w:r>
          </w:p>
        </w:tc>
      </w:tr>
      <w:tr w:rsidR="004B5329" w:rsidRPr="00A465CC" w:rsidTr="00454E67">
        <w:trPr>
          <w:trHeight w:hRule="exact" w:val="278"/>
        </w:trPr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6B2996">
            <w:pPr>
              <w:shd w:val="clear" w:color="auto" w:fill="FFFFFF"/>
              <w:spacing w:after="0" w:line="240" w:lineRule="auto"/>
              <w:ind w:left="140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в т.ч. СК «</w:t>
            </w:r>
            <w:r w:rsidRPr="00A465CC">
              <w:rPr>
                <w:rFonts w:ascii="Times New Roman" w:hAnsi="Times New Roman"/>
                <w:sz w:val="24"/>
                <w:szCs w:val="24"/>
                <w:lang w:val="en-US"/>
              </w:rPr>
              <w:t>non</w:t>
            </w: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-Life»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378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-2,9</w:t>
            </w:r>
          </w:p>
        </w:tc>
      </w:tr>
      <w:tr w:rsidR="004B5329" w:rsidRPr="00A465CC" w:rsidTr="00454E67">
        <w:trPr>
          <w:trHeight w:hRule="exact" w:val="278"/>
        </w:trPr>
        <w:tc>
          <w:tcPr>
            <w:tcW w:w="4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6B2996">
            <w:pPr>
              <w:shd w:val="clear" w:color="auto" w:fill="FFFFFF"/>
              <w:spacing w:after="0" w:line="240" w:lineRule="auto"/>
              <w:ind w:left="140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465CC">
              <w:rPr>
                <w:rFonts w:ascii="Times New Roman" w:hAnsi="Times New Roman"/>
                <w:sz w:val="24"/>
                <w:szCs w:val="24"/>
                <w:lang w:val="uk-UA"/>
              </w:rPr>
              <w:t>в т.ч. СК «Life»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A465CC" w:rsidRDefault="004B5329" w:rsidP="00454E67">
            <w:pPr>
              <w:shd w:val="clear" w:color="auto" w:fill="FFFFFF"/>
              <w:spacing w:after="0" w:line="240" w:lineRule="auto"/>
              <w:ind w:lef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64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4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5329" w:rsidRPr="00372377" w:rsidRDefault="004B5329" w:rsidP="00454E67">
            <w:pPr>
              <w:shd w:val="clear" w:color="auto" w:fill="FFFFFF"/>
              <w:spacing w:after="0" w:line="240" w:lineRule="auto"/>
              <w:ind w:left="4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-4,5</w:t>
            </w:r>
          </w:p>
        </w:tc>
      </w:tr>
    </w:tbl>
    <w:p w:rsidR="004B5329" w:rsidRDefault="004B5329" w:rsidP="006C0ACD">
      <w:pPr>
        <w:shd w:val="clear" w:color="auto" w:fill="FFFFFF"/>
        <w:spacing w:after="0"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</w:p>
    <w:p w:rsidR="004B5329" w:rsidRPr="00D81BAA" w:rsidRDefault="004B5329" w:rsidP="006C0AC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0033A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Протягом 2010 року порівняно з 2009 загальна кількість страхових компаній на вітчизняному ринку збільшилася на 6, або на 1,3%. Дещо неоднорідна ситуація виникла при розмежуванні  </w:t>
      </w:r>
      <w:r w:rsidRPr="00E0033A">
        <w:rPr>
          <w:rFonts w:ascii="Times New Roman" w:hAnsi="Times New Roman"/>
          <w:sz w:val="28"/>
          <w:szCs w:val="28"/>
          <w:lang w:val="uk-UA"/>
        </w:rPr>
        <w:t>СК «</w:t>
      </w:r>
      <w:r w:rsidRPr="00E0033A">
        <w:rPr>
          <w:rFonts w:ascii="Times New Roman" w:hAnsi="Times New Roman"/>
          <w:sz w:val="28"/>
          <w:szCs w:val="28"/>
          <w:lang w:val="en-US"/>
        </w:rPr>
        <w:t>non</w:t>
      </w:r>
      <w:r w:rsidRPr="00E0033A">
        <w:rPr>
          <w:rFonts w:ascii="Times New Roman" w:hAnsi="Times New Roman"/>
          <w:sz w:val="28"/>
          <w:szCs w:val="28"/>
          <w:lang w:val="uk-UA"/>
        </w:rPr>
        <w:t>-Life» та СК «Life»: кількість компаній,  що здійснюють страхування видів, інших ніж страхування життя зросла на 2,9%, однак кількість страхових компаній, що здійснюють страхування життя – знизилась на 7%.</w:t>
      </w:r>
      <w:r>
        <w:rPr>
          <w:rFonts w:ascii="Times New Roman" w:hAnsi="Times New Roman"/>
          <w:sz w:val="28"/>
          <w:szCs w:val="28"/>
          <w:lang w:val="uk-UA"/>
        </w:rPr>
        <w:t xml:space="preserve"> Негативна тенденція до зниження кількості як </w:t>
      </w:r>
      <w:r w:rsidRPr="00E0033A">
        <w:rPr>
          <w:rFonts w:ascii="Times New Roman" w:hAnsi="Times New Roman"/>
          <w:sz w:val="28"/>
          <w:szCs w:val="28"/>
          <w:lang w:val="uk-UA"/>
        </w:rPr>
        <w:t>СК «</w:t>
      </w:r>
      <w:r w:rsidRPr="00E0033A">
        <w:rPr>
          <w:rFonts w:ascii="Times New Roman" w:hAnsi="Times New Roman"/>
          <w:sz w:val="28"/>
          <w:szCs w:val="28"/>
          <w:lang w:val="en-US"/>
        </w:rPr>
        <w:t>non</w:t>
      </w:r>
      <w:r w:rsidRPr="00E0033A">
        <w:rPr>
          <w:rFonts w:ascii="Times New Roman" w:hAnsi="Times New Roman"/>
          <w:sz w:val="28"/>
          <w:szCs w:val="28"/>
          <w:lang w:val="uk-UA"/>
        </w:rPr>
        <w:t>-Life»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0033A">
        <w:rPr>
          <w:rFonts w:ascii="Times New Roman" w:hAnsi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/>
          <w:sz w:val="28"/>
          <w:szCs w:val="28"/>
          <w:lang w:val="uk-UA"/>
        </w:rPr>
        <w:t>к і</w:t>
      </w:r>
      <w:r w:rsidRPr="00E0033A">
        <w:rPr>
          <w:rFonts w:ascii="Times New Roman" w:hAnsi="Times New Roman"/>
          <w:sz w:val="28"/>
          <w:szCs w:val="28"/>
          <w:lang w:val="uk-UA"/>
        </w:rPr>
        <w:t xml:space="preserve"> СК «Life»</w:t>
      </w:r>
      <w:r>
        <w:rPr>
          <w:rFonts w:ascii="Times New Roman" w:hAnsi="Times New Roman"/>
          <w:sz w:val="28"/>
          <w:szCs w:val="28"/>
          <w:lang w:val="uk-UA"/>
        </w:rPr>
        <w:t xml:space="preserve"> спостерігалася протягом 2011 року (зниження відбулося відповідно на 2,9% та 4,5% відповідно)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[2</w:t>
      </w:r>
      <w:r w:rsidRPr="008D0D44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Pr="00454E67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4B5329" w:rsidRDefault="004B5329" w:rsidP="006C0AC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Аналізуючи статистичні дані, бачимо, що найбільшу частку у структурі </w:t>
      </w:r>
      <w:r w:rsidRPr="007474B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страхових премій із страхування життя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займають договори накопичувального страхування – вони є найпопулярнішими </w:t>
      </w:r>
      <w:r>
        <w:rPr>
          <w:rFonts w:ascii="Times New Roman" w:hAnsi="Times New Roman"/>
          <w:sz w:val="28"/>
          <w:szCs w:val="28"/>
          <w:lang w:val="uk-UA"/>
        </w:rPr>
        <w:t>(табл</w:t>
      </w:r>
      <w:r w:rsidRPr="00344953">
        <w:rPr>
          <w:rFonts w:ascii="Times New Roman" w:hAnsi="Times New Roman"/>
          <w:sz w:val="28"/>
          <w:szCs w:val="28"/>
          <w:lang w:val="uk-UA"/>
        </w:rPr>
        <w:t>. 2)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B5329" w:rsidRPr="00084B49" w:rsidRDefault="004B5329" w:rsidP="006C0AC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</w:p>
    <w:p w:rsidR="004B5329" w:rsidRPr="007474B0" w:rsidRDefault="004B5329" w:rsidP="00454E67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Таблиця 2 - </w:t>
      </w:r>
      <w:r w:rsidRPr="007474B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Структура валових страхових премій із страхування життя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протягом 2009-2011 років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53"/>
        <w:gridCol w:w="992"/>
        <w:gridCol w:w="851"/>
        <w:gridCol w:w="992"/>
        <w:gridCol w:w="709"/>
        <w:gridCol w:w="992"/>
        <w:gridCol w:w="601"/>
      </w:tblGrid>
      <w:tr w:rsidR="004B5329" w:rsidTr="006C0ACD">
        <w:trPr>
          <w:trHeight w:val="540"/>
        </w:trPr>
        <w:tc>
          <w:tcPr>
            <w:tcW w:w="4253" w:type="dxa"/>
            <w:vMerge w:val="restart"/>
          </w:tcPr>
          <w:p w:rsidR="004B5329" w:rsidRPr="006C0ACD" w:rsidRDefault="004B5329" w:rsidP="00454E67">
            <w:pPr>
              <w:spacing w:line="240" w:lineRule="auto"/>
              <w:ind w:left="360"/>
              <w:jc w:val="center"/>
              <w:rPr>
                <w:rFonts w:ascii="Times New Roman" w:hAnsi="Times New Roman"/>
                <w:lang w:val="uk-UA"/>
              </w:rPr>
            </w:pPr>
          </w:p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Види договорів страхування життя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ind w:left="360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2009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ind w:left="360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2010</w:t>
            </w:r>
          </w:p>
        </w:tc>
        <w:tc>
          <w:tcPr>
            <w:tcW w:w="1593" w:type="dxa"/>
            <w:gridSpan w:val="2"/>
            <w:tcBorders>
              <w:bottom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ind w:left="360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2011</w:t>
            </w:r>
          </w:p>
        </w:tc>
      </w:tr>
      <w:tr w:rsidR="004B5329" w:rsidTr="006C0ACD">
        <w:trPr>
          <w:trHeight w:val="471"/>
        </w:trPr>
        <w:tc>
          <w:tcPr>
            <w:tcW w:w="4253" w:type="dxa"/>
            <w:vMerge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млн грн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млн грн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млн грн</w:t>
            </w:r>
          </w:p>
        </w:tc>
        <w:tc>
          <w:tcPr>
            <w:tcW w:w="601" w:type="dxa"/>
            <w:tcBorders>
              <w:top w:val="single" w:sz="4" w:space="0" w:color="auto"/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%</w:t>
            </w:r>
          </w:p>
        </w:tc>
      </w:tr>
      <w:tr w:rsidR="004B5329" w:rsidTr="006C0ACD">
        <w:tc>
          <w:tcPr>
            <w:tcW w:w="4253" w:type="dxa"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За договорами страхування довічної пенсії,</w:t>
            </w:r>
          </w:p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страхування ризику настання  інвалідності або смерті учасника недержавного пенсійного фонду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1,2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0,1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2,1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0,2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0,4</w:t>
            </w: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0,03</w:t>
            </w:r>
          </w:p>
        </w:tc>
      </w:tr>
      <w:tr w:rsidR="004B5329" w:rsidTr="006C0ACD">
        <w:tc>
          <w:tcPr>
            <w:tcW w:w="4253" w:type="dxa"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За договорами страхування, якими передбачено досягнення застрахованою особою визначеного договором пенсійного віку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60,7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7,3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35,2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3,9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47,5</w:t>
            </w: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4</w:t>
            </w:r>
          </w:p>
        </w:tc>
      </w:tr>
      <w:tr w:rsidR="004B5329" w:rsidTr="006C0ACD">
        <w:tc>
          <w:tcPr>
            <w:tcW w:w="4253" w:type="dxa"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За іншими договорами накопичувального страхування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676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81,7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683,5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75,4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794,7</w:t>
            </w: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59</w:t>
            </w:r>
          </w:p>
        </w:tc>
      </w:tr>
      <w:tr w:rsidR="004B5329" w:rsidTr="006C0ACD">
        <w:tc>
          <w:tcPr>
            <w:tcW w:w="4253" w:type="dxa"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За договорами страхування життя лише на випадок смерті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15,6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1,9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20,7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2,3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72,4</w:t>
            </w: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5</w:t>
            </w:r>
          </w:p>
        </w:tc>
      </w:tr>
      <w:tr w:rsidR="004B5329" w:rsidTr="006C0ACD">
        <w:tc>
          <w:tcPr>
            <w:tcW w:w="4253" w:type="dxa"/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За іншими договорами страхування життя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73,8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8,9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165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18,2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431,4</w:t>
            </w: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4B5329" w:rsidRPr="006C0ACD" w:rsidRDefault="004B5329" w:rsidP="00454E67">
            <w:pPr>
              <w:spacing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C0ACD">
              <w:rPr>
                <w:rFonts w:ascii="Times New Roman" w:hAnsi="Times New Roman"/>
                <w:lang w:val="uk-UA"/>
              </w:rPr>
              <w:t>32</w:t>
            </w:r>
          </w:p>
        </w:tc>
      </w:tr>
    </w:tbl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5329" w:rsidRPr="00D81BAA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Що ж стосується </w:t>
      </w:r>
      <w:r>
        <w:rPr>
          <w:rFonts w:ascii="Times New Roman" w:hAnsi="Times New Roman"/>
          <w:sz w:val="28"/>
          <w:szCs w:val="28"/>
          <w:lang w:val="uk-UA"/>
        </w:rPr>
        <w:t>договорів</w:t>
      </w:r>
      <w:r w:rsidRPr="000C7CC4">
        <w:rPr>
          <w:rFonts w:ascii="Times New Roman" w:hAnsi="Times New Roman"/>
          <w:sz w:val="28"/>
          <w:szCs w:val="28"/>
          <w:lang w:val="uk-UA"/>
        </w:rPr>
        <w:t xml:space="preserve"> страхування, якими передбачено досягнення застрахованою особою визначеного договором пенсійного віку</w:t>
      </w:r>
      <w:r>
        <w:rPr>
          <w:rFonts w:ascii="Times New Roman" w:hAnsi="Times New Roman"/>
          <w:sz w:val="28"/>
          <w:szCs w:val="28"/>
          <w:lang w:val="uk-UA"/>
        </w:rPr>
        <w:t xml:space="preserve"> – то їх частка на даний момент є досить таки незначною і з 2009 року спостерігається тенденція до зниження (у 2009 році – 7,3%, у 2010 – 3,9%, і лише у 2011 обсяг підвищився на 1% - до 4% від загальної кількості).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Наочно ми маємо змогу простежити таку закономірність: страхові премії за всіма видами страхування життя значно перевищують страхові виплати за тими ж видами (рис. 1). </w:t>
      </w:r>
    </w:p>
    <w:p w:rsidR="004B5329" w:rsidRDefault="004B5329" w:rsidP="006C0ACD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B56308">
        <w:rPr>
          <w:rFonts w:ascii="Times New Roman" w:hAnsi="Times New Roman"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329.25pt;height:188.25pt;visibility:visible">
            <v:imagedata r:id="rId7" o:title=""/>
          </v:shape>
        </w:pict>
      </w: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1</w:t>
      </w:r>
      <w:r w:rsidRPr="00810554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Структура валових страхових виплат зі страхування життя станом на 31.12.09 (млн грн) 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Так, за договорами накопичувального страхування у 2009 році  виплати менші майже у 24 рази. Значні розходження в обсягах «премії-виплати» становлять і згідно договорів, </w:t>
      </w:r>
      <w:r w:rsidRPr="000C7CC4">
        <w:rPr>
          <w:rFonts w:ascii="Times New Roman" w:hAnsi="Times New Roman"/>
          <w:sz w:val="28"/>
          <w:szCs w:val="28"/>
          <w:lang w:val="uk-UA"/>
        </w:rPr>
        <w:t>якими передбачено досягнення застрахованою особою визначеного договором пенсійного віку</w:t>
      </w:r>
      <w:r>
        <w:rPr>
          <w:rFonts w:ascii="Times New Roman" w:hAnsi="Times New Roman"/>
          <w:sz w:val="28"/>
          <w:szCs w:val="28"/>
          <w:lang w:val="uk-UA"/>
        </w:rPr>
        <w:t xml:space="preserve"> – премії перевищують виплати більш як у 3 рази.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говорити про договори накопичувального страхування, то їх обсяг валових виплат у 2010 році зменшився на  13,8% (з 28,9 млн грн до 25,4 млн грн). Аналогічна ситуація спостерігається з іншими видами договорів страхування (сума за договорами  страхування лише на випадок смерті знизилась на 55%, за договорами </w:t>
      </w:r>
      <w:r w:rsidRPr="000C7CC4">
        <w:rPr>
          <w:rFonts w:ascii="Times New Roman" w:hAnsi="Times New Roman"/>
          <w:sz w:val="28"/>
          <w:szCs w:val="28"/>
          <w:lang w:val="uk-UA"/>
        </w:rPr>
        <w:t>страхування, якими передбачено досягнення застрахованою особою визначеного договором пенсійного віку</w:t>
      </w:r>
      <w:r>
        <w:rPr>
          <w:rFonts w:ascii="Times New Roman" w:hAnsi="Times New Roman"/>
          <w:sz w:val="28"/>
          <w:szCs w:val="28"/>
          <w:lang w:val="uk-UA"/>
        </w:rPr>
        <w:t xml:space="preserve"> – на 13,3%, за іншими договорами страхування життя – на 29,3% (рис. 2).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5329" w:rsidRPr="006B4B89" w:rsidRDefault="004B5329" w:rsidP="006C0ACD">
      <w:pPr>
        <w:jc w:val="center"/>
        <w:rPr>
          <w:lang w:val="uk-UA"/>
        </w:rPr>
      </w:pPr>
      <w:r>
        <w:rPr>
          <w:noProof/>
        </w:rPr>
        <w:pict>
          <v:shape id="Рисунок 4" o:spid="_x0000_i1026" type="#_x0000_t75" style="width:312.75pt;height:190.5pt;visibility:visible">
            <v:imagedata r:id="rId8" o:title=""/>
          </v:shape>
        </w:pict>
      </w: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2</w:t>
      </w:r>
      <w:r w:rsidRPr="00810554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Структура валових страхових виплат зі страхування життя станом на 31.12.10 (млн грн) </w:t>
      </w: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Дещо інша ситуація в динаміці спостерігається впродовж 2011 року. Порівняно з 2010 роком у 2011 на 59,4% збільшилася сума валових страхових виплат накопичувального страхування. Також підвищилися виплати і  за договорами </w:t>
      </w:r>
      <w:r w:rsidRPr="000C7CC4">
        <w:rPr>
          <w:rFonts w:ascii="Times New Roman" w:hAnsi="Times New Roman"/>
          <w:sz w:val="28"/>
          <w:szCs w:val="28"/>
          <w:lang w:val="uk-UA"/>
        </w:rPr>
        <w:t>страхування, якими передбачено досягнення застрахованою особою визначеного договором пенсійного віку</w:t>
      </w:r>
      <w:r>
        <w:rPr>
          <w:rFonts w:ascii="Times New Roman" w:hAnsi="Times New Roman"/>
          <w:sz w:val="28"/>
          <w:szCs w:val="28"/>
          <w:lang w:val="uk-UA"/>
        </w:rPr>
        <w:t xml:space="preserve"> – на 11,4%, за іншими договорами страхування життя – на 18,7%. Однак що стосується страхування життя лише на випадок смерті – то обсяг виплат, як і в 2010 році, знизився – на 11,1% (рис. 3).</w:t>
      </w:r>
    </w:p>
    <w:p w:rsidR="004B5329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56308">
        <w:rPr>
          <w:rFonts w:ascii="Times New Roman" w:hAnsi="Times New Roman"/>
          <w:noProof/>
          <w:sz w:val="28"/>
          <w:szCs w:val="28"/>
        </w:rPr>
        <w:pict>
          <v:shape id="Рисунок 7" o:spid="_x0000_i1027" type="#_x0000_t75" style="width:297pt;height:183pt;visibility:visible">
            <v:imagedata r:id="rId9" o:title=""/>
          </v:shape>
        </w:pict>
      </w:r>
    </w:p>
    <w:p w:rsidR="004B5329" w:rsidRPr="004631F3" w:rsidRDefault="004B5329" w:rsidP="006C0ACD">
      <w:pPr>
        <w:rPr>
          <w:lang w:val="uk-UA"/>
        </w:rPr>
      </w:pP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</w:t>
      </w:r>
      <w:r w:rsidRPr="00810554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Структура валових страхових виплат зі страхування життя станом на 31.12.11 (млн грн) </w:t>
      </w:r>
    </w:p>
    <w:p w:rsidR="004B5329" w:rsidRDefault="004B5329" w:rsidP="006C0AC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B5329" w:rsidRPr="00A22543" w:rsidRDefault="004B5329" w:rsidP="006C0AC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Тому, н</w:t>
      </w:r>
      <w:r w:rsidRPr="00A22543">
        <w:rPr>
          <w:rFonts w:ascii="Times New Roman" w:hAnsi="Times New Roman"/>
          <w:sz w:val="28"/>
          <w:szCs w:val="28"/>
        </w:rPr>
        <w:t>а даний час в Україні в умовах змін в соціальному житті, складної демографічної ситуації солідарна система пенсійного забезпечення не спроможна забезпечити особам, які досягли пенсійного віку, гідного рівня життя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[3</w:t>
      </w:r>
      <w:r w:rsidRPr="008D0D44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Pr="00A22543">
        <w:rPr>
          <w:rFonts w:ascii="Times New Roman" w:hAnsi="Times New Roman"/>
          <w:sz w:val="28"/>
          <w:szCs w:val="28"/>
        </w:rPr>
        <w:t xml:space="preserve">. </w:t>
      </w:r>
    </w:p>
    <w:p w:rsidR="004B5329" w:rsidRDefault="004B5329" w:rsidP="00454E67">
      <w:pPr>
        <w:pStyle w:val="ListParagraph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44953">
        <w:rPr>
          <w:rFonts w:ascii="Times New Roman" w:hAnsi="Times New Roman"/>
          <w:b/>
          <w:sz w:val="28"/>
          <w:szCs w:val="28"/>
          <w:lang w:val="uk-UA"/>
        </w:rPr>
        <w:t xml:space="preserve">Висновки. </w:t>
      </w:r>
      <w:r w:rsidRPr="00344953">
        <w:rPr>
          <w:rFonts w:ascii="Times New Roman" w:hAnsi="Times New Roman"/>
          <w:sz w:val="28"/>
          <w:szCs w:val="28"/>
          <w:lang w:val="uk-UA"/>
        </w:rPr>
        <w:t>З проведеного дослідження можна зробити висновки, що</w:t>
      </w:r>
      <w:r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337299">
        <w:rPr>
          <w:rFonts w:ascii="Times New Roman" w:hAnsi="Times New Roman"/>
          <w:sz w:val="28"/>
          <w:szCs w:val="28"/>
          <w:lang w:val="uk-UA"/>
        </w:rPr>
        <w:t xml:space="preserve">риватне пенсійне страхування разом з обов’язковим пенсійним страхуванням дозволить не тільки підтримувати середній рівень життя працівників, але й може бути стимулом до підвищення продуктивності праці, збільшення прибутків у період трудового життя, а також дозволить зберегти у старості досягнутий рівень </w:t>
      </w:r>
      <w:r>
        <w:rPr>
          <w:rFonts w:ascii="Times New Roman" w:hAnsi="Times New Roman"/>
          <w:sz w:val="28"/>
          <w:szCs w:val="28"/>
          <w:lang w:val="uk-UA"/>
        </w:rPr>
        <w:t>життя. Ми з</w:t>
      </w:r>
      <w:r w:rsidRPr="00227D1D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ясували, що страхові  компанії</w:t>
      </w:r>
      <w:r w:rsidRPr="00337299">
        <w:rPr>
          <w:rFonts w:ascii="Times New Roman" w:hAnsi="Times New Roman"/>
          <w:sz w:val="28"/>
          <w:szCs w:val="28"/>
          <w:lang w:val="uk-UA"/>
        </w:rPr>
        <w:t xml:space="preserve">  є  повноправним</w:t>
      </w:r>
      <w:r>
        <w:rPr>
          <w:rFonts w:ascii="Times New Roman" w:hAnsi="Times New Roman"/>
          <w:sz w:val="28"/>
          <w:szCs w:val="28"/>
          <w:lang w:val="uk-UA"/>
        </w:rPr>
        <w:t>и  суб’єкта</w:t>
      </w:r>
      <w:r w:rsidRPr="00337299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37299">
        <w:rPr>
          <w:rFonts w:ascii="Times New Roman" w:hAnsi="Times New Roman"/>
          <w:sz w:val="28"/>
          <w:szCs w:val="28"/>
          <w:lang w:val="uk-UA"/>
        </w:rPr>
        <w:t xml:space="preserve">  недержавного  пенсійного  забезпечення. Договори </w:t>
      </w:r>
      <w:r>
        <w:rPr>
          <w:rFonts w:ascii="Times New Roman" w:hAnsi="Times New Roman"/>
          <w:sz w:val="28"/>
          <w:szCs w:val="28"/>
          <w:lang w:val="uk-UA"/>
        </w:rPr>
        <w:t xml:space="preserve">пенсійного </w:t>
      </w:r>
      <w:r w:rsidRPr="00337299">
        <w:rPr>
          <w:rFonts w:ascii="Times New Roman" w:hAnsi="Times New Roman"/>
          <w:sz w:val="28"/>
          <w:szCs w:val="28"/>
          <w:lang w:val="uk-UA"/>
        </w:rPr>
        <w:t>страхування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7299">
        <w:rPr>
          <w:rFonts w:ascii="Times New Roman" w:hAnsi="Times New Roman"/>
          <w:sz w:val="28"/>
          <w:szCs w:val="28"/>
          <w:lang w:val="uk-UA"/>
        </w:rPr>
        <w:t xml:space="preserve">які  укладаються  </w:t>
      </w:r>
      <w:r>
        <w:rPr>
          <w:rFonts w:ascii="Times New Roman" w:hAnsi="Times New Roman"/>
          <w:sz w:val="28"/>
          <w:szCs w:val="28"/>
          <w:lang w:val="uk-UA"/>
        </w:rPr>
        <w:t xml:space="preserve">страховою </w:t>
      </w:r>
      <w:r w:rsidRPr="00337299">
        <w:rPr>
          <w:rFonts w:ascii="Times New Roman" w:hAnsi="Times New Roman"/>
          <w:sz w:val="28"/>
          <w:szCs w:val="28"/>
          <w:lang w:val="uk-UA"/>
        </w:rPr>
        <w:t>компанією,  за своїми суттю та призначенням є договорами недержавного пенсійного страхування.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95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5329" w:rsidRPr="00454E67" w:rsidRDefault="004B5329" w:rsidP="00454E67">
      <w:pPr>
        <w:pStyle w:val="ListParagraph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B5329" w:rsidRDefault="004B5329" w:rsidP="00454E67">
      <w:pPr>
        <w:pStyle w:val="ListParagraph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B5329" w:rsidRDefault="004B5329" w:rsidP="00454E67">
      <w:pPr>
        <w:pStyle w:val="ListParagraph"/>
        <w:tabs>
          <w:tab w:val="left" w:pos="1134"/>
        </w:tabs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8670D">
        <w:rPr>
          <w:rFonts w:ascii="Times New Roman" w:hAnsi="Times New Roman"/>
          <w:b/>
          <w:sz w:val="28"/>
          <w:szCs w:val="28"/>
        </w:rPr>
        <w:t>Список використаної літератури</w:t>
      </w:r>
    </w:p>
    <w:p w:rsidR="004B5329" w:rsidRPr="00454E67" w:rsidRDefault="004B5329" w:rsidP="00454E67">
      <w:pPr>
        <w:pStyle w:val="ListParagraph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B5329" w:rsidRDefault="004B5329" w:rsidP="00454E67">
      <w:pPr>
        <w:pStyle w:val="BodyText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6779A7">
        <w:rPr>
          <w:rFonts w:ascii="Times New Roman" w:hAnsi="Times New Roman"/>
          <w:sz w:val="28"/>
          <w:szCs w:val="28"/>
          <w:lang w:val="uk-UA"/>
        </w:rPr>
        <w:t>Бабірад М. М. Оцінка стану недержавного пенсійного забезпечення в Україні та перспективи його розвитку / М.М. Бабірад // Науковий вісник НЛТУ України. - 2008. –№ 18. – С. 174-180.</w:t>
      </w:r>
    </w:p>
    <w:p w:rsidR="004B5329" w:rsidRPr="00454E67" w:rsidRDefault="004B5329" w:rsidP="00454E67">
      <w:pPr>
        <w:pStyle w:val="BodyText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454E6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Інформація про стан і розвиток страхового ринку України за 2009-2011 роки // </w:t>
      </w:r>
      <w:r w:rsidRPr="00454E6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10" w:history="1">
        <w:r w:rsidRPr="00454E67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http://www.dfp.gov.ua/734.html</w:t>
        </w:r>
      </w:hyperlink>
      <w:r w:rsidRPr="00454E67"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Дата звернення: 27</w:t>
      </w:r>
      <w:r w:rsidRPr="00454E67">
        <w:rPr>
          <w:rFonts w:ascii="Times New Roman" w:hAnsi="Times New Roman"/>
          <w:sz w:val="28"/>
          <w:szCs w:val="28"/>
          <w:lang w:val="uk-UA"/>
        </w:rPr>
        <w:t>.04.2013.</w:t>
      </w:r>
    </w:p>
    <w:p w:rsidR="004B5329" w:rsidRPr="00454E67" w:rsidRDefault="004B5329" w:rsidP="00454E67">
      <w:pPr>
        <w:pStyle w:val="BodyText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454E67">
        <w:rPr>
          <w:rFonts w:ascii="Times New Roman" w:hAnsi="Times New Roman"/>
          <w:sz w:val="28"/>
          <w:szCs w:val="28"/>
          <w:lang w:val="uk-UA"/>
        </w:rPr>
        <w:t>Зелінська А. Ю. Особливості діяльності страхових компаній у системі недержавного пенсійного забезпечення / А. Ю. Зелінська // Економічні студії. – 2009. – № 35. – С. 12-17.</w:t>
      </w:r>
    </w:p>
    <w:p w:rsidR="004B5329" w:rsidRPr="00454E67" w:rsidRDefault="004B5329" w:rsidP="00454E67">
      <w:pPr>
        <w:pStyle w:val="BodyText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454E67">
        <w:rPr>
          <w:rFonts w:ascii="Times New Roman" w:hAnsi="Times New Roman"/>
          <w:sz w:val="28"/>
          <w:szCs w:val="28"/>
        </w:rPr>
        <w:t xml:space="preserve">Адамович В. Роль та місце компаній зі страхування життя у здійсненні пенсійної реформи: Страховий ринок / В. Адамович // Економічний часопис </w:t>
      </w:r>
      <w:r w:rsidRPr="00454E6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E67">
        <w:rPr>
          <w:rFonts w:ascii="Times New Roman" w:hAnsi="Times New Roman"/>
          <w:sz w:val="28"/>
          <w:szCs w:val="28"/>
        </w:rPr>
        <w:t xml:space="preserve">– 2004. – № 11-12. – С. 10-13. </w:t>
      </w:r>
    </w:p>
    <w:p w:rsidR="004B5329" w:rsidRPr="00454E67" w:rsidRDefault="004B5329" w:rsidP="00454E67">
      <w:pPr>
        <w:pStyle w:val="BodyText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4B5329" w:rsidRPr="00344953" w:rsidRDefault="004B5329" w:rsidP="00482FAE">
      <w:pPr>
        <w:pStyle w:val="ListParagraph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4B5329" w:rsidRPr="00344953" w:rsidSect="00330B57">
      <w:headerReference w:type="default" r:id="rId11"/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329" w:rsidRDefault="004B5329" w:rsidP="00AA61B3">
      <w:pPr>
        <w:spacing w:after="0" w:line="240" w:lineRule="auto"/>
      </w:pPr>
      <w:r>
        <w:separator/>
      </w:r>
    </w:p>
  </w:endnote>
  <w:endnote w:type="continuationSeparator" w:id="1">
    <w:p w:rsidR="004B5329" w:rsidRDefault="004B5329" w:rsidP="00AA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5329" w:rsidRDefault="004B5329">
    <w:pPr>
      <w:pStyle w:val="Footer"/>
      <w:jc w:val="center"/>
    </w:pPr>
    <w:r w:rsidRPr="00F90ABE">
      <w:rPr>
        <w:rFonts w:ascii="Times New Roman" w:hAnsi="Times New Roman"/>
        <w:sz w:val="28"/>
        <w:szCs w:val="28"/>
      </w:rPr>
      <w:fldChar w:fldCharType="begin"/>
    </w:r>
    <w:r w:rsidRPr="00F90ABE">
      <w:rPr>
        <w:rFonts w:ascii="Times New Roman" w:hAnsi="Times New Roman"/>
        <w:sz w:val="28"/>
        <w:szCs w:val="28"/>
      </w:rPr>
      <w:instrText xml:space="preserve"> PAGE   \* MERGEFORMAT </w:instrText>
    </w:r>
    <w:r w:rsidRPr="00F90ABE"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noProof/>
        <w:sz w:val="28"/>
        <w:szCs w:val="28"/>
      </w:rPr>
      <w:t>1</w:t>
    </w:r>
    <w:r w:rsidRPr="00F90ABE">
      <w:rPr>
        <w:rFonts w:ascii="Times New Roman" w:hAnsi="Times New Roman"/>
        <w:sz w:val="28"/>
        <w:szCs w:val="28"/>
      </w:rPr>
      <w:fldChar w:fldCharType="end"/>
    </w:r>
  </w:p>
  <w:p w:rsidR="004B5329" w:rsidRDefault="004B532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329" w:rsidRDefault="004B5329" w:rsidP="00AA61B3">
      <w:pPr>
        <w:spacing w:after="0" w:line="240" w:lineRule="auto"/>
      </w:pPr>
      <w:r>
        <w:separator/>
      </w:r>
    </w:p>
  </w:footnote>
  <w:footnote w:type="continuationSeparator" w:id="1">
    <w:p w:rsidR="004B5329" w:rsidRDefault="004B5329" w:rsidP="00AA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5329" w:rsidRDefault="004B5329">
    <w:pPr>
      <w:pStyle w:val="Header"/>
      <w:jc w:val="right"/>
      <w:rPr>
        <w:rFonts w:ascii="Times New Roman" w:hAnsi="Times New Roman"/>
        <w:sz w:val="28"/>
        <w:szCs w:val="28"/>
        <w:lang w:val="uk-UA"/>
      </w:rPr>
    </w:pPr>
  </w:p>
  <w:p w:rsidR="004B5329" w:rsidRDefault="004B532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5E6742"/>
    <w:multiLevelType w:val="hybridMultilevel"/>
    <w:tmpl w:val="594893D0"/>
    <w:lvl w:ilvl="0" w:tplc="6F521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DC762F"/>
    <w:multiLevelType w:val="hybridMultilevel"/>
    <w:tmpl w:val="53322174"/>
    <w:lvl w:ilvl="0" w:tplc="6F521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5D2DF3"/>
    <w:multiLevelType w:val="hybridMultilevel"/>
    <w:tmpl w:val="18E8DE7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">
    <w:nsid w:val="7AFE2310"/>
    <w:multiLevelType w:val="hybridMultilevel"/>
    <w:tmpl w:val="55E21DD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D3C3FCB"/>
    <w:multiLevelType w:val="hybridMultilevel"/>
    <w:tmpl w:val="154EC4E6"/>
    <w:lvl w:ilvl="0" w:tplc="78EECD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6E29"/>
    <w:rsid w:val="00026E3F"/>
    <w:rsid w:val="00036791"/>
    <w:rsid w:val="00064E69"/>
    <w:rsid w:val="000701A2"/>
    <w:rsid w:val="00084427"/>
    <w:rsid w:val="00084B49"/>
    <w:rsid w:val="00086E29"/>
    <w:rsid w:val="000C6C28"/>
    <w:rsid w:val="000C767C"/>
    <w:rsid w:val="000C7B87"/>
    <w:rsid w:val="000C7CC4"/>
    <w:rsid w:val="00124961"/>
    <w:rsid w:val="00161A41"/>
    <w:rsid w:val="002065B3"/>
    <w:rsid w:val="00217F5C"/>
    <w:rsid w:val="00227D1D"/>
    <w:rsid w:val="0026052B"/>
    <w:rsid w:val="00272978"/>
    <w:rsid w:val="00330B57"/>
    <w:rsid w:val="00333555"/>
    <w:rsid w:val="00337299"/>
    <w:rsid w:val="003401C1"/>
    <w:rsid w:val="00344953"/>
    <w:rsid w:val="00345A2C"/>
    <w:rsid w:val="00372377"/>
    <w:rsid w:val="00380333"/>
    <w:rsid w:val="00392210"/>
    <w:rsid w:val="00392E14"/>
    <w:rsid w:val="0040787F"/>
    <w:rsid w:val="00415DA6"/>
    <w:rsid w:val="00454E67"/>
    <w:rsid w:val="004631F3"/>
    <w:rsid w:val="00473ECC"/>
    <w:rsid w:val="00482FAE"/>
    <w:rsid w:val="0049072B"/>
    <w:rsid w:val="00496CE0"/>
    <w:rsid w:val="004B2B28"/>
    <w:rsid w:val="004B5329"/>
    <w:rsid w:val="00525490"/>
    <w:rsid w:val="005712CE"/>
    <w:rsid w:val="005911B7"/>
    <w:rsid w:val="005A64BA"/>
    <w:rsid w:val="005D5AA6"/>
    <w:rsid w:val="00636B91"/>
    <w:rsid w:val="006407E6"/>
    <w:rsid w:val="006540A5"/>
    <w:rsid w:val="006779A7"/>
    <w:rsid w:val="00693882"/>
    <w:rsid w:val="00695412"/>
    <w:rsid w:val="006B2996"/>
    <w:rsid w:val="006B4B89"/>
    <w:rsid w:val="006C0ACD"/>
    <w:rsid w:val="006D1E9B"/>
    <w:rsid w:val="00700F80"/>
    <w:rsid w:val="007474B0"/>
    <w:rsid w:val="007B3927"/>
    <w:rsid w:val="007C587F"/>
    <w:rsid w:val="007E2D30"/>
    <w:rsid w:val="00810554"/>
    <w:rsid w:val="008376B5"/>
    <w:rsid w:val="008809A0"/>
    <w:rsid w:val="008D0D44"/>
    <w:rsid w:val="00945F50"/>
    <w:rsid w:val="0099555B"/>
    <w:rsid w:val="009A1EB0"/>
    <w:rsid w:val="009A272F"/>
    <w:rsid w:val="009A507E"/>
    <w:rsid w:val="009C577E"/>
    <w:rsid w:val="009E6850"/>
    <w:rsid w:val="00A22543"/>
    <w:rsid w:val="00A31D36"/>
    <w:rsid w:val="00A465CC"/>
    <w:rsid w:val="00A7389C"/>
    <w:rsid w:val="00A8044B"/>
    <w:rsid w:val="00A83340"/>
    <w:rsid w:val="00A92E69"/>
    <w:rsid w:val="00AA61B3"/>
    <w:rsid w:val="00AE4B1B"/>
    <w:rsid w:val="00B56308"/>
    <w:rsid w:val="00B914E2"/>
    <w:rsid w:val="00B94FE0"/>
    <w:rsid w:val="00BA55BC"/>
    <w:rsid w:val="00BE04E5"/>
    <w:rsid w:val="00BE6883"/>
    <w:rsid w:val="00C24E55"/>
    <w:rsid w:val="00C42E40"/>
    <w:rsid w:val="00C92CAD"/>
    <w:rsid w:val="00CD0BD4"/>
    <w:rsid w:val="00CD7E29"/>
    <w:rsid w:val="00CE0869"/>
    <w:rsid w:val="00CE7492"/>
    <w:rsid w:val="00D2120D"/>
    <w:rsid w:val="00D76512"/>
    <w:rsid w:val="00D81A7E"/>
    <w:rsid w:val="00D81BAA"/>
    <w:rsid w:val="00DB7341"/>
    <w:rsid w:val="00DC26FE"/>
    <w:rsid w:val="00E0033A"/>
    <w:rsid w:val="00E1209B"/>
    <w:rsid w:val="00E12F66"/>
    <w:rsid w:val="00E42B98"/>
    <w:rsid w:val="00E80335"/>
    <w:rsid w:val="00EA24C7"/>
    <w:rsid w:val="00F10408"/>
    <w:rsid w:val="00F21F7F"/>
    <w:rsid w:val="00F27E97"/>
    <w:rsid w:val="00F37B53"/>
    <w:rsid w:val="00F8670D"/>
    <w:rsid w:val="00F90ABE"/>
    <w:rsid w:val="00F97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01C1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161A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61A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12496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AA61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A61B3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A61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A61B3"/>
    <w:rPr>
      <w:rFonts w:cs="Times New Roman"/>
    </w:rPr>
  </w:style>
  <w:style w:type="character" w:styleId="Hyperlink">
    <w:name w:val="Hyperlink"/>
    <w:basedOn w:val="DefaultParagraphFont"/>
    <w:uiPriority w:val="99"/>
    <w:rsid w:val="00CD0BD4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9A1EB0"/>
    <w:rPr>
      <w:rFonts w:cs="Times New Roman"/>
      <w:color w:val="800080"/>
      <w:u w:val="single"/>
    </w:rPr>
  </w:style>
  <w:style w:type="table" w:styleId="TableGrid">
    <w:name w:val="Table Grid"/>
    <w:basedOn w:val="TableNormal"/>
    <w:uiPriority w:val="99"/>
    <w:rsid w:val="006C0ACD"/>
    <w:rPr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rsid w:val="00454E67"/>
    <w:pPr>
      <w:spacing w:after="120"/>
    </w:pPr>
    <w:rPr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54E67"/>
    <w:rPr>
      <w:rFonts w:ascii="Calibri" w:eastAsia="Times New Roman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277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dfp.gov.ua/734.html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6</Pages>
  <Words>1109</Words>
  <Characters>6327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cp:lastPrinted>2013-04-25T09:27:00Z</cp:lastPrinted>
  <dcterms:created xsi:type="dcterms:W3CDTF">2013-04-27T19:42:00Z</dcterms:created>
  <dcterms:modified xsi:type="dcterms:W3CDTF">2013-05-19T07:43:00Z</dcterms:modified>
</cp:coreProperties>
</file>