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7CFF" w:rsidRPr="00477702" w:rsidRDefault="00697CFF" w:rsidP="00697CFF">
      <w:pPr>
        <w:spacing w:line="360" w:lineRule="auto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697CFF">
        <w:rPr>
          <w:rFonts w:ascii="Times New Roman" w:hAnsi="Times New Roman" w:cs="Times New Roman"/>
          <w:bCs/>
          <w:color w:val="000000"/>
          <w:sz w:val="28"/>
          <w:szCs w:val="28"/>
        </w:rPr>
        <w:t>УДК 378</w:t>
      </w:r>
      <w:r w:rsidR="0047770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.147:371.133</w:t>
      </w:r>
    </w:p>
    <w:p w:rsidR="00126FD7" w:rsidRPr="00697CFF" w:rsidRDefault="00126FD7" w:rsidP="00126FD7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7CFF">
        <w:rPr>
          <w:rFonts w:ascii="Times New Roman" w:hAnsi="Times New Roman" w:cs="Times New Roman"/>
          <w:sz w:val="28"/>
          <w:szCs w:val="28"/>
          <w:lang w:val="uk-UA"/>
        </w:rPr>
        <w:t>Міхеєва</w:t>
      </w:r>
      <w:proofErr w:type="spellEnd"/>
      <w:r w:rsidRPr="00697CFF">
        <w:rPr>
          <w:rFonts w:ascii="Times New Roman" w:hAnsi="Times New Roman" w:cs="Times New Roman"/>
          <w:sz w:val="28"/>
          <w:szCs w:val="28"/>
          <w:lang w:val="uk-UA"/>
        </w:rPr>
        <w:t xml:space="preserve"> Л.В. к. пед. н., доцент, доцент кафедри психології та педагогіки</w:t>
      </w:r>
    </w:p>
    <w:p w:rsidR="00216471" w:rsidRPr="00697CFF" w:rsidRDefault="00216471" w:rsidP="00216471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7CFF">
        <w:rPr>
          <w:rFonts w:ascii="Times New Roman" w:hAnsi="Times New Roman" w:cs="Times New Roman"/>
          <w:sz w:val="28"/>
          <w:szCs w:val="28"/>
          <w:lang w:val="uk-UA"/>
        </w:rPr>
        <w:t>Кулешова</w:t>
      </w:r>
      <w:proofErr w:type="spellEnd"/>
      <w:r w:rsidRPr="00697CFF">
        <w:rPr>
          <w:rFonts w:ascii="Times New Roman" w:hAnsi="Times New Roman" w:cs="Times New Roman"/>
          <w:sz w:val="28"/>
          <w:szCs w:val="28"/>
          <w:lang w:val="uk-UA"/>
        </w:rPr>
        <w:t xml:space="preserve"> О.В., к. </w:t>
      </w:r>
      <w:proofErr w:type="spellStart"/>
      <w:r w:rsidRPr="00697CFF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697CFF">
        <w:rPr>
          <w:rFonts w:ascii="Times New Roman" w:hAnsi="Times New Roman" w:cs="Times New Roman"/>
          <w:sz w:val="28"/>
          <w:szCs w:val="28"/>
          <w:lang w:val="uk-UA"/>
        </w:rPr>
        <w:t>. н., доцент, доцент кафедри психології та педагогіки</w:t>
      </w:r>
    </w:p>
    <w:p w:rsidR="00216471" w:rsidRPr="00216471" w:rsidRDefault="00216471" w:rsidP="00216471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16471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216471" w:rsidRPr="00216471" w:rsidRDefault="00216471" w:rsidP="00216471">
      <w:pPr>
        <w:spacing w:line="360" w:lineRule="auto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</w:p>
    <w:p w:rsidR="00216471" w:rsidRDefault="00216471" w:rsidP="00697C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ПРОФЕСІЙНО-КОМУНІКАТИВНА</w:t>
      </w:r>
      <w:r w:rsidR="00697CFF" w:rsidRPr="00697CF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КОМПЕТЕНТНІСТЬ </w:t>
      </w:r>
    </w:p>
    <w:p w:rsidR="00697CFF" w:rsidRPr="00697CFF" w:rsidRDefault="00216471" w:rsidP="00697C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СТУДЕНТІВ-ПОЛОНІСТІВ </w:t>
      </w:r>
      <w:r w:rsidR="00697CFF" w:rsidRPr="00697CF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СКЛАДОВА ЇХ ФАХОВОЇ ПІДГОТОВКИ</w:t>
      </w:r>
    </w:p>
    <w:p w:rsidR="00765A85" w:rsidRPr="00765A85" w:rsidRDefault="000B2212" w:rsidP="00765A85">
      <w:pPr>
        <w:shd w:val="clear" w:color="auto" w:fill="FFFFFF"/>
        <w:spacing w:line="360" w:lineRule="auto"/>
        <w:ind w:firstLine="851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0B2212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Інноваційні процеси, які відбуваються у сфері вищої освіти, вимагають від майбутніх фахівців </w:t>
      </w:r>
      <w:r w:rsidRPr="00765A85">
        <w:rPr>
          <w:rFonts w:ascii="Times New Roman" w:hAnsi="Times New Roman" w:cs="Times New Roman"/>
          <w:sz w:val="28"/>
          <w:szCs w:val="28"/>
          <w:lang w:val="uk-UA"/>
        </w:rPr>
        <w:t xml:space="preserve">у цілому та майбутніх </w:t>
      </w:r>
      <w:r>
        <w:rPr>
          <w:rFonts w:ascii="Times New Roman" w:hAnsi="Times New Roman" w:cs="Times New Roman"/>
          <w:sz w:val="28"/>
          <w:szCs w:val="28"/>
          <w:lang w:val="uk-UA"/>
        </w:rPr>
        <w:t>учителів</w:t>
      </w:r>
      <w:r w:rsidRPr="00765A85">
        <w:rPr>
          <w:rFonts w:ascii="Times New Roman" w:hAnsi="Times New Roman" w:cs="Times New Roman"/>
          <w:sz w:val="28"/>
          <w:szCs w:val="28"/>
          <w:lang w:val="uk-UA"/>
        </w:rPr>
        <w:t xml:space="preserve"> зокрема</w:t>
      </w:r>
      <w:r w:rsidRPr="000B2212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компетентності, що включає рівень базової і спеціальної освіти, уміння акумулювати широкий життєвий і професійний досвід, прогнозування можливих наслідків власної діяльності. Професійна компетентність виступає провідним чинником та стрижневим компонентом майбутньої професії, а комунікативна компетентність, у свою чергу, виступає необхідною умовою ефективної професійної діяльності.</w:t>
      </w:r>
      <w:r w:rsidRPr="000B22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65A85" w:rsidRPr="00765A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професіях </w:t>
      </w:r>
      <w:proofErr w:type="spellStart"/>
      <w:r w:rsidR="00765A85" w:rsidRPr="00765A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соціономічного</w:t>
      </w:r>
      <w:proofErr w:type="spellEnd"/>
      <w:r w:rsidR="00765A85" w:rsidRPr="00765A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типу важливим є високий рівень комунікативної компетентності, оскільки комунікація є одним із основних засобів професійної діяльності. </w:t>
      </w:r>
      <w:r w:rsidR="00765A85" w:rsidRPr="00765A85">
        <w:rPr>
          <w:rFonts w:ascii="Times New Roman" w:hAnsi="Times New Roman" w:cs="Times New Roman"/>
          <w:sz w:val="28"/>
          <w:szCs w:val="28"/>
          <w:lang w:val="uk-UA"/>
        </w:rPr>
        <w:t xml:space="preserve">У цьому контексті цілком закономірним і актуальним видається нам обґрунтування ефективних чинників формування та розвитку комунікативної компетентності </w:t>
      </w:r>
      <w:r w:rsidR="008B7226">
        <w:rPr>
          <w:rFonts w:ascii="Times New Roman" w:hAnsi="Times New Roman" w:cs="Times New Roman"/>
          <w:sz w:val="28"/>
          <w:szCs w:val="28"/>
          <w:lang w:val="uk-UA"/>
        </w:rPr>
        <w:t>у студентів-полоністів.</w:t>
      </w:r>
    </w:p>
    <w:p w:rsidR="00765A85" w:rsidRPr="00765A85" w:rsidRDefault="00765A85" w:rsidP="00765A85">
      <w:pPr>
        <w:pStyle w:val="a5"/>
        <w:spacing w:line="360" w:lineRule="auto"/>
        <w:rPr>
          <w:color w:val="000000"/>
          <w:szCs w:val="28"/>
          <w:shd w:val="clear" w:color="auto" w:fill="FFFFFF"/>
        </w:rPr>
      </w:pPr>
      <w:r w:rsidRPr="00765A85">
        <w:rPr>
          <w:color w:val="000000"/>
          <w:szCs w:val="28"/>
          <w:shd w:val="clear" w:color="auto" w:fill="FFFFFF"/>
        </w:rPr>
        <w:t>У науковій літературі поняття «компетентність» з</w:t>
      </w:r>
      <w:r w:rsidRPr="00765A85">
        <w:rPr>
          <w:szCs w:val="28"/>
        </w:rPr>
        <w:t>’</w:t>
      </w:r>
      <w:r w:rsidRPr="00765A85">
        <w:rPr>
          <w:color w:val="000000"/>
          <w:szCs w:val="28"/>
          <w:shd w:val="clear" w:color="auto" w:fill="FFFFFF"/>
        </w:rPr>
        <w:t xml:space="preserve">явилося порівняно недавно. </w:t>
      </w:r>
      <w:proofErr w:type="spellStart"/>
      <w:r w:rsidRPr="00765A85">
        <w:rPr>
          <w:color w:val="000000"/>
          <w:szCs w:val="28"/>
          <w:shd w:val="clear" w:color="auto" w:fill="FFFFFF"/>
        </w:rPr>
        <w:t>Компетентнісний</w:t>
      </w:r>
      <w:proofErr w:type="spellEnd"/>
      <w:r w:rsidRPr="00765A85">
        <w:rPr>
          <w:color w:val="000000"/>
          <w:szCs w:val="28"/>
          <w:shd w:val="clear" w:color="auto" w:fill="FFFFFF"/>
        </w:rPr>
        <w:t xml:space="preserve"> підхід в освіті почав формуватися </w:t>
      </w:r>
      <w:r w:rsidR="007D1454">
        <w:rPr>
          <w:color w:val="000000"/>
          <w:szCs w:val="28"/>
          <w:shd w:val="clear" w:color="auto" w:fill="FFFFFF"/>
        </w:rPr>
        <w:t xml:space="preserve">в західній науковій літературі </w:t>
      </w:r>
      <w:r w:rsidRPr="00765A85">
        <w:rPr>
          <w:color w:val="000000"/>
          <w:szCs w:val="28"/>
          <w:shd w:val="clear" w:color="auto" w:fill="FFFFFF"/>
        </w:rPr>
        <w:t xml:space="preserve">з 60-х років, а у вітчизняній – з 90-х років ХХ століття внаслідок збільшення вимог ринку праці до особистості фахівця. Серед них: готовність до безперервної самоосвіти, ділових комунікацій, співробітництва, здатність до прийняття відповідальних рішень, критичного мислення, роботи з різноманітними джерелами інформації, ефективної поведінки в конкурентному середовищі тощо. В цих умовах показником освіченості людини є не просто знання, уміння та навички, а компетентність як інтегральна характеристика особистості, що </w:t>
      </w:r>
      <w:r w:rsidR="008B7226">
        <w:rPr>
          <w:color w:val="000000"/>
          <w:szCs w:val="28"/>
          <w:shd w:val="clear" w:color="auto" w:fill="FFFFFF"/>
        </w:rPr>
        <w:t>ви</w:t>
      </w:r>
      <w:r w:rsidRPr="00765A85">
        <w:rPr>
          <w:color w:val="000000"/>
          <w:szCs w:val="28"/>
          <w:shd w:val="clear" w:color="auto" w:fill="FFFFFF"/>
        </w:rPr>
        <w:t>являється в здатності вирішувати реальні проблеми з використанням знань, життєвого досвіду, цінностей і нахилів.</w:t>
      </w:r>
    </w:p>
    <w:p w:rsidR="00F05C02" w:rsidRDefault="00765A85" w:rsidP="00765A85">
      <w:pPr>
        <w:pStyle w:val="a5"/>
        <w:spacing w:line="360" w:lineRule="auto"/>
        <w:rPr>
          <w:szCs w:val="28"/>
        </w:rPr>
      </w:pPr>
      <w:r w:rsidRPr="00765A85">
        <w:rPr>
          <w:szCs w:val="28"/>
        </w:rPr>
        <w:lastRenderedPageBreak/>
        <w:t xml:space="preserve">У системі складових професійної компетентності </w:t>
      </w:r>
      <w:r w:rsidR="008B7226">
        <w:rPr>
          <w:szCs w:val="28"/>
        </w:rPr>
        <w:t>студента-полоніста</w:t>
      </w:r>
      <w:r w:rsidRPr="00765A85">
        <w:rPr>
          <w:szCs w:val="28"/>
        </w:rPr>
        <w:t xml:space="preserve"> комунікативній компетентності належить одне з чільних місць. Комунікативна компетентність – одне з найголовніших понять, яке вживають для характеристики професійної майстерності сучасного </w:t>
      </w:r>
      <w:r w:rsidR="008B7226">
        <w:rPr>
          <w:szCs w:val="28"/>
        </w:rPr>
        <w:t>педагога</w:t>
      </w:r>
      <w:r w:rsidRPr="00765A85">
        <w:rPr>
          <w:szCs w:val="28"/>
        </w:rPr>
        <w:t xml:space="preserve">. Автори відомих публікацій, присвячених комунікативній компетентності, відзначають її як ситуативну адаптивність і вільне володіння вербальними та невербальними (мовленнєвими і </w:t>
      </w:r>
      <w:proofErr w:type="spellStart"/>
      <w:r w:rsidRPr="00765A85">
        <w:rPr>
          <w:szCs w:val="28"/>
        </w:rPr>
        <w:t>немовленнєвими</w:t>
      </w:r>
      <w:proofErr w:type="spellEnd"/>
      <w:r w:rsidRPr="00765A85">
        <w:rPr>
          <w:szCs w:val="28"/>
        </w:rPr>
        <w:t xml:space="preserve">) засобами соціальної поведінки </w:t>
      </w:r>
      <w:r w:rsidR="00EC6C74" w:rsidRPr="00EC6C74">
        <w:rPr>
          <w:szCs w:val="28"/>
        </w:rPr>
        <w:t>[3]</w:t>
      </w:r>
      <w:r w:rsidRPr="00765A85">
        <w:rPr>
          <w:szCs w:val="28"/>
        </w:rPr>
        <w:t xml:space="preserve">; сукупність </w:t>
      </w:r>
      <w:r w:rsidR="00C07F4E">
        <w:rPr>
          <w:szCs w:val="28"/>
        </w:rPr>
        <w:t>комунікативних здібностей, знань</w:t>
      </w:r>
      <w:r w:rsidR="00C07F4E" w:rsidRPr="00C07F4E">
        <w:rPr>
          <w:szCs w:val="28"/>
        </w:rPr>
        <w:t xml:space="preserve"> </w:t>
      </w:r>
      <w:r w:rsidR="00C07F4E" w:rsidRPr="00765A85">
        <w:rPr>
          <w:szCs w:val="28"/>
        </w:rPr>
        <w:t>і умінь</w:t>
      </w:r>
      <w:r w:rsidR="00C07F4E">
        <w:rPr>
          <w:szCs w:val="28"/>
        </w:rPr>
        <w:t>, адекватних для вирішення</w:t>
      </w:r>
      <w:r w:rsidRPr="00765A85">
        <w:rPr>
          <w:szCs w:val="28"/>
        </w:rPr>
        <w:t xml:space="preserve"> </w:t>
      </w:r>
      <w:r w:rsidR="00C07F4E">
        <w:rPr>
          <w:szCs w:val="28"/>
        </w:rPr>
        <w:t>комунікативних завдань</w:t>
      </w:r>
      <w:r w:rsidRPr="00765A85">
        <w:rPr>
          <w:szCs w:val="28"/>
        </w:rPr>
        <w:t xml:space="preserve"> (</w:t>
      </w:r>
      <w:r w:rsidR="003C55F5">
        <w:rPr>
          <w:szCs w:val="28"/>
        </w:rPr>
        <w:t xml:space="preserve">Н. </w:t>
      </w:r>
      <w:proofErr w:type="spellStart"/>
      <w:r w:rsidR="00EC6C74">
        <w:rPr>
          <w:szCs w:val="28"/>
        </w:rPr>
        <w:t>Пижова</w:t>
      </w:r>
      <w:proofErr w:type="spellEnd"/>
      <w:r w:rsidR="00C07F4E" w:rsidRPr="00EC6C74">
        <w:rPr>
          <w:szCs w:val="28"/>
        </w:rPr>
        <w:t>)</w:t>
      </w:r>
      <w:r w:rsidR="00C07F4E">
        <w:rPr>
          <w:szCs w:val="28"/>
        </w:rPr>
        <w:t xml:space="preserve">; із педагогічної точки зору Л. </w:t>
      </w:r>
      <w:proofErr w:type="spellStart"/>
      <w:r w:rsidR="00C07F4E" w:rsidRPr="00EC6C74">
        <w:rPr>
          <w:szCs w:val="28"/>
        </w:rPr>
        <w:t>Тімашкова</w:t>
      </w:r>
      <w:proofErr w:type="spellEnd"/>
      <w:r w:rsidR="00C07F4E">
        <w:rPr>
          <w:szCs w:val="28"/>
        </w:rPr>
        <w:t xml:space="preserve"> визнача</w:t>
      </w:r>
      <w:r w:rsidR="00C54E09">
        <w:rPr>
          <w:szCs w:val="28"/>
        </w:rPr>
        <w:t>є</w:t>
      </w:r>
      <w:r w:rsidR="00C07F4E">
        <w:rPr>
          <w:szCs w:val="28"/>
        </w:rPr>
        <w:t xml:space="preserve"> к</w:t>
      </w:r>
      <w:r w:rsidRPr="00765A85">
        <w:rPr>
          <w:szCs w:val="28"/>
        </w:rPr>
        <w:t>омунікативн</w:t>
      </w:r>
      <w:r w:rsidR="00C07F4E">
        <w:rPr>
          <w:szCs w:val="28"/>
        </w:rPr>
        <w:t>у</w:t>
      </w:r>
      <w:r w:rsidRPr="00765A85">
        <w:rPr>
          <w:szCs w:val="28"/>
        </w:rPr>
        <w:t xml:space="preserve"> компетентність</w:t>
      </w:r>
      <w:r w:rsidR="00C07F4E">
        <w:rPr>
          <w:szCs w:val="28"/>
        </w:rPr>
        <w:t xml:space="preserve"> як «складне </w:t>
      </w:r>
      <w:proofErr w:type="spellStart"/>
      <w:r w:rsidR="00C07F4E">
        <w:rPr>
          <w:szCs w:val="28"/>
        </w:rPr>
        <w:t>цілісноособистісне</w:t>
      </w:r>
      <w:proofErr w:type="spellEnd"/>
      <w:r w:rsidR="00C07F4E">
        <w:rPr>
          <w:szCs w:val="28"/>
        </w:rPr>
        <w:t xml:space="preserve"> утворення, що охоплює гуманістичні орієнтації, комунікативні цінності, сукупність особистісних якостей, які забезпечують готовність </w:t>
      </w:r>
      <w:r w:rsidR="00F05C02">
        <w:rPr>
          <w:szCs w:val="28"/>
        </w:rPr>
        <w:t xml:space="preserve">до діалогічного </w:t>
      </w:r>
      <w:r w:rsidR="007D1454">
        <w:rPr>
          <w:szCs w:val="28"/>
        </w:rPr>
        <w:t>спілкування, культуру взаємодії</w:t>
      </w:r>
      <w:r w:rsidR="00F05C02">
        <w:rPr>
          <w:szCs w:val="28"/>
        </w:rPr>
        <w:t>, що виявляється у процесі педагогічної діяльності»</w:t>
      </w:r>
      <w:r w:rsidR="00EC6C74" w:rsidRPr="00EC6C74">
        <w:rPr>
          <w:szCs w:val="28"/>
        </w:rPr>
        <w:t xml:space="preserve"> [4]</w:t>
      </w:r>
      <w:r w:rsidR="000B18B4">
        <w:rPr>
          <w:szCs w:val="28"/>
        </w:rPr>
        <w:t>.</w:t>
      </w:r>
    </w:p>
    <w:p w:rsidR="00765A85" w:rsidRDefault="00A85598" w:rsidP="00E83F6C">
      <w:pPr>
        <w:pStyle w:val="a5"/>
        <w:spacing w:line="360" w:lineRule="auto"/>
        <w:rPr>
          <w:szCs w:val="28"/>
        </w:rPr>
      </w:pPr>
      <w:r>
        <w:t>Аналіз феномену «комунікативної компетентності» показав, що на сьогодні різні підходи обумовлюють виділення різних компонентів її структури.</w:t>
      </w:r>
      <w:r w:rsidR="00B85622">
        <w:t xml:space="preserve"> </w:t>
      </w:r>
      <w:r w:rsidR="00765A85" w:rsidRPr="00765A85">
        <w:rPr>
          <w:szCs w:val="28"/>
        </w:rPr>
        <w:t xml:space="preserve">Варто відзначити, що в структурі комунікативної компетентності доцільно виділяти такі компоненти: гностичний компонент (система знань про сутність, структуру, функції </w:t>
      </w:r>
      <w:r w:rsidR="007D1454">
        <w:rPr>
          <w:szCs w:val="28"/>
        </w:rPr>
        <w:t>й</w:t>
      </w:r>
      <w:r w:rsidR="00765A85" w:rsidRPr="00765A85">
        <w:rPr>
          <w:szCs w:val="28"/>
        </w:rPr>
        <w:t xml:space="preserve"> особливості спілкування взагалі та професійного зокрема; знання про стилі спілкування, зокрема, про особливості власного комунікативного стилю; творче мислення, внаслідок якого спілкування виступає як різновид соціальної творчості); </w:t>
      </w:r>
      <w:proofErr w:type="spellStart"/>
      <w:r w:rsidR="00765A85" w:rsidRPr="00765A85">
        <w:rPr>
          <w:szCs w:val="28"/>
        </w:rPr>
        <w:t>конативний</w:t>
      </w:r>
      <w:proofErr w:type="spellEnd"/>
      <w:r w:rsidR="00765A85" w:rsidRPr="00765A85">
        <w:rPr>
          <w:szCs w:val="28"/>
        </w:rPr>
        <w:t xml:space="preserve"> компонент (загальні та специфічні комунікативні вміння, які дозволяють успішно встановлювати контакт із іншою людиною, адекватно пізнавати її внутрішні стани, керувати ситуацією взаємодії з нею, застосовувати конструктивні стратегії поведінки у конфліктних ситуаціях; культура мовлення; експресивні уміння, які забезпечують адекватний висловлюванням міміко-пантомімічний супровід; </w:t>
      </w:r>
      <w:proofErr w:type="spellStart"/>
      <w:r w:rsidR="00765A85" w:rsidRPr="00765A85">
        <w:rPr>
          <w:szCs w:val="28"/>
        </w:rPr>
        <w:t>перцептивно-рефлексивні</w:t>
      </w:r>
      <w:proofErr w:type="spellEnd"/>
      <w:r w:rsidR="00765A85" w:rsidRPr="00765A85">
        <w:rPr>
          <w:szCs w:val="28"/>
        </w:rPr>
        <w:t xml:space="preserve"> уміння, які забезпечують можливість пізнання внутрішнього світу партнера спілкування та розуміння самого себе); емоційний компонент (гуманістична установка на спілкування, інтерес до іншої людини, </w:t>
      </w:r>
      <w:r w:rsidR="00765A85" w:rsidRPr="00765A85">
        <w:rPr>
          <w:szCs w:val="28"/>
        </w:rPr>
        <w:lastRenderedPageBreak/>
        <w:t xml:space="preserve">готовність вступати з нею в особистісні, діалогічні взаємини, інтерес до власного внутрішнього світу; розвинуті </w:t>
      </w:r>
      <w:proofErr w:type="spellStart"/>
      <w:r w:rsidR="00765A85" w:rsidRPr="00765A85">
        <w:rPr>
          <w:szCs w:val="28"/>
        </w:rPr>
        <w:t>емпатія</w:t>
      </w:r>
      <w:proofErr w:type="spellEnd"/>
      <w:r w:rsidR="00765A85" w:rsidRPr="00765A85">
        <w:rPr>
          <w:szCs w:val="28"/>
        </w:rPr>
        <w:t xml:space="preserve"> та рефлексія; високий рівень ідентифікації з виконуваними професійними та соціальними ролями; позитивна Я-концепція; адекватні вимогам професійної діяльності психоемоційні стани).</w:t>
      </w:r>
    </w:p>
    <w:p w:rsidR="00B85622" w:rsidRDefault="00B85622" w:rsidP="00B85622">
      <w:pPr>
        <w:pStyle w:val="a5"/>
        <w:spacing w:line="360" w:lineRule="auto"/>
        <w:rPr>
          <w:szCs w:val="28"/>
        </w:rPr>
      </w:pPr>
      <w:r>
        <w:rPr>
          <w:color w:val="231F20"/>
          <w:szCs w:val="28"/>
        </w:rPr>
        <w:t>На основі аналізу наукової літератури професійно-</w:t>
      </w:r>
      <w:r w:rsidRPr="00765A85">
        <w:rPr>
          <w:szCs w:val="28"/>
        </w:rPr>
        <w:t>комунікативн</w:t>
      </w:r>
      <w:r>
        <w:rPr>
          <w:szCs w:val="28"/>
        </w:rPr>
        <w:t xml:space="preserve">у </w:t>
      </w:r>
      <w:r w:rsidRPr="00765A85">
        <w:rPr>
          <w:szCs w:val="28"/>
        </w:rPr>
        <w:t>компетентність</w:t>
      </w:r>
      <w:r>
        <w:rPr>
          <w:szCs w:val="28"/>
        </w:rPr>
        <w:t xml:space="preserve"> студентів-полоністів </w:t>
      </w:r>
      <w:proofErr w:type="spellStart"/>
      <w:r>
        <w:rPr>
          <w:szCs w:val="28"/>
        </w:rPr>
        <w:t>протрактовано</w:t>
      </w:r>
      <w:proofErr w:type="spellEnd"/>
      <w:r>
        <w:rPr>
          <w:szCs w:val="28"/>
        </w:rPr>
        <w:t xml:space="preserve"> як складне інтегративне особистісне утворення, що являє собою сукупність достатньо сформованих професійно-комунікативних знань, умінь і навичок, емоційно-ціннісних орієнтацій фахівця, які забезпечують ефективність його комунікативної взаємодії</w:t>
      </w:r>
      <w:r w:rsidRPr="00765A85">
        <w:rPr>
          <w:szCs w:val="28"/>
        </w:rPr>
        <w:t>.</w:t>
      </w:r>
    </w:p>
    <w:p w:rsidR="00765A85" w:rsidRPr="00765A85" w:rsidRDefault="00765A85" w:rsidP="00765A85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765A85">
        <w:rPr>
          <w:color w:val="000000"/>
          <w:sz w:val="28"/>
          <w:szCs w:val="28"/>
        </w:rPr>
        <w:t xml:space="preserve">Отже, результати аналізу наукової літератури, вивчення педагогічного та практичного досвіду свідчать про необхідність врахування та реалізації цілеспрямованих психолого-педагогічних умов, які матимуть на меті розвиток комунікативної компетентності у </w:t>
      </w:r>
      <w:r w:rsidR="00BC7BB9">
        <w:rPr>
          <w:color w:val="000000"/>
          <w:sz w:val="28"/>
          <w:szCs w:val="28"/>
        </w:rPr>
        <w:t>студентів-полоністів</w:t>
      </w:r>
      <w:r w:rsidRPr="00765A85">
        <w:rPr>
          <w:color w:val="000000"/>
          <w:sz w:val="28"/>
          <w:szCs w:val="28"/>
        </w:rPr>
        <w:t xml:space="preserve"> загалом і особливою мірою розвиток практичних умінь, що входять у структуру </w:t>
      </w:r>
      <w:proofErr w:type="spellStart"/>
      <w:r w:rsidRPr="00765A85">
        <w:rPr>
          <w:color w:val="000000"/>
          <w:sz w:val="28"/>
          <w:szCs w:val="28"/>
        </w:rPr>
        <w:t>конативного</w:t>
      </w:r>
      <w:proofErr w:type="spellEnd"/>
      <w:r w:rsidRPr="00765A85">
        <w:rPr>
          <w:color w:val="000000"/>
          <w:sz w:val="28"/>
          <w:szCs w:val="28"/>
        </w:rPr>
        <w:t xml:space="preserve"> компоненту комунікативної компетентності. До таких умов ми відносимо: використання методів контекстного та проблемного навчання; створення позитивної навчальної мотивації для оволодіння студентами-</w:t>
      </w:r>
      <w:r w:rsidR="00BC7BB9">
        <w:rPr>
          <w:color w:val="000000"/>
          <w:sz w:val="28"/>
          <w:szCs w:val="28"/>
        </w:rPr>
        <w:t>полоніст</w:t>
      </w:r>
      <w:r w:rsidRPr="00765A85">
        <w:rPr>
          <w:color w:val="000000"/>
          <w:sz w:val="28"/>
          <w:szCs w:val="28"/>
        </w:rPr>
        <w:t xml:space="preserve">ами професійною комунікацією; набуття </w:t>
      </w:r>
      <w:r w:rsidR="00BC7BB9">
        <w:rPr>
          <w:color w:val="000000"/>
          <w:sz w:val="28"/>
          <w:szCs w:val="28"/>
        </w:rPr>
        <w:t>майбутніми педагогами</w:t>
      </w:r>
      <w:r w:rsidRPr="00765A85">
        <w:rPr>
          <w:color w:val="000000"/>
          <w:sz w:val="28"/>
          <w:szCs w:val="28"/>
        </w:rPr>
        <w:t xml:space="preserve"> досвіду комунікативної взаємодії через організацію різних видів практики</w:t>
      </w:r>
      <w:r w:rsidR="00E83F6C">
        <w:rPr>
          <w:color w:val="000000"/>
          <w:sz w:val="28"/>
          <w:szCs w:val="28"/>
        </w:rPr>
        <w:t>, участі у методичних семінарах, конференціях, стажуванні</w:t>
      </w:r>
      <w:r w:rsidRPr="00765A85">
        <w:rPr>
          <w:color w:val="000000"/>
          <w:sz w:val="28"/>
          <w:szCs w:val="28"/>
        </w:rPr>
        <w:t>; створення комунікативного середовища засобами інформаційно-комунікаційних технологій.</w:t>
      </w:r>
    </w:p>
    <w:p w:rsidR="00765A85" w:rsidRPr="00765A85" w:rsidRDefault="00765A85" w:rsidP="00765A85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765A85">
        <w:rPr>
          <w:color w:val="000000"/>
          <w:sz w:val="28"/>
          <w:szCs w:val="28"/>
        </w:rPr>
        <w:t xml:space="preserve">Обґрунтуємо кожну із зазначених психолого-педагогічних умов. На наше переконання, методи контекстного та проблемного навчання сприяють доповненню та розширенню професійних знань </w:t>
      </w:r>
      <w:r w:rsidR="00BC7BB9">
        <w:rPr>
          <w:color w:val="000000"/>
          <w:sz w:val="28"/>
          <w:szCs w:val="28"/>
        </w:rPr>
        <w:t>і</w:t>
      </w:r>
      <w:r w:rsidRPr="00765A85">
        <w:rPr>
          <w:color w:val="000000"/>
          <w:sz w:val="28"/>
          <w:szCs w:val="28"/>
        </w:rPr>
        <w:t xml:space="preserve"> вмінь з дисциплін професійної </w:t>
      </w:r>
      <w:r w:rsidR="003C12BF">
        <w:rPr>
          <w:color w:val="000000"/>
          <w:sz w:val="28"/>
          <w:szCs w:val="28"/>
        </w:rPr>
        <w:t>і</w:t>
      </w:r>
      <w:r w:rsidRPr="00765A85">
        <w:rPr>
          <w:color w:val="000000"/>
          <w:sz w:val="28"/>
          <w:szCs w:val="28"/>
        </w:rPr>
        <w:t xml:space="preserve"> практичної підготовки фахівців. Контекстне навчання передбачає застосування трьох моделей, у яких реалізуються три базові форми діяльності студентів</w:t>
      </w:r>
      <w:r w:rsidR="003C12BF">
        <w:rPr>
          <w:color w:val="000000"/>
          <w:sz w:val="28"/>
          <w:szCs w:val="28"/>
        </w:rPr>
        <w:t>-полоністів</w:t>
      </w:r>
      <w:r w:rsidRPr="00765A85">
        <w:rPr>
          <w:color w:val="000000"/>
          <w:sz w:val="28"/>
          <w:szCs w:val="28"/>
        </w:rPr>
        <w:t>, а саме: семіотична навчальна модель (провідна роль належить академічній лекції); імітаційна навчальна модель (реалізується у формі ділових та рольових ігор); соціальна навчальна модель (</w:t>
      </w:r>
      <w:r w:rsidR="003C12BF">
        <w:rPr>
          <w:color w:val="000000"/>
          <w:sz w:val="28"/>
          <w:szCs w:val="28"/>
        </w:rPr>
        <w:t xml:space="preserve">різні види </w:t>
      </w:r>
      <w:r w:rsidRPr="00765A85">
        <w:rPr>
          <w:color w:val="000000"/>
          <w:sz w:val="28"/>
          <w:szCs w:val="28"/>
        </w:rPr>
        <w:lastRenderedPageBreak/>
        <w:t xml:space="preserve">практик, </w:t>
      </w:r>
      <w:r w:rsidR="00E83F6C">
        <w:rPr>
          <w:color w:val="000000"/>
          <w:sz w:val="28"/>
          <w:szCs w:val="28"/>
        </w:rPr>
        <w:t xml:space="preserve">стажування, </w:t>
      </w:r>
      <w:r w:rsidRPr="00765A85">
        <w:rPr>
          <w:color w:val="000000"/>
          <w:sz w:val="28"/>
          <w:szCs w:val="28"/>
        </w:rPr>
        <w:t xml:space="preserve">дипломне проектування тощо). Крім базових форм діяльності, контекстне навчання передбачає також проміжні форми навчальної діяльності, що забезпечують поетапну трансформацію однієї базової форми діяльності студентів в іншу: проблемні лекції, семінари-дискусії, групові заняття, аналіз конкретних ситуацій, різноманітні тренінги, спецкурси, спецсемінари та ін. </w:t>
      </w:r>
      <w:r w:rsidR="00EC6C74" w:rsidRPr="00EC6C74">
        <w:rPr>
          <w:sz w:val="28"/>
          <w:szCs w:val="28"/>
        </w:rPr>
        <w:t>[</w:t>
      </w:r>
      <w:r w:rsidR="00EC6C74" w:rsidRPr="00477702">
        <w:rPr>
          <w:sz w:val="28"/>
          <w:szCs w:val="28"/>
        </w:rPr>
        <w:t>2</w:t>
      </w:r>
      <w:r w:rsidR="00EC6C74" w:rsidRPr="00EC6C74">
        <w:rPr>
          <w:sz w:val="28"/>
          <w:szCs w:val="28"/>
        </w:rPr>
        <w:t>]</w:t>
      </w:r>
      <w:r w:rsidRPr="00765A85">
        <w:rPr>
          <w:color w:val="000000"/>
          <w:sz w:val="28"/>
          <w:szCs w:val="28"/>
        </w:rPr>
        <w:t>. Проблемне навчання передбачає створення у свідомості студентів</w:t>
      </w:r>
      <w:r w:rsidR="00E83F6C">
        <w:rPr>
          <w:color w:val="000000"/>
          <w:sz w:val="28"/>
          <w:szCs w:val="28"/>
        </w:rPr>
        <w:t>-полоністів</w:t>
      </w:r>
      <w:r w:rsidRPr="00765A85">
        <w:rPr>
          <w:color w:val="000000"/>
          <w:sz w:val="28"/>
          <w:szCs w:val="28"/>
        </w:rPr>
        <w:t xml:space="preserve"> під керівництвом викладача проблемних ситуацій та організацію активної самостійної діяльності студентів для їх розв’язання, у результаті чого і відбувається творче оволодіння знаннями, вміннями, навичками та розвиток розумових</w:t>
      </w:r>
      <w:r w:rsidR="003C12BF">
        <w:rPr>
          <w:color w:val="000000"/>
          <w:sz w:val="28"/>
          <w:szCs w:val="28"/>
        </w:rPr>
        <w:t xml:space="preserve"> і комунікативних</w:t>
      </w:r>
      <w:r w:rsidRPr="00765A85">
        <w:rPr>
          <w:color w:val="000000"/>
          <w:sz w:val="28"/>
          <w:szCs w:val="28"/>
        </w:rPr>
        <w:t xml:space="preserve"> здібностей.</w:t>
      </w:r>
    </w:p>
    <w:p w:rsidR="00765A85" w:rsidRPr="003C12BF" w:rsidRDefault="00765A85" w:rsidP="00765A8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12BF">
        <w:rPr>
          <w:rFonts w:ascii="Times New Roman" w:hAnsi="Times New Roman" w:cs="Times New Roman"/>
          <w:color w:val="000000"/>
          <w:sz w:val="28"/>
          <w:szCs w:val="28"/>
          <w:lang w:val="uk-UA"/>
        </w:rPr>
        <w:t>Другою педагогічною умовою є створення позитивної навчальної мотивації для оволодіння студентами-п</w:t>
      </w:r>
      <w:r w:rsidR="003C12B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олоніст</w:t>
      </w:r>
      <w:r w:rsidRPr="003C12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ами професійною комунікацією. На нашу думку, мотивація прямо пропорційно впливає на розвиток </w:t>
      </w:r>
      <w:r w:rsidRPr="003C12BF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компетентності </w:t>
      </w:r>
      <w:r w:rsidR="003C12BF">
        <w:rPr>
          <w:rFonts w:ascii="Times New Roman" w:hAnsi="Times New Roman" w:cs="Times New Roman"/>
          <w:sz w:val="28"/>
          <w:szCs w:val="28"/>
          <w:lang w:val="uk-UA"/>
        </w:rPr>
        <w:t>майбутніх педагогів</w:t>
      </w:r>
      <w:r w:rsidRPr="003C12BF">
        <w:rPr>
          <w:rFonts w:ascii="Times New Roman" w:hAnsi="Times New Roman" w:cs="Times New Roman"/>
          <w:sz w:val="28"/>
          <w:szCs w:val="28"/>
          <w:lang w:val="uk-UA"/>
        </w:rPr>
        <w:t xml:space="preserve">. Адже, лише за умови позитивної й усвідомленої спрямованості студента на одержання знань, умінь, навичок можливий позитивний результат. У науковій літературі мотивацію розглядають як складну, багаторівневу, неоднорідну систему спонукань, що охоплює потреби, мотиви, ідеали, інтереси, прагнення, установки, емоції, норми, цінності </w:t>
      </w:r>
      <w:r w:rsidRPr="00EC6C74">
        <w:rPr>
          <w:rFonts w:ascii="Times New Roman" w:hAnsi="Times New Roman" w:cs="Times New Roman"/>
          <w:sz w:val="28"/>
          <w:szCs w:val="28"/>
          <w:lang w:val="uk-UA"/>
        </w:rPr>
        <w:t xml:space="preserve">тощо </w:t>
      </w:r>
      <w:r w:rsidR="00EC6C74" w:rsidRPr="00EC6C74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3C12BF">
        <w:rPr>
          <w:rFonts w:ascii="Times New Roman" w:hAnsi="Times New Roman" w:cs="Times New Roman"/>
          <w:sz w:val="28"/>
          <w:szCs w:val="28"/>
          <w:lang w:val="uk-UA"/>
        </w:rPr>
        <w:t xml:space="preserve">. Ядром мотиваційної сфери є відносно стійкі, домінуючі мотиви. Мотиви навчальної активності студентів надзвичайно різноманітні. Більшість науковців згідні з виділенням двох типів мотивації і відповідних їм двох типів поведінки: 1) зовнішньої мотивації і відповідно зовнішньо мотивованої поведінки та 2) внутрішньої мотивації і відповідно внутрішньо мотивованої </w:t>
      </w:r>
      <w:r w:rsidRPr="00EC6C74">
        <w:rPr>
          <w:rFonts w:ascii="Times New Roman" w:hAnsi="Times New Roman" w:cs="Times New Roman"/>
          <w:sz w:val="28"/>
          <w:szCs w:val="28"/>
          <w:lang w:val="uk-UA"/>
        </w:rPr>
        <w:t xml:space="preserve">поведінки </w:t>
      </w:r>
      <w:r w:rsidR="00EC6C74" w:rsidRPr="00EC6C74">
        <w:rPr>
          <w:rFonts w:ascii="Times New Roman" w:hAnsi="Times New Roman" w:cs="Times New Roman"/>
          <w:sz w:val="28"/>
          <w:szCs w:val="28"/>
          <w:lang w:val="uk-UA"/>
        </w:rPr>
        <w:t>[5]</w:t>
      </w:r>
      <w:r w:rsidRPr="003C12BF">
        <w:rPr>
          <w:rFonts w:ascii="Times New Roman" w:hAnsi="Times New Roman" w:cs="Times New Roman"/>
          <w:sz w:val="28"/>
          <w:szCs w:val="28"/>
          <w:lang w:val="uk-UA"/>
        </w:rPr>
        <w:t>. Успішність навчальної діяльності студентів, забезпечення позитивного емоційного самопочуття та особистісного ставлення залежить від співвідношення мотивів даних двох типів у структурі мотивації навчальної діяльності.</w:t>
      </w:r>
    </w:p>
    <w:p w:rsidR="00765A85" w:rsidRPr="00765A85" w:rsidRDefault="00765A85" w:rsidP="00765A85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65A85">
        <w:rPr>
          <w:rFonts w:ascii="Times New Roman" w:hAnsi="Times New Roman" w:cs="Times New Roman"/>
          <w:sz w:val="28"/>
          <w:szCs w:val="28"/>
          <w:lang w:val="uk-UA"/>
        </w:rPr>
        <w:t>Вагомим чинником набуття студентами-п</w:t>
      </w:r>
      <w:r w:rsidR="003C12BF">
        <w:rPr>
          <w:rFonts w:ascii="Times New Roman" w:hAnsi="Times New Roman" w:cs="Times New Roman"/>
          <w:sz w:val="28"/>
          <w:szCs w:val="28"/>
          <w:lang w:val="uk-UA"/>
        </w:rPr>
        <w:t>олоніст</w:t>
      </w:r>
      <w:r w:rsidRPr="00765A85"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досвіду комунікативної взаємодії є участь у різних видах практики</w:t>
      </w:r>
      <w:r w:rsidR="003C12BF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методичних семінарах, стажуванні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яка є невід’ємною частиною їх професійної підготовки у </w:t>
      </w:r>
      <w:r w:rsidR="007A1EC8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ЗВО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сприяє формуванню їх комунікативної компетентності. Слушною є думка науковця </w:t>
      </w:r>
      <w:r w:rsidR="00EC6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Р. </w:t>
      </w:r>
      <w:proofErr w:type="spellStart"/>
      <w:r w:rsidRPr="00EC6C74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Вайноли</w:t>
      </w:r>
      <w:proofErr w:type="spellEnd"/>
      <w:r w:rsidRPr="00EC6C7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яка трактує проходження студентами практики як процес оволодіння різноманітними видами професійної діяльності, у яких створюються умови для випробовування студентом себе у різних соціальних ролях. Ефективність такої діяльності, на думку автора, полягає у тому, що вона максимально ідентифікується з майбутніми професійними завданнями. Оскільки практика</w:t>
      </w:r>
      <w:r w:rsidR="003469C2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методичні семінари, стажування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провод</w:t>
      </w:r>
      <w:r w:rsidR="003469C2">
        <w:rPr>
          <w:rFonts w:ascii="Times New Roman" w:hAnsi="Times New Roman" w:cs="Times New Roman"/>
          <w:color w:val="000000"/>
          <w:sz w:val="28"/>
          <w:szCs w:val="28"/>
          <w:lang w:val="uk-UA"/>
        </w:rPr>
        <w:t>я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ться в умовах реальної професійної діяльності, то здійснюється суттєве підвищення рівня комунікативної компетентності майбутніх </w:t>
      </w:r>
      <w:r w:rsidR="00B85622">
        <w:rPr>
          <w:rFonts w:ascii="Times New Roman" w:hAnsi="Times New Roman" w:cs="Times New Roman"/>
          <w:color w:val="000000"/>
          <w:sz w:val="28"/>
          <w:szCs w:val="28"/>
          <w:lang w:val="uk-UA"/>
        </w:rPr>
        <w:t>учителів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765A85" w:rsidRPr="00765A85" w:rsidRDefault="00765A85" w:rsidP="00765A85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Створення комунікативного середовища засобами інформаційно-комунікаційних технологій – це умова, яка передбачає використання ресурсів мережі Інтернет та мультимедійних засобів навчання для формування та розвитку монологічних, діалогічних, </w:t>
      </w:r>
      <w:proofErr w:type="spellStart"/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полілогічних</w:t>
      </w:r>
      <w:proofErr w:type="spellEnd"/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соціально-психологічних комунікативних умінь </w:t>
      </w:r>
      <w:r w:rsidR="00B85622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студентів-полоністів</w:t>
      </w:r>
      <w:r w:rsidRPr="00765A8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65A85" w:rsidRDefault="00765A85" w:rsidP="00765A85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765A85">
        <w:rPr>
          <w:color w:val="000000"/>
          <w:sz w:val="28"/>
          <w:szCs w:val="28"/>
        </w:rPr>
        <w:t xml:space="preserve">Таким чином, на наше переконання, забезпечення реалізації перерахованих вище психолого-педагогічних умов сприятиме </w:t>
      </w:r>
      <w:r w:rsidR="00B85622">
        <w:rPr>
          <w:color w:val="000000"/>
          <w:sz w:val="28"/>
          <w:szCs w:val="28"/>
        </w:rPr>
        <w:t xml:space="preserve">розвитку та </w:t>
      </w:r>
      <w:r w:rsidRPr="00765A85">
        <w:rPr>
          <w:color w:val="000000"/>
          <w:sz w:val="28"/>
          <w:szCs w:val="28"/>
        </w:rPr>
        <w:t>формуванн</w:t>
      </w:r>
      <w:r w:rsidR="00B85622">
        <w:rPr>
          <w:color w:val="000000"/>
          <w:sz w:val="28"/>
          <w:szCs w:val="28"/>
        </w:rPr>
        <w:t>ю</w:t>
      </w:r>
      <w:r w:rsidRPr="00765A85">
        <w:rPr>
          <w:color w:val="000000"/>
          <w:sz w:val="28"/>
          <w:szCs w:val="28"/>
        </w:rPr>
        <w:t xml:space="preserve"> </w:t>
      </w:r>
      <w:r w:rsidR="00B85622">
        <w:rPr>
          <w:color w:val="000000"/>
          <w:sz w:val="28"/>
          <w:szCs w:val="28"/>
        </w:rPr>
        <w:t>професійно-</w:t>
      </w:r>
      <w:r w:rsidRPr="00765A85">
        <w:rPr>
          <w:color w:val="000000"/>
          <w:sz w:val="28"/>
          <w:szCs w:val="28"/>
        </w:rPr>
        <w:t xml:space="preserve">комунікативної компетентності майбутніх </w:t>
      </w:r>
      <w:r w:rsidR="00B85622">
        <w:rPr>
          <w:color w:val="000000"/>
          <w:sz w:val="28"/>
          <w:szCs w:val="28"/>
        </w:rPr>
        <w:t>учителів польської мови та літератури</w:t>
      </w:r>
      <w:r w:rsidRPr="00765A85">
        <w:rPr>
          <w:color w:val="000000"/>
          <w:sz w:val="28"/>
          <w:szCs w:val="28"/>
        </w:rPr>
        <w:t>.</w:t>
      </w:r>
    </w:p>
    <w:p w:rsidR="001474E2" w:rsidRDefault="001474E2" w:rsidP="000670FA">
      <w:pPr>
        <w:spacing w:line="360" w:lineRule="auto"/>
        <w:jc w:val="center"/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</w:pPr>
    </w:p>
    <w:p w:rsidR="000670FA" w:rsidRPr="001438AD" w:rsidRDefault="000670FA" w:rsidP="000670FA">
      <w:pPr>
        <w:spacing w:line="360" w:lineRule="auto"/>
        <w:jc w:val="center"/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3C55F5" w:rsidRDefault="000B18B4" w:rsidP="003C55F5">
      <w:pPr>
        <w:pStyle w:val="2"/>
        <w:numPr>
          <w:ilvl w:val="3"/>
          <w:numId w:val="3"/>
        </w:numPr>
        <w:shd w:val="clear" w:color="auto" w:fill="auto"/>
        <w:tabs>
          <w:tab w:val="left" w:pos="0"/>
          <w:tab w:val="left" w:pos="900"/>
          <w:tab w:val="left" w:pos="1134"/>
        </w:tabs>
        <w:spacing w:before="0" w:line="360" w:lineRule="auto"/>
        <w:ind w:right="80" w:firstLine="709"/>
        <w:jc w:val="both"/>
        <w:rPr>
          <w:sz w:val="28"/>
          <w:szCs w:val="28"/>
          <w:shd w:val="clear" w:color="auto" w:fill="auto"/>
          <w:lang w:val="ru-RU"/>
        </w:rPr>
      </w:pPr>
      <w:proofErr w:type="spellStart"/>
      <w:r w:rsidRPr="003C55F5">
        <w:rPr>
          <w:sz w:val="28"/>
          <w:szCs w:val="28"/>
          <w:shd w:val="clear" w:color="auto" w:fill="auto"/>
          <w:lang w:val="ru-RU"/>
        </w:rPr>
        <w:t>Божович</w:t>
      </w:r>
      <w:proofErr w:type="spellEnd"/>
      <w:r w:rsidRPr="003C55F5">
        <w:rPr>
          <w:sz w:val="28"/>
          <w:szCs w:val="28"/>
          <w:shd w:val="clear" w:color="auto" w:fill="auto"/>
          <w:lang w:val="ru-RU"/>
        </w:rPr>
        <w:t xml:space="preserve"> Л. И. Проблемы формирования личности / Под ред. Д. И. </w:t>
      </w:r>
      <w:proofErr w:type="spellStart"/>
      <w:r w:rsidRPr="003C55F5">
        <w:rPr>
          <w:sz w:val="28"/>
          <w:szCs w:val="28"/>
          <w:shd w:val="clear" w:color="auto" w:fill="auto"/>
          <w:lang w:val="ru-RU"/>
        </w:rPr>
        <w:t>Фельдштейна</w:t>
      </w:r>
      <w:proofErr w:type="spellEnd"/>
      <w:r w:rsidRPr="003C55F5">
        <w:rPr>
          <w:sz w:val="28"/>
          <w:szCs w:val="28"/>
          <w:shd w:val="clear" w:color="auto" w:fill="auto"/>
          <w:lang w:val="ru-RU"/>
        </w:rPr>
        <w:t xml:space="preserve">. </w:t>
      </w:r>
      <w:r w:rsidR="004E53AE">
        <w:rPr>
          <w:sz w:val="28"/>
          <w:szCs w:val="28"/>
          <w:shd w:val="clear" w:color="auto" w:fill="auto"/>
          <w:lang w:val="ru-RU"/>
        </w:rPr>
        <w:t>–</w:t>
      </w:r>
      <w:r w:rsidRPr="003C55F5">
        <w:rPr>
          <w:sz w:val="28"/>
          <w:szCs w:val="28"/>
          <w:shd w:val="clear" w:color="auto" w:fill="auto"/>
          <w:lang w:val="ru-RU"/>
        </w:rPr>
        <w:t xml:space="preserve"> М.</w:t>
      </w:r>
      <w:proofErr w:type="gramStart"/>
      <w:r w:rsidR="004E53AE">
        <w:rPr>
          <w:sz w:val="28"/>
          <w:szCs w:val="28"/>
          <w:shd w:val="clear" w:color="auto" w:fill="auto"/>
          <w:lang w:val="ru-RU"/>
        </w:rPr>
        <w:t xml:space="preserve"> </w:t>
      </w:r>
      <w:r w:rsidRPr="003C55F5">
        <w:rPr>
          <w:sz w:val="28"/>
          <w:szCs w:val="28"/>
          <w:shd w:val="clear" w:color="auto" w:fill="auto"/>
          <w:lang w:val="ru-RU"/>
        </w:rPr>
        <w:t>:</w:t>
      </w:r>
      <w:proofErr w:type="gramEnd"/>
      <w:r w:rsidRPr="003C55F5">
        <w:rPr>
          <w:sz w:val="28"/>
          <w:szCs w:val="28"/>
          <w:shd w:val="clear" w:color="auto" w:fill="auto"/>
          <w:lang w:val="ru-RU"/>
        </w:rPr>
        <w:t xml:space="preserve"> Воронеж</w:t>
      </w:r>
      <w:r w:rsidR="004E53AE">
        <w:rPr>
          <w:sz w:val="28"/>
          <w:szCs w:val="28"/>
          <w:shd w:val="clear" w:color="auto" w:fill="auto"/>
          <w:lang w:val="ru-RU"/>
        </w:rPr>
        <w:t xml:space="preserve"> </w:t>
      </w:r>
      <w:r w:rsidRPr="003C55F5">
        <w:rPr>
          <w:sz w:val="28"/>
          <w:szCs w:val="28"/>
          <w:shd w:val="clear" w:color="auto" w:fill="auto"/>
          <w:lang w:val="ru-RU"/>
        </w:rPr>
        <w:t xml:space="preserve">: «МОДЗК», 1995. </w:t>
      </w:r>
      <w:r w:rsidR="004E53AE">
        <w:rPr>
          <w:sz w:val="28"/>
          <w:szCs w:val="28"/>
          <w:shd w:val="clear" w:color="auto" w:fill="auto"/>
          <w:lang w:val="ru-RU"/>
        </w:rPr>
        <w:t>–</w:t>
      </w:r>
      <w:r w:rsidRPr="003C55F5">
        <w:rPr>
          <w:sz w:val="28"/>
          <w:szCs w:val="28"/>
          <w:shd w:val="clear" w:color="auto" w:fill="auto"/>
          <w:lang w:val="ru-RU"/>
        </w:rPr>
        <w:t xml:space="preserve"> 352 с.</w:t>
      </w:r>
      <w:bookmarkStart w:id="0" w:name="Вербицкий"/>
    </w:p>
    <w:p w:rsidR="003C55F5" w:rsidRPr="003C55F5" w:rsidRDefault="003C55F5" w:rsidP="003C55F5">
      <w:pPr>
        <w:pStyle w:val="2"/>
        <w:numPr>
          <w:ilvl w:val="3"/>
          <w:numId w:val="3"/>
        </w:numPr>
        <w:shd w:val="clear" w:color="auto" w:fill="auto"/>
        <w:tabs>
          <w:tab w:val="left" w:pos="0"/>
          <w:tab w:val="left" w:pos="900"/>
          <w:tab w:val="left" w:pos="1134"/>
        </w:tabs>
        <w:spacing w:before="0" w:line="360" w:lineRule="auto"/>
        <w:ind w:right="80" w:firstLine="709"/>
        <w:jc w:val="both"/>
        <w:rPr>
          <w:sz w:val="28"/>
          <w:szCs w:val="28"/>
          <w:shd w:val="clear" w:color="auto" w:fill="auto"/>
          <w:lang w:val="ru-RU"/>
        </w:rPr>
      </w:pPr>
      <w:r w:rsidRPr="003C55F5">
        <w:rPr>
          <w:sz w:val="28"/>
          <w:szCs w:val="28"/>
        </w:rPr>
        <w:t>Вербицкий А.</w:t>
      </w:r>
      <w:r w:rsidR="004E53AE">
        <w:rPr>
          <w:sz w:val="28"/>
          <w:szCs w:val="28"/>
        </w:rPr>
        <w:t xml:space="preserve"> </w:t>
      </w:r>
      <w:r w:rsidRPr="003C55F5">
        <w:rPr>
          <w:sz w:val="28"/>
          <w:szCs w:val="28"/>
        </w:rPr>
        <w:t xml:space="preserve">А. </w:t>
      </w:r>
      <w:bookmarkEnd w:id="0"/>
      <w:r w:rsidRPr="003C55F5">
        <w:rPr>
          <w:sz w:val="28"/>
          <w:szCs w:val="28"/>
        </w:rPr>
        <w:t>Активное обучение в высшей школе: контекстный подход</w:t>
      </w:r>
      <w:r w:rsidR="004E53AE">
        <w:rPr>
          <w:sz w:val="28"/>
          <w:szCs w:val="28"/>
        </w:rPr>
        <w:t xml:space="preserve"> / А. А. </w:t>
      </w:r>
      <w:r w:rsidR="004E53AE" w:rsidRPr="003C55F5">
        <w:rPr>
          <w:sz w:val="28"/>
          <w:szCs w:val="28"/>
        </w:rPr>
        <w:t>Вербицкий</w:t>
      </w:r>
      <w:r w:rsidRPr="003C55F5">
        <w:rPr>
          <w:sz w:val="28"/>
          <w:szCs w:val="28"/>
        </w:rPr>
        <w:t>. – М.</w:t>
      </w:r>
      <w:r w:rsidR="004E53AE">
        <w:rPr>
          <w:sz w:val="28"/>
          <w:szCs w:val="28"/>
        </w:rPr>
        <w:t xml:space="preserve"> </w:t>
      </w:r>
      <w:r w:rsidRPr="003C55F5">
        <w:rPr>
          <w:sz w:val="28"/>
          <w:szCs w:val="28"/>
        </w:rPr>
        <w:t>: Высшая школа, 1991. – 206 с.</w:t>
      </w:r>
    </w:p>
    <w:p w:rsidR="003C55F5" w:rsidRPr="003C55F5" w:rsidRDefault="00224A81" w:rsidP="003C55F5">
      <w:pPr>
        <w:pStyle w:val="2"/>
        <w:numPr>
          <w:ilvl w:val="3"/>
          <w:numId w:val="3"/>
        </w:numPr>
        <w:shd w:val="clear" w:color="auto" w:fill="auto"/>
        <w:tabs>
          <w:tab w:val="left" w:pos="0"/>
          <w:tab w:val="left" w:pos="900"/>
          <w:tab w:val="left" w:pos="1134"/>
        </w:tabs>
        <w:spacing w:before="0" w:line="360" w:lineRule="auto"/>
        <w:ind w:right="80" w:firstLine="709"/>
        <w:jc w:val="both"/>
        <w:rPr>
          <w:sz w:val="28"/>
          <w:szCs w:val="28"/>
          <w:shd w:val="clear" w:color="auto" w:fill="auto"/>
          <w:lang w:val="ru-RU"/>
        </w:rPr>
      </w:pPr>
      <w:r w:rsidRPr="003C55F5">
        <w:rPr>
          <w:color w:val="111111"/>
          <w:sz w:val="28"/>
          <w:szCs w:val="28"/>
          <w:shd w:val="clear" w:color="auto" w:fill="FBFBF3"/>
        </w:rPr>
        <w:t>Емельянов Ю. Н. Активное социально-психологическое обучение / Ю. Н. Емельянов. – Л. : Изд-во ЛГУ, 1985. – 168 с</w:t>
      </w:r>
      <w:r w:rsidR="004E53AE">
        <w:rPr>
          <w:color w:val="111111"/>
          <w:sz w:val="28"/>
          <w:szCs w:val="28"/>
          <w:shd w:val="clear" w:color="auto" w:fill="FBFBF3"/>
        </w:rPr>
        <w:t>.</w:t>
      </w:r>
    </w:p>
    <w:p w:rsidR="00C54E09" w:rsidRPr="004E53AE" w:rsidRDefault="00C54E09" w:rsidP="003C55F5">
      <w:pPr>
        <w:pStyle w:val="2"/>
        <w:numPr>
          <w:ilvl w:val="3"/>
          <w:numId w:val="3"/>
        </w:numPr>
        <w:shd w:val="clear" w:color="auto" w:fill="auto"/>
        <w:tabs>
          <w:tab w:val="left" w:pos="0"/>
          <w:tab w:val="left" w:pos="900"/>
          <w:tab w:val="left" w:pos="1134"/>
        </w:tabs>
        <w:spacing w:before="0" w:line="360" w:lineRule="auto"/>
        <w:ind w:right="80" w:firstLine="709"/>
        <w:jc w:val="both"/>
        <w:rPr>
          <w:sz w:val="28"/>
          <w:szCs w:val="28"/>
          <w:shd w:val="clear" w:color="auto" w:fill="auto"/>
        </w:rPr>
      </w:pPr>
      <w:proofErr w:type="spellStart"/>
      <w:r w:rsidRPr="004E53AE">
        <w:rPr>
          <w:sz w:val="28"/>
          <w:szCs w:val="28"/>
        </w:rPr>
        <w:t>Тімашкова</w:t>
      </w:r>
      <w:proofErr w:type="spellEnd"/>
      <w:r w:rsidRPr="004E53AE">
        <w:rPr>
          <w:sz w:val="28"/>
          <w:szCs w:val="28"/>
        </w:rPr>
        <w:t xml:space="preserve"> Л. Н. Формування комунікативної компетентності студентів педвузу / Л. Н. </w:t>
      </w:r>
      <w:proofErr w:type="spellStart"/>
      <w:r w:rsidRPr="004E53AE">
        <w:rPr>
          <w:sz w:val="28"/>
          <w:szCs w:val="28"/>
        </w:rPr>
        <w:t>Тімашкова</w:t>
      </w:r>
      <w:proofErr w:type="spellEnd"/>
      <w:r w:rsidRPr="004E53AE">
        <w:rPr>
          <w:sz w:val="28"/>
          <w:szCs w:val="28"/>
        </w:rPr>
        <w:t xml:space="preserve">. – </w:t>
      </w:r>
      <w:proofErr w:type="spellStart"/>
      <w:r w:rsidRPr="004E53AE">
        <w:rPr>
          <w:sz w:val="28"/>
          <w:szCs w:val="28"/>
        </w:rPr>
        <w:t>Мн</w:t>
      </w:r>
      <w:proofErr w:type="spellEnd"/>
      <w:r w:rsidRPr="004E53AE">
        <w:rPr>
          <w:sz w:val="28"/>
          <w:szCs w:val="28"/>
        </w:rPr>
        <w:t>. : МДЛУ, 2001.</w:t>
      </w:r>
    </w:p>
    <w:p w:rsidR="000B18B4" w:rsidRPr="004E53AE" w:rsidRDefault="000B18B4" w:rsidP="00697CFF">
      <w:pPr>
        <w:pStyle w:val="2"/>
        <w:numPr>
          <w:ilvl w:val="3"/>
          <w:numId w:val="3"/>
        </w:numPr>
        <w:shd w:val="clear" w:color="auto" w:fill="auto"/>
        <w:tabs>
          <w:tab w:val="left" w:pos="0"/>
          <w:tab w:val="left" w:pos="900"/>
          <w:tab w:val="left" w:pos="1134"/>
        </w:tabs>
        <w:spacing w:before="0" w:line="360" w:lineRule="auto"/>
        <w:ind w:firstLine="709"/>
        <w:jc w:val="both"/>
        <w:rPr>
          <w:sz w:val="28"/>
          <w:szCs w:val="28"/>
        </w:rPr>
      </w:pPr>
      <w:r w:rsidRPr="003C55F5">
        <w:rPr>
          <w:sz w:val="28"/>
          <w:szCs w:val="28"/>
          <w:shd w:val="clear" w:color="auto" w:fill="auto"/>
        </w:rPr>
        <w:t>Чирков В. И. Самодетерминация и внутренняя мотивация поведения человека</w:t>
      </w:r>
      <w:r w:rsidR="008A675A">
        <w:rPr>
          <w:sz w:val="28"/>
          <w:szCs w:val="28"/>
          <w:shd w:val="clear" w:color="auto" w:fill="auto"/>
        </w:rPr>
        <w:t xml:space="preserve"> / В. И. </w:t>
      </w:r>
      <w:proofErr w:type="spellStart"/>
      <w:r w:rsidR="008A675A">
        <w:rPr>
          <w:sz w:val="28"/>
          <w:szCs w:val="28"/>
          <w:shd w:val="clear" w:color="auto" w:fill="auto"/>
        </w:rPr>
        <w:t>Чирков</w:t>
      </w:r>
      <w:proofErr w:type="spellEnd"/>
      <w:r w:rsidRPr="003C55F5">
        <w:rPr>
          <w:sz w:val="28"/>
          <w:szCs w:val="28"/>
          <w:shd w:val="clear" w:color="auto" w:fill="auto"/>
        </w:rPr>
        <w:t xml:space="preserve"> // </w:t>
      </w:r>
      <w:proofErr w:type="spellStart"/>
      <w:r w:rsidRPr="003C55F5">
        <w:rPr>
          <w:sz w:val="28"/>
          <w:szCs w:val="28"/>
          <w:shd w:val="clear" w:color="auto" w:fill="auto"/>
        </w:rPr>
        <w:t>Вопросы</w:t>
      </w:r>
      <w:proofErr w:type="spellEnd"/>
      <w:r w:rsidRPr="003C55F5">
        <w:rPr>
          <w:sz w:val="28"/>
          <w:szCs w:val="28"/>
          <w:shd w:val="clear" w:color="auto" w:fill="auto"/>
        </w:rPr>
        <w:t xml:space="preserve"> </w:t>
      </w:r>
      <w:proofErr w:type="spellStart"/>
      <w:r w:rsidRPr="003C55F5">
        <w:rPr>
          <w:sz w:val="28"/>
          <w:szCs w:val="28"/>
          <w:shd w:val="clear" w:color="auto" w:fill="auto"/>
        </w:rPr>
        <w:t>психологии</w:t>
      </w:r>
      <w:proofErr w:type="spellEnd"/>
      <w:r w:rsidRPr="003C55F5">
        <w:rPr>
          <w:sz w:val="28"/>
          <w:szCs w:val="28"/>
          <w:shd w:val="clear" w:color="auto" w:fill="auto"/>
        </w:rPr>
        <w:t xml:space="preserve">. – 1996. </w:t>
      </w:r>
      <w:r w:rsidR="008A675A">
        <w:rPr>
          <w:sz w:val="28"/>
          <w:szCs w:val="28"/>
          <w:shd w:val="clear" w:color="auto" w:fill="auto"/>
        </w:rPr>
        <w:t>–</w:t>
      </w:r>
      <w:r w:rsidRPr="003C55F5">
        <w:rPr>
          <w:sz w:val="28"/>
          <w:szCs w:val="28"/>
          <w:shd w:val="clear" w:color="auto" w:fill="auto"/>
        </w:rPr>
        <w:t xml:space="preserve"> №3. </w:t>
      </w:r>
      <w:r w:rsidR="008A675A">
        <w:rPr>
          <w:sz w:val="28"/>
          <w:szCs w:val="28"/>
          <w:shd w:val="clear" w:color="auto" w:fill="auto"/>
        </w:rPr>
        <w:t>–</w:t>
      </w:r>
      <w:r w:rsidRPr="003C55F5">
        <w:rPr>
          <w:sz w:val="28"/>
          <w:szCs w:val="28"/>
          <w:shd w:val="clear" w:color="auto" w:fill="auto"/>
        </w:rPr>
        <w:t xml:space="preserve"> С. 116-132.</w:t>
      </w:r>
    </w:p>
    <w:sectPr w:rsidR="000B18B4" w:rsidRPr="004E53AE" w:rsidSect="000C03A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—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vertAlign w:val="baseline"/>
      </w:rPr>
    </w:lvl>
    <w:lvl w:ilvl="2">
      <w:start w:val="1"/>
      <w:numFmt w:val="decimal"/>
      <w:lvlText w:val="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vertAlign w:val="baseline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vertAlign w:val="baseline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vertAlign w:val="baseline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vertAlign w:val="baseline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vertAlign w:val="baseline"/>
      </w:rPr>
    </w:lvl>
  </w:abstractNum>
  <w:abstractNum w:abstractNumId="1">
    <w:nsid w:val="08A01770"/>
    <w:multiLevelType w:val="singleLevel"/>
    <w:tmpl w:val="A84E474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">
    <w:nsid w:val="392E68EB"/>
    <w:multiLevelType w:val="hybridMultilevel"/>
    <w:tmpl w:val="D7FA3E78"/>
    <w:lvl w:ilvl="0" w:tplc="61FED9E6">
      <w:start w:val="1"/>
      <w:numFmt w:val="decimal"/>
      <w:lvlText w:val="%1."/>
      <w:lvlJc w:val="left"/>
      <w:pPr>
        <w:ind w:left="720" w:hanging="360"/>
      </w:pPr>
      <w:rPr>
        <w:rFonts w:ascii="TimesNewRoman" w:hAnsi="TimesNewRoman" w:cs="Arial"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B85781"/>
    <w:multiLevelType w:val="hybridMultilevel"/>
    <w:tmpl w:val="E834B69C"/>
    <w:lvl w:ilvl="0" w:tplc="E0908424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7CFF"/>
    <w:rsid w:val="000670FA"/>
    <w:rsid w:val="000B18B4"/>
    <w:rsid w:val="000B2212"/>
    <w:rsid w:val="00126FD7"/>
    <w:rsid w:val="001474E2"/>
    <w:rsid w:val="001D0145"/>
    <w:rsid w:val="00216471"/>
    <w:rsid w:val="00224A81"/>
    <w:rsid w:val="003469C2"/>
    <w:rsid w:val="003673A4"/>
    <w:rsid w:val="003C12BF"/>
    <w:rsid w:val="003C55F5"/>
    <w:rsid w:val="00466A1A"/>
    <w:rsid w:val="00477702"/>
    <w:rsid w:val="004E53AE"/>
    <w:rsid w:val="00640034"/>
    <w:rsid w:val="00697CFF"/>
    <w:rsid w:val="00765A85"/>
    <w:rsid w:val="00797A79"/>
    <w:rsid w:val="007A1EC8"/>
    <w:rsid w:val="007D1454"/>
    <w:rsid w:val="008A675A"/>
    <w:rsid w:val="008B7226"/>
    <w:rsid w:val="009552DE"/>
    <w:rsid w:val="00A65EDF"/>
    <w:rsid w:val="00A85598"/>
    <w:rsid w:val="00A91608"/>
    <w:rsid w:val="00B85622"/>
    <w:rsid w:val="00BC7BB9"/>
    <w:rsid w:val="00BD74E6"/>
    <w:rsid w:val="00C07F4E"/>
    <w:rsid w:val="00C47E75"/>
    <w:rsid w:val="00C54E09"/>
    <w:rsid w:val="00C967C1"/>
    <w:rsid w:val="00D7354C"/>
    <w:rsid w:val="00E83F6C"/>
    <w:rsid w:val="00EC6C74"/>
    <w:rsid w:val="00EF10FD"/>
    <w:rsid w:val="00EF6BE5"/>
    <w:rsid w:val="00EF79B4"/>
    <w:rsid w:val="00F05C02"/>
    <w:rsid w:val="00F27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CF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697CFF"/>
    <w:pPr>
      <w:ind w:left="720"/>
      <w:contextualSpacing/>
    </w:pPr>
  </w:style>
  <w:style w:type="character" w:styleId="a4">
    <w:name w:val="Hyperlink"/>
    <w:basedOn w:val="a0"/>
    <w:uiPriority w:val="99"/>
    <w:rsid w:val="00697CFF"/>
    <w:rPr>
      <w:rFonts w:cs="Times New Roman"/>
      <w:color w:val="0000FF"/>
      <w:u w:val="single"/>
    </w:rPr>
  </w:style>
  <w:style w:type="paragraph" w:styleId="a5">
    <w:name w:val="Body Text Indent"/>
    <w:basedOn w:val="a"/>
    <w:link w:val="a6"/>
    <w:rsid w:val="00765A85"/>
    <w:pPr>
      <w:widowControl/>
      <w:autoSpaceDE/>
      <w:autoSpaceDN/>
      <w:adjustRightInd/>
      <w:ind w:firstLine="709"/>
      <w:jc w:val="both"/>
    </w:pPr>
    <w:rPr>
      <w:rFonts w:ascii="Times New Roman" w:hAnsi="Times New Roman" w:cs="Times New Roman"/>
      <w:sz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765A8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Normal (Web)"/>
    <w:basedOn w:val="a"/>
    <w:uiPriority w:val="99"/>
    <w:semiHidden/>
    <w:unhideWhenUsed/>
    <w:rsid w:val="00765A85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uk-UA" w:eastAsia="uk-UA"/>
    </w:rPr>
  </w:style>
  <w:style w:type="paragraph" w:customStyle="1" w:styleId="2">
    <w:name w:val="Основний текст (2)"/>
    <w:basedOn w:val="a"/>
    <w:rsid w:val="000B18B4"/>
    <w:pPr>
      <w:widowControl/>
      <w:shd w:val="clear" w:color="auto" w:fill="FFFFFF"/>
      <w:suppressAutoHyphens/>
      <w:autoSpaceDE/>
      <w:autoSpaceDN/>
      <w:adjustRightInd/>
      <w:spacing w:before="180" w:line="230" w:lineRule="exact"/>
      <w:ind w:hanging="280"/>
    </w:pPr>
    <w:rPr>
      <w:rFonts w:ascii="Times New Roman" w:hAnsi="Times New Roman" w:cs="Times New Roman"/>
      <w:sz w:val="19"/>
      <w:szCs w:val="19"/>
      <w:shd w:val="clear" w:color="auto" w:fill="FFFFFF"/>
      <w:lang w:val="uk-UA" w:eastAsia="ar-SA"/>
    </w:rPr>
  </w:style>
  <w:style w:type="character" w:customStyle="1" w:styleId="tlid-translation">
    <w:name w:val="tlid-translation"/>
    <w:basedOn w:val="a0"/>
    <w:rsid w:val="000670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5</Pages>
  <Words>6400</Words>
  <Characters>3648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17</cp:revision>
  <dcterms:created xsi:type="dcterms:W3CDTF">2020-01-27T17:34:00Z</dcterms:created>
  <dcterms:modified xsi:type="dcterms:W3CDTF">2020-01-30T07:26:00Z</dcterms:modified>
</cp:coreProperties>
</file>