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footer1.xml" ContentType="application/vnd.openxmlformats-officedocument.wordprocessingml.footer+xml"/>
  <Override PartName="/word/footer12.xml" ContentType="application/vnd.openxmlformats-officedocument.wordprocessingml.footer+xml"/>
  <Override PartName="/word/styles.xml" ContentType="application/vnd.openxmlformats-officedocument.wordprocessingml.styles+xml"/>
  <Override PartName="/word/footer20.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21.xml" ContentType="application/vnd.openxmlformats-officedocument.wordprocessingml.footer+xml"/>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22.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23.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24.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25.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word/media/image12.wmf" ContentType="image/x-wmf"/>
  <Override PartName="/word/media/image1.png" ContentType="image/png"/>
  <Override PartName="/word/media/image8.wmf" ContentType="image/x-wmf"/>
  <Override PartName="/word/media/image2.wmf" ContentType="image/x-wmf"/>
  <Override PartName="/word/media/image3.wmf" ContentType="image/x-wmf"/>
  <Override PartName="/word/media/image4.wmf" ContentType="image/x-wmf"/>
  <Override PartName="/word/media/image5.wmf" ContentType="image/x-wmf"/>
  <Override PartName="/word/media/image6.wmf" ContentType="image/x-wmf"/>
  <Override PartName="/word/media/image7.wmf" ContentType="image/x-wmf"/>
  <Override PartName="/word/media/image9.wmf" ContentType="image/x-wmf"/>
  <Override PartName="/word/media/image10.wmf" ContentType="image/x-wmf"/>
  <Override PartName="/word/media/image11.wmf" ContentType="image/x-wmf"/>
  <Override PartName="/word/media/image13.wmf" ContentType="image/x-wmf"/>
  <Override PartName="/word/media/image14.wmf" ContentType="image/x-wmf"/>
  <Override PartName="/word/media/image15.wmf" ContentType="image/x-wmf"/>
  <Override PartName="/word/media/image16.wmf" ContentType="image/x-wmf"/>
  <Override PartName="/word/media/image17.wmf" ContentType="image/x-wmf"/>
  <Override PartName="/word/media/image18.wmf" ContentType="image/x-wmf"/>
  <Override PartName="/word/media/image19.wmf" ContentType="image/x-wmf"/>
  <Override PartName="/word/media/image20.wmf" ContentType="image/x-wmf"/>
  <Override PartName="/word/media/image21.wmf" ContentType="image/x-wmf"/>
  <Override PartName="/word/media/image22.wmf" ContentType="image/x-wmf"/>
  <Override PartName="/word/media/image23.wmf" ContentType="image/x-wmf"/>
  <Override PartName="/word/media/image24.wmf" ContentType="image/x-wmf"/>
  <Override PartName="/word/media/image25.wmf" ContentType="image/x-wmf"/>
  <Override PartName="/word/media/image26.wmf" ContentType="image/x-wmf"/>
  <Override PartName="/word/media/image27.wmf" ContentType="image/x-wmf"/>
  <Override PartName="/word/media/image28.png" ContentType="image/png"/>
  <Override PartName="/word/footer16.xml" ContentType="application/vnd.openxmlformats-officedocument.wordprocessingml.footer+xml"/>
  <Override PartName="/word/header8.xml" ContentType="application/vnd.openxmlformats-officedocument.wordprocessingml.header+xml"/>
  <Override PartName="/word/footer27.xml" ContentType="application/vnd.openxmlformats-officedocument.wordprocessingml.footer+xml"/>
  <Override PartName="/word/header9.xml" ContentType="application/vnd.openxmlformats-officedocument.wordprocessingml.header+xml"/>
  <Override PartName="/word/footer28.xml" ContentType="application/vnd.openxmlformats-officedocument.wordprocessingml.footer+xml"/>
  <Override PartName="/word/header10.xml" ContentType="application/vnd.openxmlformats-officedocument.wordprocessingml.header+xml"/>
  <Override PartName="/word/footer30.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31.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jc w:val="center"/>
        <w:rPr>
          <w:rFonts w:ascii="Times New Roman" w:hAnsi="Times New Roman"/>
          <w:sz w:val="28"/>
          <w:szCs w:val="28"/>
        </w:rPr>
      </w:pPr>
      <w:bookmarkStart w:id="0" w:name="_GoBack"/>
      <w:bookmarkEnd w:id="0"/>
      <w:r>
        <w:rPr>
          <w:rFonts w:ascii="Times New Roman" w:hAnsi="Times New Roman"/>
          <w:sz w:val="28"/>
          <w:szCs w:val="28"/>
        </w:rPr>
        <w:t>Хмельницький національний університет</w:t>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Факультет економіки і управління </w:t>
      </w:r>
    </w:p>
    <w:p>
      <w:pPr>
        <w:pStyle w:val="Normal"/>
        <w:spacing w:lineRule="auto" w:line="360"/>
        <w:jc w:val="center"/>
        <w:rPr>
          <w:rFonts w:ascii="Times New Roman" w:hAnsi="Times New Roman"/>
          <w:sz w:val="28"/>
          <w:szCs w:val="28"/>
        </w:rPr>
      </w:pPr>
      <w:r>
        <w:rPr>
          <w:rFonts w:ascii="Times New Roman" w:hAnsi="Times New Roman"/>
          <w:sz w:val="28"/>
          <w:szCs w:val="28"/>
        </w:rPr>
        <w:t>Кафедра автоматизованих систем і моделювання в економіці</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32"/>
        </w:rPr>
      </w:pPr>
      <w:r>
        <w:rPr>
          <w:rFonts w:ascii="Times New Roman" w:hAnsi="Times New Roman"/>
          <w:sz w:val="28"/>
          <w:szCs w:val="32"/>
        </w:rPr>
        <w:t>ДИПЛОМНА РОБОТА</w:t>
      </w:r>
    </w:p>
    <w:p>
      <w:pPr>
        <w:pStyle w:val="Normal"/>
        <w:spacing w:lineRule="auto" w:line="360"/>
        <w:jc w:val="center"/>
        <w:rPr>
          <w:rFonts w:ascii="Times New Roman" w:hAnsi="Times New Roman"/>
          <w:sz w:val="28"/>
          <w:szCs w:val="28"/>
        </w:rPr>
      </w:pPr>
      <w:r>
        <w:rPr>
          <w:rFonts w:ascii="Times New Roman" w:hAnsi="Times New Roman"/>
          <w:sz w:val="28"/>
          <w:szCs w:val="28"/>
        </w:rPr>
        <w:t>магістра</w:t>
      </w:r>
    </w:p>
    <w:p>
      <w:pPr>
        <w:pStyle w:val="Normal"/>
        <w:spacing w:lineRule="auto" w:line="360"/>
        <w:jc w:val="center"/>
        <w:rPr>
          <w:rFonts w:ascii="Times New Roman" w:hAnsi="Times New Roman" w:eastAsia="Times New Roman"/>
          <w:sz w:val="28"/>
          <w:szCs w:val="28"/>
          <w:lang w:eastAsia="ru-RU"/>
        </w:rPr>
      </w:pPr>
      <w:r>
        <w:rPr>
          <w:rFonts w:ascii="Times New Roman" w:hAnsi="Times New Roman"/>
          <w:sz w:val="28"/>
          <w:szCs w:val="28"/>
        </w:rPr>
        <w:t>«</w:t>
      </w:r>
      <w:r>
        <w:rPr>
          <w:rFonts w:eastAsia="Times New Roman" w:ascii="Times New Roman" w:hAnsi="Times New Roman"/>
          <w:sz w:val="28"/>
          <w:szCs w:val="28"/>
          <w:lang w:eastAsia="ru-RU"/>
        </w:rPr>
        <w:t xml:space="preserve">Моделювання ефективності використання основних фондів підприємства </w:t>
      </w:r>
    </w:p>
    <w:p>
      <w:pPr>
        <w:pStyle w:val="Normal"/>
        <w:spacing w:lineRule="auto" w:line="360"/>
        <w:jc w:val="center"/>
        <w:rPr>
          <w:rFonts w:ascii="Times New Roman" w:hAnsi="Times New Roman"/>
          <w:sz w:val="28"/>
          <w:szCs w:val="32"/>
        </w:rPr>
      </w:pPr>
      <w:r>
        <w:rPr>
          <w:rFonts w:eastAsia="Times New Roman" w:ascii="Times New Roman" w:hAnsi="Times New Roman"/>
          <w:sz w:val="28"/>
          <w:szCs w:val="28"/>
          <w:lang w:eastAsia="ru-RU"/>
        </w:rPr>
        <w:t>(на прикладі ТОВ «НЕЙЛ», м. Хмельницький)</w:t>
      </w:r>
      <w:r>
        <w:rPr>
          <w:rFonts w:ascii="Times New Roman" w:hAnsi="Times New Roman"/>
          <w:sz w:val="28"/>
          <w:szCs w:val="28"/>
        </w:rPr>
        <w:t>»</w:t>
      </w:r>
    </w:p>
    <w:p>
      <w:pPr>
        <w:pStyle w:val="Normal"/>
        <w:spacing w:lineRule="auto" w:line="360"/>
        <w:rPr>
          <w:rFonts w:ascii="Times New Roman" w:hAnsi="Times New Roman"/>
          <w:sz w:val="28"/>
          <w:szCs w:val="32"/>
        </w:rPr>
      </w:pPr>
      <w:r>
        <w:rPr>
          <w:rFonts w:ascii="Times New Roman" w:hAnsi="Times New Roman"/>
          <w:sz w:val="28"/>
          <w:szCs w:val="32"/>
        </w:rPr>
      </w:r>
    </w:p>
    <w:p>
      <w:pPr>
        <w:pStyle w:val="Normal"/>
        <w:spacing w:lineRule="auto" w:line="360"/>
        <w:rPr>
          <w:rFonts w:ascii="Times New Roman" w:hAnsi="Times New Roman"/>
          <w:sz w:val="28"/>
          <w:szCs w:val="32"/>
        </w:rPr>
      </w:pPr>
      <w:r>
        <w:rPr>
          <w:rFonts w:ascii="Times New Roman" w:hAnsi="Times New Roman"/>
          <w:sz w:val="28"/>
          <w:szCs w:val="32"/>
        </w:rPr>
        <w:t xml:space="preserve">Галузь знань 05 Соціальні та поведінкові науки </w:t>
      </w:r>
    </w:p>
    <w:p>
      <w:pPr>
        <w:pStyle w:val="Normal"/>
        <w:spacing w:lineRule="auto" w:line="360"/>
        <w:rPr>
          <w:rFonts w:ascii="Times New Roman" w:hAnsi="Times New Roman"/>
          <w:sz w:val="28"/>
          <w:szCs w:val="32"/>
        </w:rPr>
      </w:pPr>
      <w:r>
        <w:rPr>
          <w:rFonts w:ascii="Times New Roman" w:hAnsi="Times New Roman"/>
          <w:sz w:val="28"/>
          <w:szCs w:val="32"/>
        </w:rPr>
        <w:t>Спеціальність 051 Економіка</w:t>
      </w:r>
    </w:p>
    <w:p>
      <w:pPr>
        <w:pStyle w:val="Normal"/>
        <w:spacing w:lineRule="auto" w:line="360"/>
        <w:rPr>
          <w:rFonts w:ascii="Times New Roman" w:hAnsi="Times New Roman"/>
          <w:sz w:val="28"/>
          <w:szCs w:val="32"/>
        </w:rPr>
      </w:pPr>
      <w:r>
        <w:rPr>
          <w:rFonts w:ascii="Times New Roman" w:hAnsi="Times New Roman"/>
          <w:sz w:val="28"/>
          <w:szCs w:val="32"/>
        </w:rPr>
        <w:t>Спеціалізація Економічна кібернетика</w:t>
      </w:r>
    </w:p>
    <w:p>
      <w:pPr>
        <w:pStyle w:val="Normal"/>
        <w:spacing w:lineRule="auto" w:line="360"/>
        <w:rPr>
          <w:rFonts w:ascii="Times New Roman" w:hAnsi="Times New Roman"/>
          <w:sz w:val="32"/>
          <w:szCs w:val="32"/>
        </w:rPr>
      </w:pPr>
      <w:r>
        <w:rPr>
          <w:rFonts w:ascii="Times New Roman" w:hAnsi="Times New Roman"/>
          <w:sz w:val="32"/>
          <w:szCs w:val="32"/>
        </w:rPr>
      </w:r>
    </w:p>
    <w:p>
      <w:pPr>
        <w:pStyle w:val="Normal"/>
        <w:jc w:val="center"/>
        <w:rPr>
          <w:rFonts w:ascii="Times New Roman" w:hAnsi="Times New Roman"/>
          <w:sz w:val="28"/>
          <w:szCs w:val="28"/>
        </w:rPr>
      </w:pPr>
      <w:r>
        <w:rPr>
          <w:rFonts w:ascii="Times New Roman" w:hAnsi="Times New Roman"/>
          <w:sz w:val="28"/>
          <w:szCs w:val="28"/>
        </w:rPr>
        <w:t>Шифр ДРЕК.</w:t>
      </w:r>
      <w:r>
        <w:rPr/>
        <w:t xml:space="preserve"> </w:t>
      </w:r>
      <w:r>
        <w:rPr>
          <w:rFonts w:ascii="Times New Roman" w:hAnsi="Times New Roman"/>
          <w:sz w:val="28"/>
          <w:szCs w:val="28"/>
        </w:rPr>
        <w:t>18258.01.04.ПЗ</w:t>
      </w:r>
    </w:p>
    <w:p>
      <w:pPr>
        <w:pStyle w:val="Normal"/>
        <w:jc w:val="center"/>
        <w:rPr>
          <w:rFonts w:ascii="Times New Roman" w:hAnsi="Times New Roman"/>
          <w:sz w:val="28"/>
          <w:szCs w:val="28"/>
          <w:vertAlign w:val="subscript"/>
        </w:rPr>
      </w:pPr>
      <w:r>
        <w:rPr>
          <w:rFonts w:ascii="Times New Roman" w:hAnsi="Times New Roman"/>
          <w:sz w:val="28"/>
          <w:szCs w:val="28"/>
          <w:vertAlign w:val="subscript"/>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t>Виконав: студент ІІ курсу група ЕКм-20-1 ___________ В. Р. Лисий</w:t>
      </w:r>
    </w:p>
    <w:p>
      <w:pPr>
        <w:pStyle w:val="Normal"/>
        <w:spacing w:lineRule="auto" w:line="360"/>
        <w:rPr>
          <w:rFonts w:ascii="Times New Roman" w:hAnsi="Times New Roman"/>
          <w:sz w:val="28"/>
          <w:szCs w:val="28"/>
        </w:rPr>
      </w:pPr>
      <w:r>
        <w:rPr>
          <w:rFonts w:ascii="Times New Roman" w:hAnsi="Times New Roman"/>
          <w:sz w:val="28"/>
          <w:szCs w:val="28"/>
        </w:rPr>
        <w:t xml:space="preserve">Керівник:   </w:t>
        <w:tab/>
        <w:tab/>
        <w:tab/>
        <w:tab/>
        <w:tab/>
        <w:tab/>
        <w:t xml:space="preserve">    ___________ О. В. Проскурович</w:t>
      </w:r>
    </w:p>
    <w:p>
      <w:pPr>
        <w:pStyle w:val="Normal"/>
        <w:spacing w:lineRule="auto" w:line="360"/>
        <w:rPr>
          <w:rFonts w:ascii="Times New Roman" w:hAnsi="Times New Roman"/>
          <w:sz w:val="28"/>
          <w:szCs w:val="28"/>
        </w:rPr>
      </w:pPr>
      <w:r>
        <w:rPr>
          <w:rFonts w:ascii="Times New Roman" w:hAnsi="Times New Roman"/>
          <w:sz w:val="28"/>
          <w:szCs w:val="28"/>
        </w:rPr>
        <w:t>Нормоконтролер:</w:t>
        <w:tab/>
        <w:tab/>
        <w:tab/>
        <w:tab/>
        <w:tab/>
        <w:t xml:space="preserve">    ___________ В. Г. Щука</w:t>
      </w:r>
    </w:p>
    <w:p>
      <w:pPr>
        <w:pStyle w:val="Normal"/>
        <w:spacing w:lineRule="auto" w:line="360"/>
        <w:rPr>
          <w:rFonts w:ascii="Times New Roman" w:hAnsi="Times New Roman"/>
          <w:sz w:val="28"/>
          <w:szCs w:val="28"/>
        </w:rPr>
      </w:pPr>
      <w:r>
        <w:rPr>
          <w:rFonts w:ascii="Times New Roman" w:hAnsi="Times New Roman"/>
          <w:sz w:val="28"/>
          <w:szCs w:val="28"/>
        </w:rPr>
        <w:t xml:space="preserve">До захисту допускаю: </w:t>
      </w:r>
    </w:p>
    <w:p>
      <w:pPr>
        <w:pStyle w:val="Normal"/>
        <w:spacing w:lineRule="auto" w:line="360"/>
        <w:rPr>
          <w:rFonts w:ascii="Times New Roman" w:hAnsi="Times New Roman"/>
          <w:sz w:val="28"/>
          <w:szCs w:val="28"/>
        </w:rPr>
      </w:pPr>
      <w:r>
        <w:rPr>
          <w:rFonts w:ascii="Times New Roman" w:hAnsi="Times New Roman"/>
          <w:sz w:val="28"/>
          <w:szCs w:val="28"/>
        </w:rPr>
        <w:t xml:space="preserve">Зав. кафедри АСМЕ   </w:t>
        <w:tab/>
        <w:tab/>
        <w:tab/>
        <w:tab/>
        <w:t xml:space="preserve">    ___________ П. М. Григорук</w:t>
      </w:r>
    </w:p>
    <w:p>
      <w:pPr>
        <w:pStyle w:val="Normal"/>
        <w:spacing w:lineRule="auto" w:line="360"/>
        <w:rPr>
          <w:rFonts w:ascii="Times New Roman" w:hAnsi="Times New Roman"/>
          <w:sz w:val="28"/>
          <w:szCs w:val="28"/>
        </w:rPr>
      </w:pPr>
      <w:r>
        <w:rPr>
          <w:rFonts w:ascii="Times New Roman" w:hAnsi="Times New Roman"/>
          <w:sz w:val="28"/>
          <w:szCs w:val="28"/>
        </w:rPr>
        <w:t>____  ________ 2021 р.</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jc w:val="center"/>
        <w:rPr>
          <w:rFonts w:ascii="Times New Roman" w:hAnsi="Times New Roman"/>
          <w:sz w:val="28"/>
          <w:szCs w:val="28"/>
        </w:rPr>
      </w:pPr>
      <w:r>
        <w:rPr>
          <w:rFonts w:ascii="Times New Roman" w:hAnsi="Times New Roman"/>
          <w:sz w:val="28"/>
          <w:szCs w:val="28"/>
        </w:rPr>
        <w:t>Хмельницький, 2021</w:t>
      </w:r>
    </w:p>
    <w:p>
      <w:pPr>
        <w:sectPr>
          <w:headerReference w:type="default" r:id="rId2"/>
          <w:footerReference w:type="default" r:id="rId3"/>
          <w:type w:val="nextPage"/>
          <w:pgSz w:w="11906" w:h="16838"/>
          <w:pgMar w:left="1701" w:right="567" w:header="709" w:top="1134" w:footer="709" w:bottom="1134" w:gutter="0"/>
          <w:pgNumType w:fmt="decimal"/>
          <w:formProt w:val="false"/>
          <w:textDirection w:val="lrTb"/>
        </w:sectPr>
      </w:pPr>
    </w:p>
    <w:p>
      <w:pPr>
        <w:pStyle w:val="Normal"/>
        <w:jc w:val="center"/>
        <w:rPr>
          <w:rFonts w:ascii="Times New Roman" w:hAnsi="Times New Roman"/>
          <w:sz w:val="28"/>
          <w:szCs w:val="28"/>
        </w:rPr>
      </w:pPr>
      <w:r>
        <w:rPr>
          <w:rFonts w:ascii="Times New Roman" w:hAnsi="Times New Roman"/>
          <w:sz w:val="28"/>
          <w:szCs w:val="28"/>
        </w:rPr>
      </w:r>
    </w:p>
    <w:p>
      <w:pPr>
        <w:pStyle w:val="Normal"/>
        <w:jc w:val="center"/>
        <w:rPr>
          <w:rFonts w:ascii="Times New Roman" w:hAnsi="Times New Roman"/>
          <w:sz w:val="28"/>
          <w:szCs w:val="28"/>
        </w:rPr>
      </w:pPr>
      <w:r>
        <w:rPr>
          <w:rFonts w:ascii="Times New Roman" w:hAnsi="Times New Roman"/>
          <w:caps/>
          <w:sz w:val="28"/>
          <w:szCs w:val="28"/>
          <w:lang w:eastAsia="ar-SA"/>
        </w:rPr>
        <w:t>ХМЕЛЬНИЦЬКИЙ НАЦІОНАЛЬНИЙ УНІВЕРСИТЕТ</w:t>
      </w:r>
    </w:p>
    <w:p>
      <w:pPr>
        <w:pStyle w:val="Normal"/>
        <w:keepNext w:val="true"/>
        <w:numPr>
          <w:ilvl w:val="0"/>
          <w:numId w:val="0"/>
        </w:numPr>
        <w:outlineLvl w:val="0"/>
        <w:rPr>
          <w:rFonts w:ascii="Times New Roman" w:hAnsi="Times New Roman" w:eastAsia="Times New Roman"/>
          <w:b/>
          <w:b/>
          <w:bCs/>
          <w:kern w:val="2"/>
          <w:sz w:val="24"/>
          <w:szCs w:val="28"/>
          <w:lang w:eastAsia="uk-UA"/>
        </w:rPr>
      </w:pPr>
      <w:r>
        <w:rPr>
          <w:rFonts w:eastAsia="Times New Roman" w:ascii="Times New Roman" w:hAnsi="Times New Roman"/>
          <w:kern w:val="2"/>
          <w:sz w:val="24"/>
          <w:szCs w:val="28"/>
          <w:lang w:eastAsia="uk-UA"/>
        </w:rPr>
        <w:t xml:space="preserve">Факультет: </w:t>
      </w:r>
      <w:r>
        <w:rPr>
          <w:rFonts w:eastAsia="Times New Roman" w:ascii="Times New Roman" w:hAnsi="Times New Roman"/>
          <w:b/>
          <w:bCs/>
          <w:kern w:val="2"/>
          <w:sz w:val="24"/>
          <w:szCs w:val="28"/>
          <w:lang w:eastAsia="uk-UA"/>
        </w:rPr>
        <w:t xml:space="preserve"> </w:t>
      </w:r>
      <w:r>
        <w:rPr>
          <w:rFonts w:eastAsia="Times New Roman" w:ascii="Times New Roman" w:hAnsi="Times New Roman"/>
          <w:kern w:val="2"/>
          <w:sz w:val="24"/>
          <w:szCs w:val="28"/>
          <w:u w:val="single"/>
          <w:lang w:eastAsia="uk-UA"/>
        </w:rPr>
        <w:t>економіки і управління</w:t>
      </w:r>
      <w:r>
        <w:rPr>
          <w:rFonts w:eastAsia="Times New Roman" w:ascii="Times New Roman" w:hAnsi="Times New Roman"/>
          <w:kern w:val="2"/>
          <w:sz w:val="24"/>
          <w:szCs w:val="28"/>
          <w:lang w:eastAsia="uk-UA"/>
        </w:rPr>
        <w:t xml:space="preserve"> </w:t>
      </w:r>
    </w:p>
    <w:p>
      <w:pPr>
        <w:pStyle w:val="Normal"/>
        <w:keepNext w:val="true"/>
        <w:numPr>
          <w:ilvl w:val="0"/>
          <w:numId w:val="0"/>
        </w:numPr>
        <w:outlineLvl w:val="0"/>
        <w:rPr>
          <w:rFonts w:ascii="Times New Roman" w:hAnsi="Times New Roman" w:eastAsia="Times New Roman"/>
          <w:kern w:val="2"/>
          <w:sz w:val="24"/>
          <w:szCs w:val="28"/>
          <w:u w:val="single"/>
          <w:lang w:eastAsia="uk-UA"/>
        </w:rPr>
      </w:pPr>
      <w:r>
        <w:rPr>
          <w:rFonts w:eastAsia="Times New Roman" w:ascii="Times New Roman" w:hAnsi="Times New Roman"/>
          <w:kern w:val="2"/>
          <w:sz w:val="24"/>
          <w:szCs w:val="28"/>
          <w:lang w:eastAsia="uk-UA"/>
        </w:rPr>
        <w:t xml:space="preserve">Кафедра: </w:t>
      </w:r>
      <w:r>
        <w:rPr>
          <w:rFonts w:eastAsia="Times New Roman" w:ascii="Times New Roman" w:hAnsi="Times New Roman"/>
          <w:kern w:val="2"/>
          <w:sz w:val="24"/>
          <w:szCs w:val="28"/>
          <w:u w:val="single"/>
          <w:lang w:eastAsia="uk-UA"/>
        </w:rPr>
        <w:t>автоматизованих систем і моделювання в економіці</w:t>
      </w:r>
    </w:p>
    <w:p>
      <w:pPr>
        <w:pStyle w:val="Normal"/>
        <w:rPr>
          <w:rFonts w:ascii="Times New Roman" w:hAnsi="Times New Roman"/>
          <w:sz w:val="24"/>
          <w:szCs w:val="28"/>
        </w:rPr>
      </w:pPr>
      <w:r>
        <w:rPr>
          <w:rFonts w:ascii="Times New Roman" w:hAnsi="Times New Roman"/>
          <w:sz w:val="24"/>
          <w:szCs w:val="28"/>
        </w:rPr>
        <w:t xml:space="preserve">Освітній рівень: </w:t>
      </w:r>
      <w:r>
        <w:rPr>
          <w:rFonts w:ascii="Times New Roman" w:hAnsi="Times New Roman"/>
          <w:bCs/>
          <w:sz w:val="24"/>
          <w:szCs w:val="28"/>
          <w:u w:val="single"/>
        </w:rPr>
        <w:t>«магістр»</w:t>
      </w:r>
    </w:p>
    <w:p>
      <w:pPr>
        <w:pStyle w:val="Normal"/>
        <w:keepNext w:val="true"/>
        <w:numPr>
          <w:ilvl w:val="0"/>
          <w:numId w:val="0"/>
        </w:numPr>
        <w:outlineLvl w:val="0"/>
        <w:rPr>
          <w:rFonts w:ascii="Times New Roman" w:hAnsi="Times New Roman" w:eastAsia="Times New Roman"/>
          <w:kern w:val="2"/>
          <w:sz w:val="24"/>
          <w:szCs w:val="28"/>
          <w:lang w:eastAsia="uk-UA"/>
        </w:rPr>
      </w:pPr>
      <w:r>
        <w:rPr>
          <w:rFonts w:eastAsia="Times New Roman" w:ascii="Times New Roman" w:hAnsi="Times New Roman"/>
          <w:kern w:val="2"/>
          <w:sz w:val="24"/>
          <w:szCs w:val="28"/>
          <w:lang w:eastAsia="uk-UA"/>
        </w:rPr>
        <w:t xml:space="preserve">Галузь знань: </w:t>
      </w:r>
      <w:r>
        <w:rPr>
          <w:rFonts w:eastAsia="Times New Roman" w:ascii="Times New Roman" w:hAnsi="Times New Roman"/>
          <w:kern w:val="2"/>
          <w:sz w:val="24"/>
          <w:szCs w:val="28"/>
          <w:u w:val="single"/>
          <w:lang w:eastAsia="uk-UA"/>
        </w:rPr>
        <w:t>05 «Соціальні та поведінкові науки»</w:t>
      </w:r>
      <w:r>
        <w:rPr>
          <w:rFonts w:eastAsia="Times New Roman" w:ascii="Times New Roman" w:hAnsi="Times New Roman"/>
          <w:kern w:val="2"/>
          <w:sz w:val="24"/>
          <w:szCs w:val="28"/>
          <w:lang w:eastAsia="uk-UA"/>
        </w:rPr>
        <w:t xml:space="preserve"> </w:t>
      </w:r>
    </w:p>
    <w:p>
      <w:pPr>
        <w:pStyle w:val="Normal"/>
        <w:keepNext w:val="true"/>
        <w:numPr>
          <w:ilvl w:val="0"/>
          <w:numId w:val="0"/>
        </w:numPr>
        <w:outlineLvl w:val="0"/>
        <w:rPr>
          <w:rFonts w:ascii="Times New Roman" w:hAnsi="Times New Roman" w:eastAsia="Times New Roman"/>
          <w:kern w:val="2"/>
          <w:sz w:val="24"/>
          <w:szCs w:val="28"/>
          <w:lang w:eastAsia="uk-UA"/>
        </w:rPr>
      </w:pPr>
      <w:r>
        <w:rPr>
          <w:rFonts w:eastAsia="Times New Roman" w:ascii="Times New Roman" w:hAnsi="Times New Roman"/>
          <w:kern w:val="2"/>
          <w:sz w:val="24"/>
          <w:szCs w:val="28"/>
          <w:lang w:eastAsia="uk-UA"/>
        </w:rPr>
        <w:t xml:space="preserve">Спеціальність: </w:t>
      </w:r>
      <w:r>
        <w:rPr>
          <w:rFonts w:eastAsia="Times New Roman" w:ascii="Times New Roman" w:hAnsi="Times New Roman"/>
          <w:kern w:val="2"/>
          <w:sz w:val="24"/>
          <w:szCs w:val="28"/>
          <w:u w:val="single"/>
          <w:lang w:eastAsia="uk-UA"/>
        </w:rPr>
        <w:t>051 «Економіка»</w:t>
      </w:r>
    </w:p>
    <w:p>
      <w:pPr>
        <w:pStyle w:val="Normal"/>
        <w:keepNext w:val="true"/>
        <w:numPr>
          <w:ilvl w:val="0"/>
          <w:numId w:val="0"/>
        </w:numPr>
        <w:outlineLvl w:val="0"/>
        <w:rPr>
          <w:rFonts w:ascii="Times New Roman" w:hAnsi="Times New Roman" w:eastAsia="Times New Roman"/>
          <w:kern w:val="2"/>
          <w:sz w:val="24"/>
          <w:szCs w:val="28"/>
          <w:u w:val="single"/>
          <w:lang w:eastAsia="uk-UA"/>
        </w:rPr>
      </w:pPr>
      <w:r>
        <w:rPr>
          <w:rFonts w:eastAsia="Times New Roman" w:ascii="Times New Roman" w:hAnsi="Times New Roman"/>
          <w:kern w:val="2"/>
          <w:sz w:val="24"/>
          <w:szCs w:val="28"/>
          <w:lang w:eastAsia="uk-UA"/>
        </w:rPr>
        <w:t xml:space="preserve">Спеціалізація: </w:t>
      </w:r>
      <w:r>
        <w:rPr>
          <w:rFonts w:eastAsia="Times New Roman" w:ascii="Times New Roman" w:hAnsi="Times New Roman"/>
          <w:kern w:val="2"/>
          <w:sz w:val="24"/>
          <w:szCs w:val="28"/>
          <w:u w:val="single"/>
          <w:lang w:eastAsia="uk-UA"/>
        </w:rPr>
        <w:t>Економічна кібернетика</w:t>
      </w:r>
    </w:p>
    <w:p>
      <w:pPr>
        <w:pStyle w:val="Normal"/>
        <w:rPr>
          <w:rFonts w:ascii="Times New Roman" w:hAnsi="Times New Roman"/>
          <w:sz w:val="28"/>
          <w:lang w:eastAsia="uk-UA"/>
        </w:rPr>
      </w:pPr>
      <w:r>
        <w:rPr>
          <w:rFonts w:ascii="Times New Roman" w:hAnsi="Times New Roman"/>
          <w:sz w:val="24"/>
          <w:lang w:eastAsia="uk-UA"/>
        </w:rPr>
        <w:t xml:space="preserve">Освітня програма: </w:t>
      </w:r>
      <w:r>
        <w:rPr>
          <w:rFonts w:ascii="Times New Roman" w:hAnsi="Times New Roman"/>
          <w:sz w:val="24"/>
          <w:u w:val="single"/>
          <w:lang w:eastAsia="uk-UA"/>
        </w:rPr>
        <w:t>Економічна кібернетика</w:t>
      </w:r>
    </w:p>
    <w:p>
      <w:pPr>
        <w:pStyle w:val="Normal"/>
        <w:keepNext w:val="true"/>
        <w:numPr>
          <w:ilvl w:val="0"/>
          <w:numId w:val="0"/>
        </w:numPr>
        <w:outlineLvl w:val="0"/>
        <w:rPr>
          <w:rFonts w:ascii="Times New Roman" w:hAnsi="Times New Roman" w:eastAsia="Times New Roman"/>
          <w:kern w:val="2"/>
          <w:sz w:val="16"/>
          <w:szCs w:val="16"/>
          <w:lang w:eastAsia="uk-UA"/>
        </w:rPr>
      </w:pPr>
      <w:r>
        <w:rPr>
          <w:rFonts w:eastAsia="Times New Roman" w:ascii="Times New Roman" w:hAnsi="Times New Roman"/>
          <w:kern w:val="2"/>
          <w:sz w:val="16"/>
          <w:szCs w:val="16"/>
          <w:lang w:eastAsia="uk-UA"/>
        </w:rPr>
      </w:r>
    </w:p>
    <w:tbl>
      <w:tblPr>
        <w:tblW w:w="4422" w:type="dxa"/>
        <w:jc w:val="left"/>
        <w:tblInd w:w="5148" w:type="dxa"/>
        <w:tblCellMar>
          <w:top w:w="0" w:type="dxa"/>
          <w:left w:w="108" w:type="dxa"/>
          <w:bottom w:w="0" w:type="dxa"/>
          <w:right w:w="108" w:type="dxa"/>
        </w:tblCellMar>
        <w:tblLook w:firstRow="1" w:noVBand="0" w:lastRow="1" w:firstColumn="1" w:lastColumn="1" w:noHBand="0" w:val="01e0"/>
      </w:tblPr>
      <w:tblGrid>
        <w:gridCol w:w="4422"/>
      </w:tblGrid>
      <w:tr>
        <w:trPr/>
        <w:tc>
          <w:tcPr>
            <w:tcW w:w="4422" w:type="dxa"/>
            <w:tcBorders/>
            <w:shd w:fill="auto" w:val="clear"/>
          </w:tcPr>
          <w:p>
            <w:pPr>
              <w:pStyle w:val="Normal"/>
              <w:keepNext w:val="true"/>
              <w:numPr>
                <w:ilvl w:val="0"/>
                <w:numId w:val="0"/>
              </w:numPr>
              <w:jc w:val="center"/>
              <w:outlineLvl w:val="0"/>
              <w:rPr>
                <w:rFonts w:ascii="Times New Roman" w:hAnsi="Times New Roman" w:eastAsia="Times New Roman"/>
                <w:bCs/>
                <w:kern w:val="2"/>
                <w:sz w:val="24"/>
                <w:szCs w:val="24"/>
                <w:lang w:eastAsia="uk-UA"/>
              </w:rPr>
            </w:pPr>
            <w:r>
              <w:rPr>
                <w:rFonts w:eastAsia="Times New Roman" w:ascii="Times New Roman" w:hAnsi="Times New Roman"/>
                <w:bCs/>
                <w:kern w:val="2"/>
                <w:sz w:val="24"/>
                <w:szCs w:val="24"/>
                <w:lang w:eastAsia="uk-UA"/>
              </w:rPr>
              <w:t>ЗАТВЕРДЖУЮ</w:t>
            </w:r>
          </w:p>
        </w:tc>
      </w:tr>
      <w:tr>
        <w:trPr/>
        <w:tc>
          <w:tcPr>
            <w:tcW w:w="4422" w:type="dxa"/>
            <w:tcBorders/>
            <w:shd w:fill="auto" w:val="clear"/>
          </w:tcPr>
          <w:p>
            <w:pPr>
              <w:pStyle w:val="Normal"/>
              <w:keepNext w:val="true"/>
              <w:numPr>
                <w:ilvl w:val="0"/>
                <w:numId w:val="0"/>
              </w:numPr>
              <w:outlineLvl w:val="0"/>
              <w:rPr>
                <w:rFonts w:ascii="Times New Roman" w:hAnsi="Times New Roman" w:eastAsia="Times New Roman"/>
                <w:kern w:val="2"/>
                <w:sz w:val="24"/>
                <w:szCs w:val="24"/>
                <w:lang w:eastAsia="uk-UA"/>
              </w:rPr>
            </w:pPr>
            <w:r>
              <w:rPr>
                <w:rFonts w:eastAsia="Times New Roman" w:ascii="Times New Roman" w:hAnsi="Times New Roman"/>
                <w:kern w:val="2"/>
                <w:sz w:val="24"/>
                <w:szCs w:val="24"/>
                <w:lang w:eastAsia="uk-UA"/>
              </w:rPr>
              <w:t>Завідувач кафедри АСМЕ</w:t>
            </w:r>
          </w:p>
        </w:tc>
      </w:tr>
      <w:tr>
        <w:trPr/>
        <w:tc>
          <w:tcPr>
            <w:tcW w:w="4422" w:type="dxa"/>
            <w:tcBorders/>
            <w:shd w:fill="auto" w:val="clear"/>
          </w:tcPr>
          <w:p>
            <w:pPr>
              <w:pStyle w:val="Normal"/>
              <w:keepNext w:val="true"/>
              <w:numPr>
                <w:ilvl w:val="0"/>
                <w:numId w:val="0"/>
              </w:numPr>
              <w:outlineLvl w:val="0"/>
              <w:rPr>
                <w:rFonts w:ascii="Times New Roman" w:hAnsi="Times New Roman" w:eastAsia="Times New Roman"/>
                <w:kern w:val="2"/>
                <w:sz w:val="24"/>
                <w:szCs w:val="24"/>
                <w:lang w:eastAsia="uk-UA"/>
              </w:rPr>
            </w:pPr>
            <w:r>
              <w:rPr>
                <w:rFonts w:eastAsia="Times New Roman" w:ascii="Times New Roman" w:hAnsi="Times New Roman"/>
                <w:b/>
                <w:bCs/>
                <w:kern w:val="2"/>
                <w:sz w:val="24"/>
                <w:szCs w:val="24"/>
                <w:lang w:eastAsia="uk-UA"/>
              </w:rPr>
              <w:t xml:space="preserve">_________________ </w:t>
            </w:r>
            <w:r>
              <w:rPr>
                <w:rFonts w:eastAsia="Times New Roman" w:ascii="Times New Roman" w:hAnsi="Times New Roman"/>
                <w:kern w:val="2"/>
                <w:sz w:val="24"/>
                <w:szCs w:val="24"/>
                <w:lang w:eastAsia="uk-UA"/>
              </w:rPr>
              <w:t>Павло Григорук</w:t>
            </w:r>
          </w:p>
        </w:tc>
      </w:tr>
      <w:tr>
        <w:trPr>
          <w:trHeight w:val="285" w:hRule="atLeast"/>
        </w:trPr>
        <w:tc>
          <w:tcPr>
            <w:tcW w:w="4422" w:type="dxa"/>
            <w:tcBorders/>
            <w:shd w:fill="auto" w:val="clear"/>
          </w:tcPr>
          <w:p>
            <w:pPr>
              <w:pStyle w:val="Normal"/>
              <w:keepNext w:val="true"/>
              <w:numPr>
                <w:ilvl w:val="0"/>
                <w:numId w:val="0"/>
              </w:numPr>
              <w:outlineLvl w:val="0"/>
              <w:rPr>
                <w:rFonts w:ascii="Times New Roman" w:hAnsi="Times New Roman" w:eastAsia="Times New Roman"/>
                <w:bCs/>
                <w:kern w:val="2"/>
                <w:sz w:val="24"/>
                <w:szCs w:val="24"/>
                <w:lang w:eastAsia="uk-UA"/>
              </w:rPr>
            </w:pPr>
            <w:r>
              <w:rPr>
                <w:rFonts w:eastAsia="Times New Roman" w:ascii="Times New Roman" w:hAnsi="Times New Roman"/>
                <w:bCs/>
                <w:kern w:val="2"/>
                <w:sz w:val="24"/>
                <w:szCs w:val="24"/>
                <w:lang w:eastAsia="uk-UA"/>
              </w:rPr>
              <w:t>«____» _</w:t>
            </w:r>
            <w:r>
              <w:rPr>
                <w:rFonts w:eastAsia="Times New Roman" w:ascii="Times New Roman" w:hAnsi="Times New Roman"/>
                <w:bCs/>
                <w:kern w:val="2"/>
                <w:sz w:val="24"/>
                <w:szCs w:val="24"/>
                <w:u w:val="single"/>
                <w:lang w:eastAsia="uk-UA"/>
              </w:rPr>
              <w:t>________________</w:t>
            </w:r>
            <w:r>
              <w:rPr>
                <w:rFonts w:eastAsia="Times New Roman" w:ascii="Times New Roman" w:hAnsi="Times New Roman"/>
                <w:bCs/>
                <w:kern w:val="2"/>
                <w:sz w:val="24"/>
                <w:szCs w:val="24"/>
                <w:lang w:eastAsia="uk-UA"/>
              </w:rPr>
              <w:t>2021 року</w:t>
            </w:r>
          </w:p>
        </w:tc>
      </w:tr>
    </w:tbl>
    <w:p>
      <w:pPr>
        <w:pStyle w:val="Normal"/>
        <w:jc w:val="center"/>
        <w:rPr>
          <w:bCs/>
          <w:sz w:val="16"/>
          <w:szCs w:val="16"/>
        </w:rPr>
      </w:pPr>
      <w:r>
        <w:rPr>
          <w:bCs/>
          <w:sz w:val="16"/>
          <w:szCs w:val="16"/>
        </w:rPr>
      </w:r>
    </w:p>
    <w:p>
      <w:pPr>
        <w:pStyle w:val="Normal"/>
        <w:keepNext w:val="true"/>
        <w:numPr>
          <w:ilvl w:val="0"/>
          <w:numId w:val="0"/>
        </w:numPr>
        <w:spacing w:lineRule="auto" w:line="276"/>
        <w:jc w:val="center"/>
        <w:outlineLvl w:val="1"/>
        <w:rPr>
          <w:rFonts w:ascii="Times New Roman" w:hAnsi="Times New Roman" w:eastAsia="Times New Roman"/>
          <w:bCs/>
          <w:sz w:val="28"/>
          <w:szCs w:val="28"/>
          <w:lang w:eastAsia="ru-RU"/>
        </w:rPr>
      </w:pPr>
      <w:r>
        <w:rPr>
          <w:rFonts w:eastAsia="Times New Roman" w:ascii="Times New Roman" w:hAnsi="Times New Roman"/>
          <w:sz w:val="28"/>
          <w:szCs w:val="28"/>
          <w:lang w:eastAsia="ru-RU"/>
        </w:rPr>
        <w:t>З  А  В  Д  А  Н  Н  Я</w:t>
      </w:r>
    </w:p>
    <w:p>
      <w:pPr>
        <w:pStyle w:val="Normal"/>
        <w:keepNext w:val="true"/>
        <w:numPr>
          <w:ilvl w:val="0"/>
          <w:numId w:val="0"/>
        </w:numPr>
        <w:spacing w:lineRule="auto" w:line="276"/>
        <w:ind w:firstLine="374"/>
        <w:jc w:val="center"/>
        <w:outlineLvl w:val="2"/>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НА ДИПЛОМНУ РОБОТУ СТУДЕНТУ</w:t>
      </w:r>
    </w:p>
    <w:p>
      <w:pPr>
        <w:pStyle w:val="Normal"/>
        <w:spacing w:lineRule="auto" w:line="276"/>
        <w:jc w:val="center"/>
        <w:rPr>
          <w:rFonts w:ascii="Times New Roman" w:hAnsi="Times New Roman"/>
          <w:sz w:val="28"/>
          <w:szCs w:val="28"/>
        </w:rPr>
      </w:pPr>
      <w:r>
        <w:rPr>
          <w:rFonts w:ascii="Times New Roman" w:hAnsi="Times New Roman"/>
          <w:sz w:val="28"/>
          <w:szCs w:val="28"/>
        </w:rPr>
        <w:t>Лисого В. Р.</w:t>
      </w:r>
    </w:p>
    <w:p>
      <w:pPr>
        <w:pStyle w:val="Normal"/>
        <w:suppressAutoHyphens w:val="true"/>
        <w:spacing w:lineRule="auto" w:line="276"/>
        <w:ind w:firstLine="425"/>
        <w:rPr>
          <w:rFonts w:ascii="Times New Roman" w:hAnsi="Times New Roman"/>
          <w:sz w:val="28"/>
          <w:szCs w:val="28"/>
          <w:u w:val="single"/>
        </w:rPr>
      </w:pPr>
      <w:r>
        <w:rPr>
          <w:rFonts w:ascii="Times New Roman" w:hAnsi="Times New Roman"/>
          <w:sz w:val="28"/>
          <w:szCs w:val="28"/>
        </w:rPr>
        <w:t xml:space="preserve">1. Тема роботи: </w:t>
      </w:r>
      <w:r>
        <w:rPr>
          <w:rFonts w:ascii="Times New Roman" w:hAnsi="Times New Roman"/>
          <w:sz w:val="28"/>
          <w:szCs w:val="28"/>
          <w:u w:val="single"/>
        </w:rPr>
        <w:t>«Моделювання ефективності використання основних фондів підприємства (на прикладі ТОВ «НЕЙЛ», м. Хмельницький)»</w:t>
      </w:r>
    </w:p>
    <w:p>
      <w:pPr>
        <w:pStyle w:val="Normal"/>
        <w:spacing w:lineRule="auto" w:line="276"/>
        <w:rPr>
          <w:rFonts w:ascii="Times New Roman" w:hAnsi="Times New Roman" w:eastAsia="Times New Roman"/>
          <w:sz w:val="28"/>
          <w:szCs w:val="28"/>
          <w:lang w:eastAsia="uk-UA"/>
        </w:rPr>
      </w:pPr>
      <w:r>
        <w:rPr>
          <w:rFonts w:eastAsia="Times New Roman" w:ascii="Times New Roman" w:hAnsi="Times New Roman"/>
          <w:sz w:val="28"/>
          <w:szCs w:val="28"/>
          <w:lang w:eastAsia="uk-UA"/>
        </w:rPr>
        <w:t>керівник роботи</w:t>
      </w:r>
      <w:r>
        <w:rPr>
          <w:rFonts w:eastAsia="Times New Roman" w:ascii="Times New Roman" w:hAnsi="Times New Roman"/>
          <w:sz w:val="28"/>
          <w:szCs w:val="28"/>
          <w:u w:val="single"/>
          <w:lang w:eastAsia="uk-UA"/>
        </w:rPr>
        <w:t>: Проскурович О. В. к.е.н., доцент, доцент кафедри АСМЕ</w:t>
      </w:r>
      <w:r>
        <w:rPr>
          <w:rFonts w:eastAsia="Times New Roman" w:ascii="Times New Roman" w:hAnsi="Times New Roman"/>
          <w:sz w:val="28"/>
          <w:szCs w:val="28"/>
          <w:lang w:eastAsia="uk-UA"/>
        </w:rPr>
        <w:t>,</w:t>
      </w:r>
    </w:p>
    <w:p>
      <w:pPr>
        <w:pStyle w:val="Normal"/>
        <w:spacing w:lineRule="auto" w:line="276"/>
        <w:rPr>
          <w:rFonts w:ascii="Times New Roman" w:hAnsi="Times New Roman"/>
          <w:sz w:val="28"/>
          <w:szCs w:val="28"/>
          <w:u w:val="single"/>
        </w:rPr>
      </w:pPr>
      <w:r>
        <w:rPr>
          <w:rFonts w:ascii="Times New Roman" w:hAnsi="Times New Roman"/>
          <w:sz w:val="28"/>
          <w:szCs w:val="28"/>
        </w:rPr>
        <w:t xml:space="preserve">затверджені наказом вищого навчального закладу від </w:t>
      </w:r>
      <w:r>
        <w:rPr>
          <w:rFonts w:ascii="Times New Roman" w:hAnsi="Times New Roman"/>
          <w:sz w:val="28"/>
          <w:szCs w:val="28"/>
          <w:u w:val="single"/>
        </w:rPr>
        <w:t>25.08.2021 р. № 102 дод. 7</w:t>
      </w:r>
    </w:p>
    <w:p>
      <w:pPr>
        <w:pStyle w:val="Normal"/>
        <w:spacing w:lineRule="auto" w:line="276"/>
        <w:ind w:firstLine="360"/>
        <w:rPr>
          <w:rFonts w:ascii="Times New Roman" w:hAnsi="Times New Roman"/>
          <w:sz w:val="28"/>
          <w:szCs w:val="28"/>
          <w:u w:val="single"/>
        </w:rPr>
      </w:pPr>
      <w:r>
        <w:rPr>
          <w:rFonts w:ascii="Times New Roman" w:hAnsi="Times New Roman"/>
          <w:sz w:val="28"/>
          <w:szCs w:val="28"/>
        </w:rPr>
        <w:t xml:space="preserve">2. Строк подання студентом роботи </w:t>
      </w:r>
      <w:r>
        <w:rPr>
          <w:rFonts w:ascii="Times New Roman" w:hAnsi="Times New Roman"/>
          <w:sz w:val="28"/>
          <w:szCs w:val="28"/>
          <w:u w:val="single"/>
        </w:rPr>
        <w:t>20.12.2021 р.</w:t>
      </w:r>
    </w:p>
    <w:p>
      <w:pPr>
        <w:pStyle w:val="Normal"/>
        <w:spacing w:lineRule="auto" w:line="276"/>
        <w:ind w:firstLine="360"/>
        <w:rPr>
          <w:rFonts w:ascii="Times New Roman" w:hAnsi="Times New Roman"/>
          <w:sz w:val="28"/>
          <w:szCs w:val="28"/>
          <w:u w:val="single"/>
        </w:rPr>
      </w:pPr>
      <w:r>
        <w:rPr>
          <w:rFonts w:ascii="Times New Roman" w:hAnsi="Times New Roman"/>
          <w:sz w:val="28"/>
          <w:szCs w:val="28"/>
        </w:rPr>
        <w:t xml:space="preserve">3. Вихідні дані до роботи: </w:t>
      </w:r>
      <w:r>
        <w:rPr>
          <w:rFonts w:ascii="Times New Roman" w:hAnsi="Times New Roman"/>
          <w:sz w:val="28"/>
          <w:szCs w:val="28"/>
          <w:u w:val="single"/>
        </w:rPr>
        <w:t>наукова та навчально-методична література, періодичні видання, нормативні та законодавчі акти, статистичні дані, звітність підприємства.</w:t>
      </w:r>
    </w:p>
    <w:p>
      <w:pPr>
        <w:pStyle w:val="Normal"/>
        <w:spacing w:lineRule="auto" w:line="276"/>
        <w:ind w:firstLine="360"/>
        <w:rPr>
          <w:rFonts w:ascii="Times New Roman" w:hAnsi="Times New Roman"/>
          <w:sz w:val="28"/>
          <w:szCs w:val="28"/>
          <w:u w:val="single"/>
        </w:rPr>
      </w:pPr>
      <w:r>
        <w:rPr>
          <w:rFonts w:ascii="Times New Roman" w:hAnsi="Times New Roman"/>
          <w:sz w:val="28"/>
          <w:szCs w:val="28"/>
        </w:rPr>
        <w:t xml:space="preserve">4. Зміст розрахунково-пояснювальної записки (перелік питань, які потрібно розробити): </w:t>
      </w:r>
      <w:r>
        <w:rPr>
          <w:rFonts w:ascii="Times New Roman" w:hAnsi="Times New Roman"/>
          <w:sz w:val="28"/>
          <w:szCs w:val="28"/>
          <w:u w:val="single"/>
        </w:rPr>
        <w:t>У дипломній роботі слід:</w:t>
      </w:r>
    </w:p>
    <w:p>
      <w:pPr>
        <w:pStyle w:val="Normal"/>
        <w:spacing w:lineRule="auto" w:line="276"/>
        <w:ind w:firstLine="360"/>
        <w:rPr>
          <w:rFonts w:ascii="Times New Roman" w:hAnsi="Times New Roman"/>
          <w:sz w:val="28"/>
          <w:szCs w:val="28"/>
          <w:u w:val="single"/>
        </w:rPr>
      </w:pPr>
      <w:r>
        <w:rPr>
          <w:rFonts w:ascii="Times New Roman" w:hAnsi="Times New Roman"/>
          <w:sz w:val="28"/>
          <w:szCs w:val="28"/>
          <w:u w:val="single"/>
        </w:rPr>
        <w:t>- у першому розділі узагальнити інформацію з літературних джерел та провести теоретичне обґрунтування показників ефективності використання основних фондів</w:t>
      </w:r>
      <w:r>
        <w:rPr>
          <w:rFonts w:ascii="Times New Roman" w:hAnsi="Times New Roman"/>
          <w:sz w:val="28"/>
          <w:szCs w:val="28"/>
        </w:rPr>
        <w:t xml:space="preserve"> </w:t>
      </w:r>
      <w:r>
        <w:rPr>
          <w:rFonts w:ascii="Times New Roman" w:hAnsi="Times New Roman"/>
          <w:sz w:val="28"/>
          <w:szCs w:val="28"/>
          <w:u w:val="single"/>
        </w:rPr>
        <w:t>виробничого підприємства;</w:t>
      </w:r>
    </w:p>
    <w:p>
      <w:pPr>
        <w:pStyle w:val="Normal"/>
        <w:spacing w:lineRule="auto" w:line="276"/>
        <w:ind w:firstLine="360"/>
        <w:rPr>
          <w:rFonts w:ascii="Times New Roman" w:hAnsi="Times New Roman"/>
          <w:sz w:val="28"/>
          <w:szCs w:val="28"/>
          <w:u w:val="single"/>
        </w:rPr>
      </w:pPr>
      <w:r>
        <w:rPr>
          <w:rFonts w:ascii="Times New Roman" w:hAnsi="Times New Roman"/>
          <w:sz w:val="28"/>
          <w:szCs w:val="28"/>
          <w:u w:val="single"/>
        </w:rPr>
        <w:t>- у другому розділі проаналізувати господарську діяльність виробничого підприємства;</w:t>
      </w:r>
    </w:p>
    <w:p>
      <w:pPr>
        <w:pStyle w:val="Normal"/>
        <w:spacing w:lineRule="auto" w:line="276"/>
        <w:ind w:firstLine="360"/>
        <w:rPr>
          <w:rFonts w:ascii="Times New Roman" w:hAnsi="Times New Roman"/>
          <w:sz w:val="28"/>
          <w:szCs w:val="28"/>
          <w:u w:val="single"/>
        </w:rPr>
      </w:pPr>
      <w:r>
        <w:rPr>
          <w:rFonts w:ascii="Times New Roman" w:hAnsi="Times New Roman"/>
          <w:sz w:val="28"/>
          <w:szCs w:val="28"/>
          <w:u w:val="single"/>
        </w:rPr>
        <w:t>- у третьому розділі слід здійснити моделювання ефективності використання основних фондів за різними методами та прогнозування за допомогою кореляційно-регресійного аналізу та застосуванням інформаційних технологій.</w:t>
      </w:r>
    </w:p>
    <w:p>
      <w:pPr>
        <w:sectPr>
          <w:headerReference w:type="default" r:id="rId4"/>
          <w:footerReference w:type="default" r:id="rId5"/>
          <w:type w:val="nextPage"/>
          <w:pgSz w:w="11906" w:h="16838"/>
          <w:pgMar w:left="1701" w:right="567" w:header="709" w:top="1134" w:footer="709" w:bottom="1134" w:gutter="0"/>
          <w:pgNumType w:fmt="decimal"/>
          <w:formProt w:val="false"/>
          <w:textDirection w:val="lrTb"/>
          <w:docGrid w:type="default" w:linePitch="360" w:charSpace="0"/>
        </w:sectPr>
        <w:pStyle w:val="Normal"/>
        <w:spacing w:lineRule="auto" w:line="276"/>
        <w:ind w:firstLine="360"/>
        <w:rPr>
          <w:rFonts w:ascii="Times New Roman" w:hAnsi="Times New Roman"/>
          <w:bCs/>
          <w:sz w:val="28"/>
          <w:szCs w:val="28"/>
          <w:u w:val="single"/>
        </w:rPr>
      </w:pPr>
      <w:r>
        <w:rPr>
          <w:rFonts w:ascii="Times New Roman" w:hAnsi="Times New Roman"/>
          <w:sz w:val="28"/>
          <w:szCs w:val="28"/>
        </w:rPr>
        <w:t xml:space="preserve">5. Перелік графічного матеріалу: </w:t>
      </w:r>
      <w:r>
        <w:rPr>
          <w:rFonts w:ascii="Times New Roman" w:hAnsi="Times New Roman"/>
          <w:sz w:val="28"/>
          <w:szCs w:val="28"/>
          <w:u w:val="single"/>
        </w:rPr>
        <w:t xml:space="preserve">таблиця теоретико-методологічних підходів до формування показників ефективності використання основних фондів, таблиця основних техніко-економічних показників, підходи до </w:t>
      </w:r>
      <w:r>
        <w:rPr>
          <w:rFonts w:ascii="Times New Roman" w:hAnsi="Times New Roman"/>
          <w:bCs/>
          <w:sz w:val="28"/>
          <w:szCs w:val="28"/>
          <w:u w:val="single"/>
        </w:rPr>
        <w:t>моделювання</w:t>
      </w:r>
      <w:r>
        <w:rPr>
          <w:rFonts w:ascii="Times New Roman" w:hAnsi="Times New Roman"/>
          <w:sz w:val="28"/>
          <w:szCs w:val="28"/>
          <w:u w:val="single"/>
          <w:shd w:fill="FFFFFF" w:val="clear"/>
        </w:rPr>
        <w:t xml:space="preserve"> та результати прогнозування </w:t>
      </w:r>
      <w:r>
        <w:rPr>
          <w:rFonts w:ascii="Times New Roman" w:hAnsi="Times New Roman"/>
          <w:sz w:val="28"/>
          <w:szCs w:val="28"/>
          <w:u w:val="single"/>
        </w:rPr>
        <w:t>показників ефективності використання основних фондів</w:t>
      </w:r>
      <w:r>
        <w:rPr>
          <w:rFonts w:eastAsia="Times New Roman" w:ascii="Times New Roman" w:hAnsi="Times New Roman"/>
          <w:sz w:val="28"/>
          <w:szCs w:val="28"/>
          <w:u w:val="single"/>
          <w:lang w:eastAsia="ru-RU"/>
        </w:rPr>
        <w:t xml:space="preserve"> </w:t>
      </w:r>
      <w:r>
        <w:rPr>
          <w:rFonts w:ascii="Times New Roman" w:hAnsi="Times New Roman"/>
          <w:sz w:val="28"/>
          <w:szCs w:val="28"/>
          <w:u w:val="single"/>
          <w:shd w:fill="FFFFFF" w:val="clear"/>
        </w:rPr>
        <w:t>підприємства</w:t>
      </w:r>
      <w:r>
        <w:rPr>
          <w:rFonts w:ascii="Times New Roman" w:hAnsi="Times New Roman"/>
          <w:bCs/>
          <w:sz w:val="28"/>
          <w:szCs w:val="28"/>
          <w:u w:val="single"/>
        </w:rPr>
        <w:t>.</w:t>
      </w:r>
    </w:p>
    <w:p>
      <w:pPr>
        <w:pStyle w:val="Normal"/>
        <w:suppressAutoHyphens w:val="true"/>
        <w:spacing w:lineRule="auto" w:line="312"/>
        <w:ind w:firstLine="360"/>
        <w:rPr>
          <w:rFonts w:ascii="Times New Roman" w:hAnsi="Times New Roman" w:eastAsia="Times New Roman"/>
          <w:sz w:val="28"/>
          <w:szCs w:val="28"/>
          <w:lang w:eastAsia="ar-SA"/>
        </w:rPr>
      </w:pPr>
      <w:r>
        <w:rPr>
          <w:rFonts w:eastAsia="Times New Roman" w:ascii="Times New Roman" w:hAnsi="Times New Roman"/>
          <w:sz w:val="28"/>
          <w:szCs w:val="28"/>
          <w:lang w:eastAsia="ar-SA"/>
        </w:rPr>
      </w:r>
    </w:p>
    <w:p>
      <w:pPr>
        <w:pStyle w:val="Normal"/>
        <w:suppressAutoHyphens w:val="true"/>
        <w:spacing w:lineRule="auto" w:line="312"/>
        <w:ind w:firstLine="360"/>
        <w:rPr>
          <w:rFonts w:ascii="Times New Roman" w:hAnsi="Times New Roman" w:eastAsia="Times New Roman"/>
          <w:sz w:val="28"/>
          <w:szCs w:val="28"/>
          <w:lang w:eastAsia="ar-SA"/>
        </w:rPr>
      </w:pPr>
      <w:r>
        <w:rPr>
          <w:rFonts w:eastAsia="Times New Roman" w:ascii="Times New Roman" w:hAnsi="Times New Roman"/>
          <w:sz w:val="28"/>
          <w:szCs w:val="28"/>
          <w:lang w:eastAsia="ar-SA"/>
        </w:rPr>
      </w:r>
    </w:p>
    <w:p>
      <w:pPr>
        <w:pStyle w:val="Normal"/>
        <w:suppressAutoHyphens w:val="true"/>
        <w:spacing w:lineRule="auto" w:line="312"/>
        <w:ind w:firstLine="360"/>
        <w:rPr>
          <w:rFonts w:ascii="Times New Roman" w:hAnsi="Times New Roman" w:eastAsia="Times New Roman"/>
          <w:sz w:val="28"/>
          <w:szCs w:val="28"/>
          <w:lang w:eastAsia="ar-SA"/>
        </w:rPr>
      </w:pPr>
      <w:r>
        <w:rPr>
          <w:rFonts w:eastAsia="Times New Roman" w:ascii="Times New Roman" w:hAnsi="Times New Roman"/>
          <w:sz w:val="28"/>
          <w:szCs w:val="28"/>
          <w:lang w:eastAsia="ar-SA"/>
        </w:rPr>
        <w:t>6. Консультанти розділів проекту (роботи)</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1067"/>
        <w:gridCol w:w="3867"/>
        <w:gridCol w:w="2168"/>
        <w:gridCol w:w="2535"/>
      </w:tblGrid>
      <w:tr>
        <w:trPr>
          <w:cantSplit w:val="true"/>
        </w:trPr>
        <w:tc>
          <w:tcPr>
            <w:tcW w:w="1067" w:type="dxa"/>
            <w:vMerge w:val="restart"/>
            <w:tcBorders>
              <w:top w:val="single" w:sz="4" w:space="0" w:color="000000"/>
              <w:left w:val="single" w:sz="4" w:space="0" w:color="000000"/>
              <w:bottom w:val="single" w:sz="4" w:space="0" w:color="000000"/>
            </w:tcBorders>
            <w:shd w:fill="auto" w:val="clear"/>
            <w:vAlign w:val="center"/>
          </w:tcPr>
          <w:p>
            <w:pPr>
              <w:pStyle w:val="Normal"/>
              <w:snapToGrid w:val="false"/>
              <w:jc w:val="center"/>
              <w:rPr>
                <w:rFonts w:ascii="Times New Roman" w:hAnsi="Times New Roman"/>
              </w:rPr>
            </w:pPr>
            <w:r>
              <w:rPr>
                <w:rFonts w:ascii="Times New Roman" w:hAnsi="Times New Roman"/>
              </w:rPr>
              <w:t>Розділ</w:t>
            </w:r>
          </w:p>
        </w:tc>
        <w:tc>
          <w:tcPr>
            <w:tcW w:w="3867" w:type="dxa"/>
            <w:vMerge w:val="restart"/>
            <w:tcBorders>
              <w:top w:val="single" w:sz="4" w:space="0" w:color="000000"/>
              <w:left w:val="single" w:sz="4" w:space="0" w:color="000000"/>
              <w:bottom w:val="single" w:sz="4" w:space="0" w:color="000000"/>
            </w:tcBorders>
            <w:shd w:fill="auto" w:val="clear"/>
            <w:vAlign w:val="center"/>
          </w:tcPr>
          <w:p>
            <w:pPr>
              <w:pStyle w:val="Normal"/>
              <w:jc w:val="center"/>
              <w:rPr>
                <w:rFonts w:ascii="Times New Roman" w:hAnsi="Times New Roman"/>
              </w:rPr>
            </w:pPr>
            <w:r>
              <w:rPr>
                <w:rFonts w:ascii="Times New Roman" w:hAnsi="Times New Roman"/>
              </w:rPr>
              <w:t>Прізвище, ініціали та посада консультанта</w:t>
            </w:r>
          </w:p>
        </w:tc>
        <w:tc>
          <w:tcPr>
            <w:tcW w:w="4703"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rPr>
            </w:pPr>
            <w:r>
              <w:rPr>
                <w:rFonts w:ascii="Times New Roman" w:hAnsi="Times New Roman"/>
              </w:rPr>
              <w:t>Підпис, дата</w:t>
            </w:r>
          </w:p>
        </w:tc>
      </w:tr>
      <w:tr>
        <w:trPr>
          <w:cantSplit w:val="true"/>
        </w:trPr>
        <w:tc>
          <w:tcPr>
            <w:tcW w:w="1067" w:type="dxa"/>
            <w:vMerge w:val="continue"/>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r>
          </w:p>
        </w:tc>
        <w:tc>
          <w:tcPr>
            <w:tcW w:w="3867" w:type="dxa"/>
            <w:vMerge w:val="continue"/>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r>
          </w:p>
        </w:tc>
        <w:tc>
          <w:tcPr>
            <w:tcW w:w="2168"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rPr>
            </w:pPr>
            <w:r>
              <w:rPr>
                <w:rFonts w:ascii="Times New Roman" w:hAnsi="Times New Roman"/>
              </w:rPr>
              <w:t>завдання видав</w:t>
            </w:r>
          </w:p>
        </w:tc>
        <w:tc>
          <w:tcPr>
            <w:tcW w:w="2535"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rPr>
            </w:pPr>
            <w:r>
              <w:rPr>
                <w:rFonts w:ascii="Times New Roman" w:hAnsi="Times New Roman"/>
              </w:rPr>
              <w:t>завдання прийняв</w:t>
            </w:r>
          </w:p>
        </w:tc>
      </w:tr>
      <w:tr>
        <w:trPr/>
        <w:tc>
          <w:tcPr>
            <w:tcW w:w="10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Cs/>
              </w:rPr>
            </w:pPr>
            <w:r>
              <w:rPr>
                <w:rFonts w:ascii="Times New Roman" w:hAnsi="Times New Roman"/>
                <w:bCs/>
              </w:rPr>
              <w:t>ІІ</w:t>
            </w:r>
          </w:p>
        </w:tc>
        <w:tc>
          <w:tcPr>
            <w:tcW w:w="38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Cs/>
              </w:rPr>
            </w:pPr>
            <w:r>
              <w:rPr>
                <w:rFonts w:ascii="Times New Roman" w:hAnsi="Times New Roman"/>
                <w:bCs/>
              </w:rPr>
              <w:t>Проскурович О.В.</w:t>
            </w:r>
          </w:p>
        </w:tc>
        <w:tc>
          <w:tcPr>
            <w:tcW w:w="2168"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lang w:eastAsia="ru-RU"/>
              </w:rPr>
            </w:pPr>
            <w:r>
              <w:rPr>
                <w:rFonts w:ascii="Times New Roman" w:hAnsi="Times New Roman"/>
              </w:rPr>
              <w:t>1.09.2021</w:t>
            </w:r>
          </w:p>
        </w:tc>
        <w:tc>
          <w:tcPr>
            <w:tcW w:w="2535"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lang w:eastAsia="ru-RU"/>
              </w:rPr>
            </w:pPr>
            <w:r>
              <w:rPr>
                <w:rFonts w:ascii="Times New Roman" w:hAnsi="Times New Roman"/>
              </w:rPr>
              <w:t>25.10.2021</w:t>
            </w:r>
          </w:p>
        </w:tc>
      </w:tr>
      <w:tr>
        <w:trPr/>
        <w:tc>
          <w:tcPr>
            <w:tcW w:w="10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38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168"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535"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10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38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168"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535"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10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3867"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168"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2535"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bl>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b/>
          <w:b/>
          <w:sz w:val="28"/>
          <w:szCs w:val="28"/>
        </w:rPr>
      </w:pPr>
      <w:r>
        <w:rPr>
          <w:rFonts w:ascii="Times New Roman" w:hAnsi="Times New Roman"/>
          <w:sz w:val="28"/>
          <w:szCs w:val="28"/>
        </w:rPr>
        <w:t>7. Дата видачі завдання: 1.09.2021</w:t>
      </w:r>
    </w:p>
    <w:p>
      <w:pPr>
        <w:pStyle w:val="Normal"/>
        <w:rPr>
          <w:rFonts w:ascii="Times New Roman" w:hAnsi="Times New Roman"/>
          <w:b/>
          <w:b/>
          <w:vertAlign w:val="superscript"/>
        </w:rPr>
      </w:pPr>
      <w:r>
        <w:rPr>
          <w:rFonts w:ascii="Times New Roman" w:hAnsi="Times New Roman"/>
          <w:b/>
          <w:vertAlign w:val="superscript"/>
        </w:rPr>
      </w:r>
    </w:p>
    <w:p>
      <w:pPr>
        <w:pStyle w:val="Normal"/>
        <w:rPr>
          <w:rFonts w:ascii="Times New Roman" w:hAnsi="Times New Roman"/>
          <w:b/>
          <w:b/>
          <w:vertAlign w:val="superscript"/>
        </w:rPr>
      </w:pPr>
      <w:r>
        <w:rPr>
          <w:rFonts w:ascii="Times New Roman" w:hAnsi="Times New Roman"/>
          <w:b/>
          <w:vertAlign w:val="superscript"/>
        </w:rPr>
      </w:r>
    </w:p>
    <w:p>
      <w:pPr>
        <w:pStyle w:val="Normal"/>
        <w:keepNext w:val="true"/>
        <w:numPr>
          <w:ilvl w:val="0"/>
          <w:numId w:val="0"/>
        </w:numPr>
        <w:spacing w:before="240" w:after="60"/>
        <w:jc w:val="center"/>
        <w:outlineLvl w:val="0"/>
        <w:rPr>
          <w:rFonts w:ascii="Times New Roman" w:hAnsi="Times New Roman" w:eastAsia="Times New Roman"/>
          <w:kern w:val="2"/>
          <w:sz w:val="28"/>
          <w:szCs w:val="28"/>
          <w:lang w:eastAsia="uk-UA"/>
        </w:rPr>
      </w:pPr>
      <w:r>
        <w:rPr>
          <w:rFonts w:eastAsia="Times New Roman" w:ascii="Times New Roman" w:hAnsi="Times New Roman"/>
          <w:kern w:val="2"/>
          <w:sz w:val="28"/>
          <w:szCs w:val="28"/>
          <w:lang w:eastAsia="uk-UA"/>
        </w:rPr>
        <w:t>КАЛЕНДАРНИЙ ПЛАН</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706"/>
        <w:gridCol w:w="5995"/>
        <w:gridCol w:w="1773"/>
        <w:gridCol w:w="1163"/>
      </w:tblGrid>
      <w:tr>
        <w:trPr>
          <w:trHeight w:val="460" w:hRule="atLeast"/>
          <w:cantSplit w:val="true"/>
        </w:trPr>
        <w:tc>
          <w:tcPr>
            <w:tcW w:w="706"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rPr>
            </w:pPr>
            <w:r>
              <w:rPr>
                <w:rFonts w:ascii="Times New Roman" w:hAnsi="Times New Roman"/>
              </w:rPr>
              <w:t xml:space="preserve">№ </w:t>
            </w:r>
            <w:r>
              <w:rPr>
                <w:rFonts w:ascii="Times New Roman" w:hAnsi="Times New Roman"/>
              </w:rPr>
              <w:t>з/п</w:t>
            </w:r>
          </w:p>
        </w:tc>
        <w:tc>
          <w:tcPr>
            <w:tcW w:w="5995"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rPr>
            </w:pPr>
            <w:r>
              <w:rPr>
                <w:rFonts w:ascii="Times New Roman" w:hAnsi="Times New Roman"/>
              </w:rPr>
              <w:t>Назва етапів дипломної роботи</w:t>
            </w:r>
          </w:p>
        </w:tc>
        <w:tc>
          <w:tcPr>
            <w:tcW w:w="1773"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rPr>
            </w:pPr>
            <w:r>
              <w:rPr>
                <w:rFonts w:ascii="Times New Roman" w:hAnsi="Times New Roman"/>
                <w:spacing w:val="-20"/>
              </w:rPr>
              <w:t>Строк виконання</w:t>
            </w:r>
            <w:r>
              <w:rPr>
                <w:rFonts w:ascii="Times New Roman" w:hAnsi="Times New Roman"/>
              </w:rPr>
              <w:t xml:space="preserve"> етапів роботи</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keepNext w:val="true"/>
              <w:numPr>
                <w:ilvl w:val="0"/>
                <w:numId w:val="0"/>
              </w:numPr>
              <w:snapToGrid w:val="false"/>
              <w:spacing w:lineRule="auto" w:line="276"/>
              <w:jc w:val="center"/>
              <w:outlineLvl w:val="2"/>
              <w:rPr>
                <w:rFonts w:ascii="Times New Roman" w:hAnsi="Times New Roman" w:eastAsia="Times New Roman"/>
                <w:bCs/>
                <w:spacing w:val="-20"/>
                <w:sz w:val="24"/>
                <w:szCs w:val="24"/>
                <w:lang w:eastAsia="ru-RU"/>
              </w:rPr>
            </w:pPr>
            <w:r>
              <w:rPr>
                <w:rFonts w:eastAsia="Times New Roman" w:ascii="Times New Roman" w:hAnsi="Times New Roman"/>
                <w:bCs/>
                <w:spacing w:val="-20"/>
                <w:sz w:val="24"/>
                <w:szCs w:val="24"/>
                <w:lang w:eastAsia="ru-RU"/>
              </w:rPr>
              <w:t>Примітка</w:t>
            </w:r>
          </w:p>
        </w:tc>
      </w:tr>
      <w:tr>
        <w:trPr>
          <w:trHeight w:val="338" w:hRule="atLeast"/>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1</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написання І-го розділу ДР</w:t>
            </w:r>
          </w:p>
        </w:tc>
        <w:tc>
          <w:tcPr>
            <w:tcW w:w="1773" w:type="dxa"/>
            <w:tcBorders>
              <w:top w:val="single" w:sz="4" w:space="0" w:color="000000"/>
              <w:left w:val="single" w:sz="4" w:space="0" w:color="000000"/>
              <w:bottom w:val="single" w:sz="4" w:space="0" w:color="000000"/>
            </w:tcBorders>
            <w:shd w:fill="auto" w:val="clear"/>
          </w:tcPr>
          <w:p>
            <w:pPr>
              <w:pStyle w:val="Normal"/>
              <w:snapToGrid w:val="false"/>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19.10. - 29.10.21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spacing w:lineRule="auto" w:line="276"/>
              <w:jc w:val="center"/>
              <w:rPr>
                <w:rFonts w:ascii="Times New Roman" w:hAnsi="Times New Roman"/>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2</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написання ІІ-го розділу ДР</w:t>
            </w:r>
          </w:p>
        </w:tc>
        <w:tc>
          <w:tcPr>
            <w:tcW w:w="1773" w:type="dxa"/>
            <w:tcBorders>
              <w:top w:val="single" w:sz="4" w:space="0" w:color="000000"/>
              <w:left w:val="single" w:sz="4" w:space="0" w:color="000000"/>
              <w:bottom w:val="single" w:sz="4" w:space="0" w:color="000000"/>
            </w:tcBorders>
            <w:shd w:fill="auto" w:val="clear"/>
          </w:tcPr>
          <w:p>
            <w:pPr>
              <w:pStyle w:val="Normal"/>
              <w:snapToGrid w:val="false"/>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01.11. - 12.11.21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3</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написання ІІІ-го розділу ДР</w:t>
            </w:r>
          </w:p>
        </w:tc>
        <w:tc>
          <w:tcPr>
            <w:tcW w:w="1773" w:type="dxa"/>
            <w:tcBorders>
              <w:top w:val="single" w:sz="4" w:space="0" w:color="000000"/>
              <w:left w:val="single" w:sz="4" w:space="0" w:color="000000"/>
              <w:bottom w:val="single" w:sz="4" w:space="0" w:color="000000"/>
            </w:tcBorders>
            <w:shd w:fill="auto" w:val="clear"/>
          </w:tcPr>
          <w:p>
            <w:pPr>
              <w:pStyle w:val="Normal"/>
              <w:snapToGrid w:val="false"/>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13.11. - 17.11.21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rHeight w:val="748" w:hRule="atLeast"/>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4</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оформлення чорнового варіанту ДР (написання вступу, висновків, переліку посилань, додатків)</w:t>
            </w:r>
          </w:p>
        </w:tc>
        <w:tc>
          <w:tcPr>
            <w:tcW w:w="1773"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18.11. - 30.11.21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5</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оформлення графічної частини ДР</w:t>
            </w:r>
          </w:p>
        </w:tc>
        <w:tc>
          <w:tcPr>
            <w:tcW w:w="1773" w:type="dxa"/>
            <w:tcBorders>
              <w:top w:val="single" w:sz="4" w:space="0" w:color="000000"/>
              <w:left w:val="single" w:sz="4" w:space="0" w:color="000000"/>
              <w:bottom w:val="single" w:sz="4" w:space="0" w:color="000000"/>
            </w:tcBorders>
            <w:shd w:fill="auto" w:val="clear"/>
          </w:tcPr>
          <w:p>
            <w:pPr>
              <w:pStyle w:val="Normal"/>
              <w:snapToGrid w:val="false"/>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01.12. - 08.12.21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6</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чистове оформлення ДР</w:t>
            </w:r>
          </w:p>
        </w:tc>
        <w:tc>
          <w:tcPr>
            <w:tcW w:w="1773"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color w:val="000000"/>
                <w:highlight w:val="yellow"/>
                <w:lang w:eastAsia="ru-RU"/>
              </w:rPr>
            </w:pPr>
            <w:r>
              <w:rPr>
                <w:rFonts w:ascii="Times New Roman" w:hAnsi="Times New Roman"/>
                <w:color w:val="000000"/>
                <w:lang w:eastAsia="ru-RU"/>
              </w:rPr>
              <w:t>09.12. - 15.12.21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7</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зовнішнє рецензування ДР</w:t>
            </w:r>
          </w:p>
        </w:tc>
        <w:tc>
          <w:tcPr>
            <w:tcW w:w="1773"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color w:val="000000"/>
                <w:lang w:eastAsia="ru-RU"/>
              </w:rPr>
            </w:pPr>
            <w:r>
              <w:rPr>
                <w:rFonts w:ascii="Times New Roman" w:hAnsi="Times New Roman"/>
                <w:color w:val="000000"/>
                <w:lang w:eastAsia="ru-RU"/>
              </w:rPr>
              <w:t>16.12.21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spacing w:lineRule="auto" w:line="276"/>
              <w:jc w:val="center"/>
              <w:rPr>
                <w:rFonts w:ascii="Times New Roman" w:hAnsi="Times New Roman"/>
              </w:rPr>
            </w:pPr>
            <w:r>
              <w:rPr>
                <w:rFonts w:ascii="Times New Roman" w:hAnsi="Times New Roman"/>
              </w:rPr>
              <w:t>8</w:t>
            </w:r>
          </w:p>
        </w:tc>
        <w:tc>
          <w:tcPr>
            <w:tcW w:w="5995" w:type="dxa"/>
            <w:tcBorders>
              <w:top w:val="single" w:sz="4" w:space="0" w:color="000000"/>
              <w:left w:val="single" w:sz="4" w:space="0" w:color="000000"/>
              <w:bottom w:val="single" w:sz="4" w:space="0" w:color="000000"/>
            </w:tcBorders>
            <w:shd w:fill="auto" w:val="clear"/>
            <w:vAlign w:val="center"/>
          </w:tcPr>
          <w:p>
            <w:pPr>
              <w:pStyle w:val="Normal"/>
              <w:spacing w:lineRule="auto" w:line="276"/>
              <w:rPr>
                <w:rFonts w:ascii="Times New Roman" w:hAnsi="Times New Roman"/>
              </w:rPr>
            </w:pPr>
            <w:r>
              <w:rPr>
                <w:rFonts w:ascii="Times New Roman" w:hAnsi="Times New Roman"/>
              </w:rPr>
              <w:t>підготовка до захисту ДР (проведення попереднього захисту)</w:t>
            </w:r>
          </w:p>
        </w:tc>
        <w:tc>
          <w:tcPr>
            <w:tcW w:w="1773"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color w:val="000000"/>
                <w:lang w:eastAsia="ru-RU"/>
              </w:rPr>
            </w:pPr>
            <w:r>
              <w:rPr>
                <w:rFonts w:ascii="Times New Roman" w:hAnsi="Times New Roman"/>
                <w:color w:val="000000"/>
                <w:lang w:eastAsia="ru-RU"/>
              </w:rPr>
              <w:t>17.12. - 21.12.21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jc w:val="center"/>
              <w:rPr>
                <w:rFonts w:ascii="Times New Roman" w:hAnsi="Times New Roman"/>
              </w:rPr>
            </w:pPr>
            <w:r>
              <w:rPr>
                <w:rFonts w:ascii="Times New Roman" w:hAnsi="Times New Roman"/>
              </w:rPr>
              <w:t>9</w:t>
            </w:r>
          </w:p>
        </w:tc>
        <w:tc>
          <w:tcPr>
            <w:tcW w:w="5995" w:type="dxa"/>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t>захист дипломної роботи</w:t>
            </w:r>
          </w:p>
        </w:tc>
        <w:tc>
          <w:tcPr>
            <w:tcW w:w="1773" w:type="dxa"/>
            <w:tcBorders>
              <w:top w:val="single" w:sz="4" w:space="0" w:color="000000"/>
              <w:left w:val="single" w:sz="4" w:space="0" w:color="000000"/>
              <w:bottom w:val="single" w:sz="4" w:space="0" w:color="000000"/>
            </w:tcBorders>
            <w:shd w:fill="auto" w:val="clear"/>
          </w:tcPr>
          <w:p>
            <w:pPr>
              <w:pStyle w:val="Normal"/>
              <w:spacing w:lineRule="auto" w:line="276"/>
              <w:jc w:val="center"/>
              <w:rPr>
                <w:rFonts w:ascii="Times New Roman" w:hAnsi="Times New Roman"/>
                <w:color w:val="000000"/>
                <w:lang w:eastAsia="ru-RU"/>
              </w:rPr>
            </w:pPr>
            <w:r>
              <w:rPr>
                <w:rFonts w:ascii="Times New Roman" w:hAnsi="Times New Roman"/>
                <w:color w:val="000000"/>
                <w:lang w:eastAsia="ru-RU"/>
              </w:rPr>
              <w:t>22.12. - 23.12.21</w:t>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ascii="Times New Roman" w:hAnsi="Times New Roman"/>
              </w:rPr>
              <w:t>виконано</w:t>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jc w:val="center"/>
              <w:rPr>
                <w:rFonts w:ascii="Times New Roman" w:hAnsi="Times New Roman"/>
              </w:rPr>
            </w:pPr>
            <w:r>
              <w:rPr>
                <w:rFonts w:ascii="Times New Roman" w:hAnsi="Times New Roman"/>
              </w:rPr>
            </w:r>
          </w:p>
        </w:tc>
        <w:tc>
          <w:tcPr>
            <w:tcW w:w="5995" w:type="dxa"/>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jc w:val="center"/>
              <w:rPr>
                <w:rFonts w:ascii="Times New Roman" w:hAnsi="Times New Roman"/>
              </w:rPr>
            </w:pPr>
            <w:r>
              <w:rPr>
                <w:rFonts w:ascii="Times New Roman" w:hAnsi="Times New Roman"/>
              </w:rPr>
            </w:r>
          </w:p>
        </w:tc>
        <w:tc>
          <w:tcPr>
            <w:tcW w:w="5995" w:type="dxa"/>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706" w:type="dxa"/>
            <w:tcBorders>
              <w:top w:val="single" w:sz="4" w:space="0" w:color="000000"/>
              <w:left w:val="single" w:sz="4" w:space="0" w:color="000000"/>
              <w:bottom w:val="single" w:sz="4" w:space="0" w:color="000000"/>
            </w:tcBorders>
            <w:shd w:fill="auto" w:val="clear"/>
            <w:vAlign w:val="center"/>
          </w:tcPr>
          <w:p>
            <w:pPr>
              <w:pStyle w:val="Normal"/>
              <w:snapToGrid w:val="false"/>
              <w:jc w:val="center"/>
              <w:rPr>
                <w:rFonts w:ascii="Times New Roman" w:hAnsi="Times New Roman"/>
              </w:rPr>
            </w:pPr>
            <w:r>
              <w:rPr>
                <w:rFonts w:ascii="Times New Roman" w:hAnsi="Times New Roman"/>
              </w:rPr>
            </w:r>
          </w:p>
        </w:tc>
        <w:tc>
          <w:tcPr>
            <w:tcW w:w="5995" w:type="dxa"/>
            <w:tcBorders>
              <w:top w:val="single" w:sz="4" w:space="0" w:color="000000"/>
              <w:left w:val="single" w:sz="4" w:space="0" w:color="000000"/>
              <w:bottom w:val="single" w:sz="4" w:space="0" w:color="000000"/>
            </w:tcBorders>
            <w:shd w:fill="auto" w:val="clear"/>
            <w:vAlign w:val="center"/>
          </w:tcPr>
          <w:p>
            <w:pPr>
              <w:pStyle w:val="Normal"/>
              <w:rPr>
                <w:rFonts w:ascii="Times New Roman" w:hAnsi="Times New Roman"/>
              </w:rPr>
            </w:pPr>
            <w:r>
              <w:rPr>
                <w:rFonts w:ascii="Times New Roman" w:hAnsi="Times New Roman"/>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706"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5995"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706"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5995"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r>
        <w:trPr/>
        <w:tc>
          <w:tcPr>
            <w:tcW w:w="706"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5995"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773" w:type="dxa"/>
            <w:tcBorders>
              <w:top w:val="single" w:sz="4" w:space="0" w:color="000000"/>
              <w:left w:val="single" w:sz="4" w:space="0" w:color="000000"/>
              <w:bottom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c>
          <w:tcPr>
            <w:tcW w:w="1163"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Times New Roman" w:hAnsi="Times New Roman"/>
                <w:b/>
                <w:b/>
              </w:rPr>
            </w:pPr>
            <w:r>
              <w:rPr>
                <w:rFonts w:ascii="Times New Roman" w:hAnsi="Times New Roman"/>
                <w:b/>
              </w:rPr>
            </w:r>
          </w:p>
        </w:tc>
      </w:tr>
    </w:tbl>
    <w:p>
      <w:pPr>
        <w:pStyle w:val="Normal"/>
        <w:ind w:left="709" w:hanging="0"/>
        <w:rPr/>
      </w:pPr>
      <w:r>
        <w:rPr/>
      </w:r>
    </w:p>
    <w:p>
      <w:pPr>
        <w:pStyle w:val="Normal"/>
        <w:ind w:left="709" w:hanging="0"/>
        <w:rPr/>
      </w:pPr>
      <w:r>
        <w:rPr/>
      </w:r>
    </w:p>
    <w:p>
      <w:pPr>
        <w:pStyle w:val="Normal"/>
        <w:ind w:left="709" w:hanging="0"/>
        <w:rPr/>
      </w:pPr>
      <w:r>
        <w:rPr/>
      </w:r>
    </w:p>
    <w:tbl>
      <w:tblPr>
        <w:tblW w:w="5000" w:type="pct"/>
        <w:jc w:val="left"/>
        <w:tblInd w:w="0" w:type="dxa"/>
        <w:tblCellMar>
          <w:top w:w="0" w:type="dxa"/>
          <w:left w:w="108" w:type="dxa"/>
          <w:bottom w:w="0" w:type="dxa"/>
          <w:right w:w="108" w:type="dxa"/>
        </w:tblCellMar>
        <w:tblLook w:firstRow="1" w:noVBand="0" w:lastRow="1" w:firstColumn="1" w:lastColumn="1" w:noHBand="0" w:val="01e0"/>
      </w:tblPr>
      <w:tblGrid>
        <w:gridCol w:w="3294"/>
        <w:gridCol w:w="3508"/>
        <w:gridCol w:w="2836"/>
      </w:tblGrid>
      <w:tr>
        <w:trPr/>
        <w:tc>
          <w:tcPr>
            <w:tcW w:w="3294" w:type="dxa"/>
            <w:tcBorders/>
            <w:shd w:fill="auto" w:val="clear"/>
          </w:tcPr>
          <w:p>
            <w:pPr>
              <w:pStyle w:val="Normal"/>
              <w:rPr>
                <w:rFonts w:ascii="Times New Roman" w:hAnsi="Times New Roman"/>
                <w:bCs/>
                <w:sz w:val="28"/>
                <w:szCs w:val="28"/>
              </w:rPr>
            </w:pPr>
            <w:r>
              <w:rPr>
                <w:rFonts w:ascii="Times New Roman" w:hAnsi="Times New Roman"/>
                <w:bCs/>
                <w:sz w:val="28"/>
                <w:szCs w:val="28"/>
              </w:rPr>
              <w:t>Студент</w:t>
            </w:r>
          </w:p>
        </w:tc>
        <w:tc>
          <w:tcPr>
            <w:tcW w:w="3508" w:type="dxa"/>
            <w:tcBorders/>
            <w:shd w:fill="auto" w:val="clear"/>
            <w:vAlign w:val="center"/>
          </w:tcPr>
          <w:p>
            <w:pPr>
              <w:pStyle w:val="Normal"/>
              <w:jc w:val="center"/>
              <w:rPr>
                <w:rFonts w:ascii="Times New Roman" w:hAnsi="Times New Roman"/>
              </w:rPr>
            </w:pPr>
            <w:r>
              <w:rPr>
                <w:rFonts w:ascii="Times New Roman" w:hAnsi="Times New Roman"/>
                <w:b/>
              </w:rPr>
              <w:t>________________________</w:t>
            </w:r>
          </w:p>
          <w:p>
            <w:pPr>
              <w:pStyle w:val="Normal"/>
              <w:ind w:firstLine="792"/>
              <w:jc w:val="center"/>
              <w:rPr>
                <w:rFonts w:ascii="Times New Roman" w:hAnsi="Times New Roman"/>
                <w:bCs/>
              </w:rPr>
            </w:pPr>
            <w:r>
              <w:rPr>
                <w:rFonts w:ascii="Times New Roman" w:hAnsi="Times New Roman"/>
                <w:bCs/>
                <w:vertAlign w:val="superscript"/>
              </w:rPr>
              <w:t>( підпис )</w:t>
            </w:r>
          </w:p>
        </w:tc>
        <w:tc>
          <w:tcPr>
            <w:tcW w:w="2836" w:type="dxa"/>
            <w:tcBorders/>
            <w:shd w:fill="auto" w:val="clear"/>
            <w:vAlign w:val="center"/>
          </w:tcPr>
          <w:p>
            <w:pPr>
              <w:pStyle w:val="Normal"/>
              <w:jc w:val="right"/>
              <w:rPr>
                <w:rFonts w:ascii="Times New Roman" w:hAnsi="Times New Roman"/>
                <w:b/>
                <w:b/>
              </w:rPr>
            </w:pPr>
            <w:r>
              <w:rPr>
                <w:rFonts w:ascii="Times New Roman" w:hAnsi="Times New Roman"/>
                <w:sz w:val="28"/>
                <w:szCs w:val="28"/>
              </w:rPr>
              <w:t>Вадим Лисий</w:t>
            </w:r>
          </w:p>
        </w:tc>
      </w:tr>
      <w:tr>
        <w:trPr/>
        <w:tc>
          <w:tcPr>
            <w:tcW w:w="3294" w:type="dxa"/>
            <w:tcBorders/>
            <w:shd w:fill="auto" w:val="clear"/>
          </w:tcPr>
          <w:p>
            <w:pPr>
              <w:pStyle w:val="Normal"/>
              <w:rPr>
                <w:rFonts w:ascii="Times New Roman" w:hAnsi="Times New Roman"/>
                <w:bCs/>
                <w:sz w:val="28"/>
                <w:szCs w:val="28"/>
              </w:rPr>
            </w:pPr>
            <w:r>
              <w:rPr>
                <w:rFonts w:ascii="Times New Roman" w:hAnsi="Times New Roman"/>
                <w:bCs/>
                <w:sz w:val="28"/>
                <w:szCs w:val="28"/>
              </w:rPr>
              <w:t>Керівник роботи</w:t>
            </w:r>
          </w:p>
        </w:tc>
        <w:tc>
          <w:tcPr>
            <w:tcW w:w="3508" w:type="dxa"/>
            <w:tcBorders/>
            <w:shd w:fill="auto" w:val="clear"/>
            <w:vAlign w:val="center"/>
          </w:tcPr>
          <w:p>
            <w:pPr>
              <w:pStyle w:val="Normal"/>
              <w:jc w:val="center"/>
              <w:rPr>
                <w:rFonts w:ascii="Times New Roman" w:hAnsi="Times New Roman"/>
              </w:rPr>
            </w:pPr>
            <w:r>
              <w:rPr>
                <w:rFonts w:ascii="Times New Roman" w:hAnsi="Times New Roman"/>
                <w:b/>
              </w:rPr>
              <w:t>________________________</w:t>
            </w:r>
          </w:p>
          <w:p>
            <w:pPr>
              <w:pStyle w:val="Normal"/>
              <w:ind w:firstLine="792"/>
              <w:jc w:val="center"/>
              <w:rPr>
                <w:rFonts w:ascii="Times New Roman" w:hAnsi="Times New Roman"/>
                <w:bCs/>
              </w:rPr>
            </w:pPr>
            <w:r>
              <w:rPr>
                <w:rFonts w:ascii="Times New Roman" w:hAnsi="Times New Roman"/>
                <w:bCs/>
                <w:vertAlign w:val="superscript"/>
              </w:rPr>
              <w:t>( підпис )</w:t>
            </w:r>
          </w:p>
        </w:tc>
        <w:tc>
          <w:tcPr>
            <w:tcW w:w="2836" w:type="dxa"/>
            <w:tcBorders/>
            <w:shd w:fill="auto" w:val="clear"/>
            <w:vAlign w:val="center"/>
          </w:tcPr>
          <w:p>
            <w:pPr>
              <w:pStyle w:val="Normal"/>
              <w:jc w:val="right"/>
              <w:rPr>
                <w:rFonts w:ascii="Times New Roman" w:hAnsi="Times New Roman"/>
                <w:b/>
                <w:b/>
              </w:rPr>
            </w:pPr>
            <w:r>
              <w:rPr>
                <w:rFonts w:ascii="Times New Roman" w:hAnsi="Times New Roman"/>
                <w:sz w:val="28"/>
              </w:rPr>
              <w:t>Оксана Проскурович</w:t>
            </w:r>
            <w:bookmarkStart w:id="1" w:name="_Hlk503047595"/>
            <w:bookmarkEnd w:id="1"/>
          </w:p>
        </w:tc>
      </w:tr>
    </w:tbl>
    <w:p>
      <w:pPr>
        <w:sectPr>
          <w:headerReference w:type="default" r:id="rId6"/>
          <w:footerReference w:type="default" r:id="rId7"/>
          <w:type w:val="nextPage"/>
          <w:pgSz w:w="11906" w:h="16838"/>
          <w:pgMar w:left="1701" w:right="567" w:header="709" w:top="1134" w:footer="709" w:bottom="1134" w:gutter="0"/>
          <w:pgNumType w:fmt="decimal"/>
          <w:formProt w:val="false"/>
          <w:textDirection w:val="lrTb"/>
          <w:docGrid w:type="default" w:linePitch="360" w:charSpace="0"/>
        </w:sectPr>
        <w:pStyle w:val="ListParagraph"/>
        <w:spacing w:lineRule="auto" w:line="360" w:before="0" w:after="0"/>
        <w:ind w:left="0" w:hanging="0"/>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b/>
          <w:b/>
          <w:sz w:val="28"/>
          <w:szCs w:val="28"/>
        </w:rPr>
      </w:pPr>
      <w:r>
        <w:rPr>
          <w:rFonts w:ascii="Times New Roman" w:hAnsi="Times New Roman"/>
          <w:b/>
          <w:sz w:val="28"/>
          <w:szCs w:val="28"/>
        </w:rPr>
        <w:t>РЕФЕРАТ</w:t>
      </w:r>
    </w:p>
    <w:p>
      <w:pPr>
        <w:pStyle w:val="Normal"/>
        <w:spacing w:lineRule="auto" w:line="360"/>
        <w:jc w:val="center"/>
        <w:rPr>
          <w:rFonts w:ascii="Times New Roman" w:hAnsi="Times New Roman"/>
          <w:sz w:val="16"/>
          <w:szCs w:val="28"/>
        </w:rPr>
      </w:pPr>
      <w:r>
        <w:rPr>
          <w:rFonts w:ascii="Times New Roman" w:hAnsi="Times New Roman"/>
          <w:sz w:val="16"/>
          <w:szCs w:val="28"/>
        </w:rPr>
      </w:r>
    </w:p>
    <w:p>
      <w:pPr>
        <w:pStyle w:val="Normal"/>
        <w:spacing w:lineRule="auto" w:line="360"/>
        <w:ind w:firstLine="737"/>
        <w:rPr>
          <w:rFonts w:ascii="Times New Roman" w:hAnsi="Times New Roman" w:eastAsia="Times New Roman"/>
          <w:sz w:val="28"/>
          <w:szCs w:val="28"/>
          <w:lang w:eastAsia="uk-UA"/>
        </w:rPr>
      </w:pPr>
      <w:r>
        <w:rPr>
          <w:rFonts w:ascii="Times New Roman" w:hAnsi="Times New Roman"/>
          <w:sz w:val="28"/>
          <w:szCs w:val="28"/>
        </w:rPr>
        <w:t xml:space="preserve">Тема дипломної роботи: </w:t>
      </w:r>
      <w:r>
        <w:rPr>
          <w:rFonts w:eastAsia="Times New Roman" w:ascii="Times New Roman" w:hAnsi="Times New Roman"/>
          <w:sz w:val="28"/>
          <w:szCs w:val="28"/>
          <w:lang w:eastAsia="uk-UA"/>
        </w:rPr>
        <w:t>Моделювання ефективності використання основних фондів підприємства  (на прикладі ТОВ «НЕЙЛ», м. Хмельницький).</w:t>
      </w:r>
    </w:p>
    <w:p>
      <w:pPr>
        <w:pStyle w:val="Normal"/>
        <w:spacing w:lineRule="auto" w:line="360"/>
        <w:ind w:firstLine="737"/>
        <w:rPr>
          <w:rFonts w:ascii="Times New Roman" w:hAnsi="Times New Roman" w:eastAsia="Times New Roman"/>
          <w:sz w:val="28"/>
          <w:szCs w:val="28"/>
          <w:lang w:eastAsia="uk-UA"/>
        </w:rPr>
      </w:pPr>
      <w:r>
        <w:rPr>
          <w:rFonts w:eastAsia="Times New Roman" w:ascii="Times New Roman" w:hAnsi="Times New Roman"/>
          <w:sz w:val="28"/>
          <w:szCs w:val="28"/>
          <w:lang w:eastAsia="uk-UA"/>
        </w:rPr>
        <w:t>Прізвище та ініціали автора: Лисий В. Р.</w:t>
      </w:r>
    </w:p>
    <w:p>
      <w:pPr>
        <w:pStyle w:val="Normal"/>
        <w:spacing w:lineRule="auto" w:line="360"/>
        <w:ind w:firstLine="737"/>
        <w:rPr>
          <w:rFonts w:ascii="Times New Roman" w:hAnsi="Times New Roman"/>
          <w:sz w:val="28"/>
          <w:szCs w:val="28"/>
        </w:rPr>
      </w:pPr>
      <w:r>
        <w:rPr>
          <w:rFonts w:eastAsia="Times New Roman" w:ascii="Times New Roman" w:hAnsi="Times New Roman"/>
          <w:sz w:val="28"/>
          <w:szCs w:val="28"/>
          <w:lang w:eastAsia="uk-UA"/>
        </w:rPr>
        <w:t>Керівник роботи: Проскурович О. В.</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Дипломна робота магістра містить 95 сторінок, 37 таблиць, 29 рисунків, перелік джерел посилань з 52 найменувань, 3 додатків. </w:t>
      </w:r>
    </w:p>
    <w:p>
      <w:pPr>
        <w:pStyle w:val="Normal"/>
        <w:tabs>
          <w:tab w:val="clear" w:pos="708"/>
          <w:tab w:val="left" w:pos="360" w:leader="none"/>
        </w:tabs>
        <w:spacing w:lineRule="auto" w:line="360"/>
        <w:ind w:firstLine="737"/>
        <w:rPr>
          <w:rFonts w:ascii="Times New Roman" w:hAnsi="Times New Roman"/>
          <w:sz w:val="28"/>
          <w:szCs w:val="28"/>
        </w:rPr>
      </w:pPr>
      <w:r>
        <w:rPr>
          <w:rFonts w:ascii="Times New Roman" w:hAnsi="Times New Roman"/>
          <w:sz w:val="28"/>
          <w:szCs w:val="28"/>
        </w:rPr>
        <w:t xml:space="preserve">КЛЮЧОВІ СЛОВА: МОДЕЛЮВАННЯ, ОСНОВНІ ФОНДИ, ПОКАЗНИКИ ЕФЕКТИВНОСТІ ВИКОРИСТАННЯ ФОНДІВ, ПРОГНОЗУВАННЯ, ЛІНІЙНА РЕГРЕСІЯ, ТРЕНДОВА ЗАЛЕЖНІСТЬ. </w:t>
      </w:r>
    </w:p>
    <w:p>
      <w:pPr>
        <w:pStyle w:val="Normal"/>
        <w:spacing w:lineRule="auto" w:line="360"/>
        <w:ind w:firstLine="737"/>
        <w:rPr>
          <w:rFonts w:ascii="Times New Roman" w:hAnsi="Times New Roman"/>
          <w:sz w:val="28"/>
          <w:szCs w:val="28"/>
        </w:rPr>
      </w:pPr>
      <w:r>
        <w:rPr>
          <w:rFonts w:ascii="Times New Roman" w:hAnsi="Times New Roman"/>
          <w:sz w:val="28"/>
          <w:szCs w:val="28"/>
        </w:rPr>
        <w:t>Об’єктом дослідження є система показників ефективності використання основних фондів виробничого</w:t>
      </w:r>
      <w:r>
        <w:rPr>
          <w:rFonts w:eastAsia="Times New Roman" w:ascii="Times New Roman" w:hAnsi="Times New Roman"/>
          <w:sz w:val="28"/>
          <w:szCs w:val="28"/>
          <w:lang w:eastAsia="ru-RU"/>
        </w:rPr>
        <w:t xml:space="preserve"> підприємства</w:t>
      </w:r>
      <w:r>
        <w:rPr>
          <w:rFonts w:ascii="Times New Roman" w:hAnsi="Times New Roman"/>
          <w:sz w:val="28"/>
          <w:szCs w:val="28"/>
        </w:rPr>
        <w:t xml:space="preserve">. Предметом дослідження є економіко-математичні моделі оцінки </w:t>
      </w:r>
      <w:r>
        <w:rPr>
          <w:rFonts w:eastAsia="Times New Roman" w:ascii="Times New Roman" w:hAnsi="Times New Roman"/>
          <w:sz w:val="28"/>
          <w:szCs w:val="28"/>
          <w:lang w:eastAsia="ru-RU"/>
        </w:rPr>
        <w:t>показників ефективності використання основних фондів ТОВ «НЕЙЛ»</w:t>
      </w:r>
      <w:r>
        <w:rPr>
          <w:rFonts w:ascii="Times New Roman" w:hAnsi="Times New Roman"/>
          <w:sz w:val="28"/>
          <w:szCs w:val="28"/>
        </w:rPr>
        <w:t>.</w:t>
      </w:r>
    </w:p>
    <w:p>
      <w:pPr>
        <w:pStyle w:val="Normal"/>
        <w:spacing w:lineRule="auto" w:line="360"/>
        <w:ind w:firstLine="737"/>
        <w:rPr>
          <w:rFonts w:ascii="Times New Roman" w:hAnsi="Times New Roman"/>
          <w:b/>
          <w:b/>
          <w:sz w:val="28"/>
        </w:rPr>
      </w:pPr>
      <w:r>
        <w:rPr>
          <w:rFonts w:ascii="Times New Roman" w:hAnsi="Times New Roman"/>
          <w:sz w:val="28"/>
        </w:rPr>
        <w:t xml:space="preserve">Метою проведення дослідження у </w:t>
      </w:r>
      <w:r>
        <w:rPr>
          <w:rFonts w:ascii="Times New Roman" w:hAnsi="Times New Roman"/>
          <w:sz w:val="28"/>
          <w:szCs w:val="28"/>
        </w:rPr>
        <w:t xml:space="preserve">дипломній роботі </w:t>
      </w:r>
      <w:r>
        <w:rPr>
          <w:rFonts w:ascii="Times New Roman" w:hAnsi="Times New Roman"/>
          <w:sz w:val="28"/>
        </w:rPr>
        <w:t xml:space="preserve">є </w:t>
      </w:r>
      <w:r>
        <w:rPr>
          <w:rFonts w:ascii="Times New Roman" w:hAnsi="Times New Roman"/>
          <w:bCs/>
          <w:sz w:val="28"/>
          <w:szCs w:val="28"/>
        </w:rPr>
        <w:t xml:space="preserve">теоретичне обґрунтування, аналіз та моделювання </w:t>
      </w:r>
      <w:r>
        <w:rPr>
          <w:rFonts w:eastAsia="Times New Roman" w:ascii="Times New Roman" w:hAnsi="Times New Roman"/>
          <w:sz w:val="28"/>
          <w:szCs w:val="28"/>
          <w:lang w:eastAsia="ru-RU"/>
        </w:rPr>
        <w:t>показників ефективності використання основних фондів виробничого підприємства</w:t>
      </w:r>
      <w:r>
        <w:rPr>
          <w:rFonts w:ascii="Times New Roman" w:hAnsi="Times New Roman"/>
          <w:spacing w:val="2"/>
          <w:sz w:val="28"/>
          <w:szCs w:val="28"/>
        </w:rPr>
        <w:t xml:space="preserve"> </w:t>
      </w:r>
      <w:r>
        <w:rPr>
          <w:rFonts w:ascii="Times New Roman" w:hAnsi="Times New Roman"/>
          <w:bCs/>
          <w:sz w:val="28"/>
          <w:szCs w:val="28"/>
        </w:rPr>
        <w:t xml:space="preserve">засобами економетричного моделювання. </w:t>
      </w:r>
    </w:p>
    <w:p>
      <w:pPr>
        <w:pStyle w:val="Normal"/>
        <w:tabs>
          <w:tab w:val="clear" w:pos="708"/>
          <w:tab w:val="left" w:pos="360" w:leader="none"/>
        </w:tabs>
        <w:spacing w:lineRule="auto" w:line="360"/>
        <w:ind w:firstLine="737"/>
        <w:rPr>
          <w:rFonts w:ascii="Times New Roman" w:hAnsi="Times New Roman"/>
          <w:sz w:val="28"/>
          <w:szCs w:val="28"/>
        </w:rPr>
      </w:pPr>
      <w:r>
        <w:rPr>
          <w:rFonts w:ascii="Times New Roman" w:hAnsi="Times New Roman"/>
          <w:sz w:val="28"/>
          <w:szCs w:val="28"/>
        </w:rPr>
        <w:t xml:space="preserve">За результатами магістерського дослідження проведено дослідження показників ефективності використання основних фондів, проаналізовано та здійснено їх моделювання на прикладі виробничого </w:t>
      </w:r>
      <w:r>
        <w:rPr>
          <w:rFonts w:eastAsia="Times New Roman" w:ascii="Times New Roman" w:hAnsi="Times New Roman"/>
          <w:sz w:val="28"/>
          <w:szCs w:val="28"/>
          <w:lang w:eastAsia="ru-RU"/>
        </w:rPr>
        <w:t>підприємства</w:t>
      </w:r>
      <w:r>
        <w:rPr>
          <w:rFonts w:ascii="Times New Roman" w:hAnsi="Times New Roman"/>
          <w:sz w:val="28"/>
          <w:szCs w:val="28"/>
        </w:rPr>
        <w:t>.</w:t>
      </w:r>
    </w:p>
    <w:p>
      <w:pPr>
        <w:pStyle w:val="Normal"/>
        <w:tabs>
          <w:tab w:val="clear" w:pos="708"/>
          <w:tab w:val="left" w:pos="360" w:leader="none"/>
        </w:tabs>
        <w:spacing w:lineRule="auto" w:line="360"/>
        <w:ind w:firstLine="737"/>
        <w:rPr>
          <w:rFonts w:ascii="Times New Roman" w:hAnsi="Times New Roman"/>
          <w:sz w:val="28"/>
          <w:szCs w:val="28"/>
        </w:rPr>
      </w:pPr>
      <w:r>
        <w:rPr>
          <w:rFonts w:ascii="Times New Roman" w:hAnsi="Times New Roman"/>
          <w:sz w:val="28"/>
          <w:szCs w:val="28"/>
        </w:rPr>
        <w:t>Одержані результати можуть бути використані для діагностування</w:t>
      </w:r>
      <w:r>
        <w:rPr/>
        <w:t xml:space="preserve"> </w:t>
      </w:r>
      <w:r>
        <w:rPr>
          <w:rFonts w:ascii="Times New Roman" w:hAnsi="Times New Roman"/>
          <w:sz w:val="28"/>
          <w:szCs w:val="28"/>
        </w:rPr>
        <w:t xml:space="preserve">ефективності використання основних фондів підприємства. Побудовані моделі можуть бути адаптовані до умов функціонування будь-якого </w:t>
      </w:r>
      <w:r>
        <w:rPr>
          <w:rFonts w:eastAsia="Times New Roman" w:ascii="Times New Roman" w:hAnsi="Times New Roman"/>
          <w:sz w:val="28"/>
          <w:szCs w:val="28"/>
          <w:lang w:eastAsia="ru-RU"/>
        </w:rPr>
        <w:t>виробничого підприємства</w:t>
      </w:r>
      <w:r>
        <w:rPr>
          <w:rFonts w:ascii="Times New Roman" w:hAnsi="Times New Roman"/>
          <w:sz w:val="28"/>
          <w:szCs w:val="28"/>
        </w:rPr>
        <w:t>.</w:t>
      </w:r>
    </w:p>
    <w:p>
      <w:pPr>
        <w:pStyle w:val="Normal"/>
        <w:tabs>
          <w:tab w:val="clear" w:pos="708"/>
          <w:tab w:val="left" w:pos="360" w:leader="none"/>
        </w:tabs>
        <w:spacing w:lineRule="auto" w:line="360"/>
        <w:ind w:firstLine="737"/>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t>______________</w:t>
        <w:tab/>
        <w:tab/>
        <w:tab/>
        <w:t xml:space="preserve">           Дата подання роботи до захисту 20.12.2021</w:t>
      </w:r>
    </w:p>
    <w:p>
      <w:pPr>
        <w:sectPr>
          <w:headerReference w:type="default" r:id="rId8"/>
          <w:footerReference w:type="default" r:id="rId9"/>
          <w:type w:val="nextPage"/>
          <w:pgSz w:w="11906" w:h="16838"/>
          <w:pgMar w:left="1701" w:right="567" w:header="709" w:top="1134" w:footer="709" w:bottom="1134" w:gutter="0"/>
          <w:pgNumType w:fmt="decimal"/>
          <w:formProt w:val="false"/>
          <w:textDirection w:val="lrTb"/>
          <w:docGrid w:type="default" w:linePitch="360" w:charSpace="0"/>
        </w:sectPr>
        <w:pStyle w:val="Normal"/>
        <w:rPr>
          <w:rFonts w:ascii="Times New Roman" w:hAnsi="Times New Roman"/>
          <w:sz w:val="28"/>
          <w:szCs w:val="28"/>
          <w:vertAlign w:val="superscript"/>
        </w:rPr>
      </w:pPr>
      <w:r>
        <w:rPr>
          <w:rFonts w:ascii="Times New Roman" w:hAnsi="Times New Roman"/>
          <w:sz w:val="28"/>
          <w:szCs w:val="28"/>
          <w:vertAlign w:val="superscript"/>
        </w:rPr>
        <w:t xml:space="preserve">       </w:t>
      </w:r>
      <w:r>
        <w:rPr>
          <w:rFonts w:ascii="Times New Roman" w:hAnsi="Times New Roman"/>
          <w:sz w:val="28"/>
          <w:szCs w:val="28"/>
          <w:vertAlign w:val="superscript"/>
        </w:rPr>
        <w:t xml:space="preserve">Підпис автора     </w:t>
      </w:r>
    </w:p>
    <w:p>
      <w:pPr>
        <w:pStyle w:val="Normal"/>
        <w:spacing w:lineRule="auto" w:line="360"/>
        <w:jc w:val="center"/>
        <w:rPr>
          <w:rFonts w:ascii="Times New Roman" w:hAnsi="Times New Roman"/>
          <w:b/>
          <w:b/>
          <w:sz w:val="28"/>
          <w:szCs w:val="28"/>
        </w:rPr>
      </w:pPr>
      <w:r>
        <w:rPr>
          <w:rFonts w:ascii="Times New Roman" w:hAnsi="Times New Roman"/>
          <w:b/>
          <w:sz w:val="28"/>
          <w:szCs w:val="28"/>
        </w:rPr>
        <w:t>ЗМІСТ</w:t>
      </w:r>
    </w:p>
    <w:p>
      <w:pPr>
        <w:pStyle w:val="Normal"/>
        <w:spacing w:lineRule="auto" w:line="360"/>
        <w:ind w:firstLine="652"/>
        <w:jc w:val="center"/>
        <w:rPr>
          <w:rFonts w:ascii="Times New Roman" w:hAnsi="Times New Roman"/>
          <w:sz w:val="24"/>
          <w:szCs w:val="28"/>
        </w:rPr>
      </w:pPr>
      <w:r>
        <w:rPr>
          <w:rFonts w:ascii="Times New Roman" w:hAnsi="Times New Roman"/>
          <w:sz w:val="24"/>
          <w:szCs w:val="28"/>
        </w:rPr>
      </w:r>
    </w:p>
    <w:p>
      <w:pPr>
        <w:pStyle w:val="Normal"/>
        <w:spacing w:lineRule="auto" w:line="360"/>
        <w:ind w:firstLine="652"/>
        <w:rPr>
          <w:rFonts w:ascii="Times New Roman" w:hAnsi="Times New Roman"/>
          <w:sz w:val="28"/>
          <w:szCs w:val="28"/>
        </w:rPr>
      </w:pPr>
      <w:r>
        <w:rPr>
          <w:rFonts w:ascii="Times New Roman" w:hAnsi="Times New Roman"/>
          <w:sz w:val="28"/>
          <w:szCs w:val="28"/>
        </w:rPr>
      </w:r>
    </w:p>
    <w:p>
      <w:pPr>
        <w:pStyle w:val="Normal"/>
        <w:tabs>
          <w:tab w:val="clear" w:pos="708"/>
          <w:tab w:val="left" w:pos="1260" w:leader="none"/>
        </w:tabs>
        <w:spacing w:lineRule="auto" w:line="360"/>
        <w:ind w:firstLine="652"/>
        <w:jc w:val="right"/>
        <w:rPr>
          <w:rFonts w:ascii="Times New Roman" w:hAnsi="Times New Roman"/>
          <w:sz w:val="28"/>
          <w:szCs w:val="28"/>
        </w:rPr>
      </w:pPr>
      <w:r>
        <w:rPr>
          <w:rFonts w:ascii="Times New Roman" w:hAnsi="Times New Roman"/>
          <w:sz w:val="28"/>
          <w:szCs w:val="28"/>
        </w:rPr>
        <w:t>С.</w:t>
      </w:r>
    </w:p>
    <w:tbl>
      <w:tblPr>
        <w:tblW w:w="9566" w:type="dxa"/>
        <w:jc w:val="left"/>
        <w:tblInd w:w="288" w:type="dxa"/>
        <w:tblCellMar>
          <w:top w:w="0" w:type="dxa"/>
          <w:left w:w="108" w:type="dxa"/>
          <w:bottom w:w="0" w:type="dxa"/>
          <w:right w:w="108" w:type="dxa"/>
        </w:tblCellMar>
        <w:tblLook w:firstRow="1" w:noVBand="1" w:lastRow="0" w:firstColumn="1" w:lastColumn="0" w:noHBand="0" w:val="04a0"/>
      </w:tblPr>
      <w:tblGrid>
        <w:gridCol w:w="8891"/>
        <w:gridCol w:w="674"/>
      </w:tblGrid>
      <w:tr>
        <w:trPr>
          <w:trHeight w:val="20" w:hRule="atLeast"/>
        </w:trPr>
        <w:tc>
          <w:tcPr>
            <w:tcW w:w="8891" w:type="dxa"/>
            <w:tcBorders/>
            <w:shd w:fill="auto" w:val="clear"/>
          </w:tcPr>
          <w:p>
            <w:pPr>
              <w:pStyle w:val="Normal"/>
              <w:shd w:val="clear" w:color="auto" w:fill="FFFFFF"/>
              <w:spacing w:lineRule="auto" w:line="336"/>
              <w:rPr>
                <w:rFonts w:ascii="Times New Roman" w:hAnsi="Times New Roman"/>
                <w:sz w:val="28"/>
                <w:szCs w:val="28"/>
              </w:rPr>
            </w:pPr>
            <w:r>
              <w:rPr>
                <w:rFonts w:ascii="Times New Roman" w:hAnsi="Times New Roman"/>
                <w:sz w:val="28"/>
                <w:szCs w:val="28"/>
              </w:rPr>
              <w:t>Вступ………………………………………………………………………….</w:t>
            </w:r>
          </w:p>
        </w:tc>
        <w:tc>
          <w:tcPr>
            <w:tcW w:w="674" w:type="dxa"/>
            <w:tcBorders/>
            <w:shd w:fill="auto" w:val="clear"/>
          </w:tcPr>
          <w:p>
            <w:pPr>
              <w:pStyle w:val="Normal"/>
              <w:spacing w:lineRule="auto" w:line="336"/>
              <w:jc w:val="right"/>
              <w:rPr>
                <w:rFonts w:ascii="Times New Roman" w:hAnsi="Times New Roman"/>
                <w:sz w:val="28"/>
                <w:szCs w:val="28"/>
              </w:rPr>
            </w:pPr>
            <w:r>
              <w:rPr>
                <w:rFonts w:ascii="Times New Roman" w:hAnsi="Times New Roman"/>
                <w:sz w:val="28"/>
                <w:szCs w:val="28"/>
              </w:rPr>
              <w:t>3</w:t>
            </w:r>
          </w:p>
        </w:tc>
      </w:tr>
      <w:tr>
        <w:trPr>
          <w:trHeight w:val="20" w:hRule="atLeast"/>
        </w:trPr>
        <w:tc>
          <w:tcPr>
            <w:tcW w:w="8891" w:type="dxa"/>
            <w:tcBorders/>
            <w:shd w:fill="auto" w:val="clear"/>
          </w:tcPr>
          <w:p>
            <w:pPr>
              <w:pStyle w:val="Normal"/>
              <w:shd w:val="clear" w:color="auto" w:fill="FFFFFF"/>
              <w:spacing w:lineRule="auto" w:line="336"/>
              <w:rPr>
                <w:rFonts w:ascii="Times New Roman" w:hAnsi="Times New Roman"/>
                <w:sz w:val="28"/>
                <w:szCs w:val="28"/>
              </w:rPr>
            </w:pPr>
            <w:r>
              <w:rPr>
                <w:rFonts w:ascii="Times New Roman" w:hAnsi="Times New Roman"/>
                <w:sz w:val="28"/>
                <w:szCs w:val="28"/>
              </w:rPr>
              <w:t>1 Теоретичні засади дослідження показників ефективності використання основних фондів ……………………………………………………………..</w:t>
            </w:r>
          </w:p>
        </w:tc>
        <w:tc>
          <w:tcPr>
            <w:tcW w:w="674" w:type="dxa"/>
            <w:tcBorders/>
            <w:shd w:fill="auto" w:val="clear"/>
          </w:tcPr>
          <w:p>
            <w:pPr>
              <w:pStyle w:val="Normal"/>
              <w:spacing w:lineRule="auto" w:line="336"/>
              <w:jc w:val="right"/>
              <w:rPr>
                <w:rFonts w:ascii="Times New Roman" w:hAnsi="Times New Roman"/>
                <w:sz w:val="28"/>
                <w:szCs w:val="28"/>
              </w:rPr>
            </w:pPr>
            <w:r>
              <w:rPr>
                <w:rFonts w:ascii="Times New Roman" w:hAnsi="Times New Roman"/>
                <w:sz w:val="28"/>
                <w:szCs w:val="28"/>
              </w:rPr>
              <w:t>8</w:t>
            </w:r>
          </w:p>
        </w:tc>
      </w:tr>
      <w:tr>
        <w:trPr>
          <w:trHeight w:val="20" w:hRule="atLeast"/>
        </w:trPr>
        <w:tc>
          <w:tcPr>
            <w:tcW w:w="8891" w:type="dxa"/>
            <w:tcBorders/>
            <w:shd w:fill="auto" w:val="clear"/>
          </w:tcPr>
          <w:p>
            <w:pPr>
              <w:pStyle w:val="Normal"/>
              <w:shd w:val="clear" w:color="auto" w:fill="FFFFFF"/>
              <w:tabs>
                <w:tab w:val="clear" w:pos="708"/>
                <w:tab w:val="left" w:pos="421" w:leader="none"/>
                <w:tab w:val="left" w:pos="563" w:leader="none"/>
                <w:tab w:val="left" w:pos="1043" w:leader="none"/>
              </w:tabs>
              <w:spacing w:lineRule="auto" w:line="336"/>
              <w:ind w:firstLine="563"/>
              <w:rPr>
                <w:rFonts w:ascii="Times New Roman" w:hAnsi="Times New Roman"/>
                <w:sz w:val="28"/>
                <w:szCs w:val="28"/>
              </w:rPr>
            </w:pPr>
            <w:r>
              <w:rPr>
                <w:rFonts w:ascii="Times New Roman" w:hAnsi="Times New Roman"/>
                <w:sz w:val="28"/>
                <w:szCs w:val="28"/>
              </w:rPr>
              <w:t>1.1 Загальні підходи до визначення основних фондів………………..</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8</w:t>
            </w:r>
          </w:p>
        </w:tc>
      </w:tr>
      <w:tr>
        <w:trPr>
          <w:trHeight w:val="20" w:hRule="atLeast"/>
        </w:trPr>
        <w:tc>
          <w:tcPr>
            <w:tcW w:w="8891" w:type="dxa"/>
            <w:tcBorders/>
            <w:shd w:fill="auto" w:val="clear"/>
          </w:tcPr>
          <w:p>
            <w:pPr>
              <w:pStyle w:val="Normal"/>
              <w:tabs>
                <w:tab w:val="clear" w:pos="708"/>
                <w:tab w:val="left" w:pos="421" w:leader="none"/>
                <w:tab w:val="left" w:pos="563" w:leader="none"/>
                <w:tab w:val="left" w:pos="991" w:leader="none"/>
              </w:tabs>
              <w:spacing w:lineRule="auto" w:line="336"/>
              <w:ind w:firstLine="563"/>
              <w:rPr>
                <w:rFonts w:ascii="Times New Roman" w:hAnsi="Times New Roman"/>
                <w:sz w:val="28"/>
                <w:szCs w:val="28"/>
              </w:rPr>
            </w:pPr>
            <w:r>
              <w:rPr>
                <w:rFonts w:ascii="Times New Roman" w:hAnsi="Times New Roman"/>
                <w:sz w:val="28"/>
                <w:szCs w:val="28"/>
              </w:rPr>
              <w:t>1.2 Обґрунтування напрямків покращення ефективності використання основних фондів……..……………………………….…….</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14</w:t>
            </w:r>
          </w:p>
        </w:tc>
      </w:tr>
      <w:tr>
        <w:trPr>
          <w:trHeight w:val="20" w:hRule="atLeast"/>
        </w:trPr>
        <w:tc>
          <w:tcPr>
            <w:tcW w:w="8891" w:type="dxa"/>
            <w:tcBorders/>
            <w:shd w:fill="auto" w:val="clear"/>
          </w:tcPr>
          <w:p>
            <w:pPr>
              <w:pStyle w:val="Normal"/>
              <w:shd w:val="clear" w:color="auto" w:fill="FFFFFF"/>
              <w:spacing w:lineRule="auto" w:line="336"/>
              <w:rPr>
                <w:rFonts w:ascii="Times New Roman" w:hAnsi="Times New Roman"/>
                <w:sz w:val="28"/>
                <w:szCs w:val="28"/>
              </w:rPr>
            </w:pPr>
            <w:r>
              <w:rPr>
                <w:rFonts w:ascii="Times New Roman" w:hAnsi="Times New Roman"/>
                <w:sz w:val="28"/>
                <w:szCs w:val="28"/>
              </w:rPr>
              <w:t>2</w:t>
            </w:r>
            <w:r>
              <w:rPr>
                <w:rFonts w:ascii="Times New Roman" w:hAnsi="Times New Roman"/>
                <w:spacing w:val="3"/>
                <w:sz w:val="28"/>
                <w:szCs w:val="28"/>
              </w:rPr>
              <w:t xml:space="preserve"> Аналіз результатів господарювання </w:t>
            </w:r>
            <w:r>
              <w:rPr>
                <w:rFonts w:eastAsia="Times New Roman" w:ascii="Times New Roman" w:hAnsi="Times New Roman"/>
                <w:sz w:val="28"/>
                <w:szCs w:val="28"/>
                <w:lang w:eastAsia="ru-RU"/>
              </w:rPr>
              <w:t xml:space="preserve">ТОВ «НЕЙЛ» </w:t>
            </w:r>
            <w:r>
              <w:rPr>
                <w:rFonts w:ascii="Times New Roman" w:hAnsi="Times New Roman"/>
                <w:spacing w:val="3"/>
                <w:sz w:val="28"/>
                <w:szCs w:val="28"/>
              </w:rPr>
              <w:t>………………</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18</w:t>
            </w:r>
          </w:p>
        </w:tc>
      </w:tr>
      <w:tr>
        <w:trPr>
          <w:trHeight w:val="20" w:hRule="atLeast"/>
        </w:trPr>
        <w:tc>
          <w:tcPr>
            <w:tcW w:w="8891" w:type="dxa"/>
            <w:tcBorders/>
            <w:shd w:fill="auto" w:val="clear"/>
          </w:tcPr>
          <w:p>
            <w:pPr>
              <w:pStyle w:val="Normal"/>
              <w:shd w:val="clear" w:color="auto" w:fill="FFFFFF"/>
              <w:spacing w:lineRule="auto" w:line="336"/>
              <w:ind w:firstLine="603"/>
              <w:rPr>
                <w:rFonts w:ascii="Times New Roman" w:hAnsi="Times New Roman"/>
                <w:sz w:val="28"/>
                <w:szCs w:val="28"/>
              </w:rPr>
            </w:pPr>
            <w:r>
              <w:rPr>
                <w:rFonts w:ascii="Times New Roman" w:hAnsi="Times New Roman"/>
                <w:bCs/>
                <w:sz w:val="28"/>
                <w:szCs w:val="28"/>
              </w:rPr>
              <w:t xml:space="preserve">2.1 </w:t>
            </w:r>
            <w:r>
              <w:rPr>
                <w:rFonts w:ascii="Times New Roman" w:hAnsi="Times New Roman"/>
                <w:sz w:val="28"/>
                <w:szCs w:val="28"/>
              </w:rPr>
              <w:t xml:space="preserve">Загальна характеристика діяльності підприємства </w:t>
            </w:r>
            <w:r>
              <w:rPr>
                <w:rFonts w:ascii="Times New Roman" w:hAnsi="Times New Roman"/>
                <w:bCs/>
                <w:sz w:val="28"/>
                <w:szCs w:val="28"/>
              </w:rPr>
              <w:t>………………</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18</w:t>
            </w:r>
          </w:p>
        </w:tc>
      </w:tr>
      <w:tr>
        <w:trPr>
          <w:trHeight w:val="20" w:hRule="atLeast"/>
        </w:trPr>
        <w:tc>
          <w:tcPr>
            <w:tcW w:w="8891" w:type="dxa"/>
            <w:tcBorders/>
            <w:shd w:fill="auto" w:val="clear"/>
          </w:tcPr>
          <w:p>
            <w:pPr>
              <w:pStyle w:val="Normal"/>
              <w:shd w:val="clear" w:color="auto" w:fill="FFFFFF"/>
              <w:tabs>
                <w:tab w:val="clear" w:pos="708"/>
                <w:tab w:val="left" w:pos="563" w:leader="none"/>
                <w:tab w:val="left" w:pos="771" w:leader="none"/>
              </w:tabs>
              <w:spacing w:lineRule="auto" w:line="336"/>
              <w:ind w:firstLine="563"/>
              <w:rPr>
                <w:rFonts w:ascii="Times New Roman" w:hAnsi="Times New Roman"/>
                <w:sz w:val="28"/>
                <w:szCs w:val="28"/>
              </w:rPr>
            </w:pPr>
            <w:r>
              <w:rPr>
                <w:rFonts w:ascii="Times New Roman" w:hAnsi="Times New Roman"/>
                <w:sz w:val="28"/>
                <w:szCs w:val="28"/>
              </w:rPr>
              <w:t>2.1 Аналіз основних техніко-економічних показників роботи підприємства ………………………………………………………….</w:t>
            </w:r>
            <w:r>
              <w:rPr>
                <w:rFonts w:ascii="Times New Roman" w:hAnsi="Times New Roman"/>
                <w:sz w:val="28"/>
                <w:szCs w:val="28"/>
                <w:shd w:fill="FFFFFF" w:val="clear"/>
              </w:rPr>
              <w:t>…….</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22</w:t>
            </w:r>
          </w:p>
        </w:tc>
      </w:tr>
      <w:tr>
        <w:trPr>
          <w:trHeight w:val="20" w:hRule="atLeast"/>
        </w:trPr>
        <w:tc>
          <w:tcPr>
            <w:tcW w:w="8891" w:type="dxa"/>
            <w:tcBorders/>
            <w:shd w:fill="auto" w:val="clear"/>
          </w:tcPr>
          <w:p>
            <w:pPr>
              <w:pStyle w:val="Normal"/>
              <w:shd w:val="clear" w:color="auto" w:fill="FFFFFF"/>
              <w:tabs>
                <w:tab w:val="clear" w:pos="708"/>
                <w:tab w:val="left" w:pos="563" w:leader="none"/>
                <w:tab w:val="left" w:pos="771" w:leader="none"/>
              </w:tabs>
              <w:spacing w:lineRule="auto" w:line="336"/>
              <w:ind w:firstLine="563"/>
              <w:rPr>
                <w:rFonts w:ascii="Times New Roman" w:hAnsi="Times New Roman"/>
                <w:sz w:val="28"/>
                <w:szCs w:val="28"/>
              </w:rPr>
            </w:pPr>
            <w:r>
              <w:rPr>
                <w:rFonts w:ascii="Times New Roman" w:hAnsi="Times New Roman"/>
                <w:sz w:val="28"/>
                <w:szCs w:val="28"/>
              </w:rPr>
              <w:t xml:space="preserve">2.2 Аналіз ефективності використання засобів праці </w:t>
            </w:r>
            <w:r>
              <w:rPr>
                <w:rFonts w:eastAsia="Times New Roman" w:ascii="Times New Roman" w:hAnsi="Times New Roman"/>
                <w:sz w:val="28"/>
                <w:szCs w:val="28"/>
                <w:lang w:eastAsia="ru-RU"/>
              </w:rPr>
              <w:t>виробничого підприємства</w:t>
            </w:r>
            <w:r>
              <w:rPr>
                <w:rFonts w:ascii="Times New Roman" w:hAnsi="Times New Roman"/>
                <w:sz w:val="28"/>
                <w:szCs w:val="28"/>
              </w:rPr>
              <w:t xml:space="preserve"> .…..……………………………………………………………</w:t>
            </w:r>
          </w:p>
        </w:tc>
        <w:tc>
          <w:tcPr>
            <w:tcW w:w="674" w:type="dxa"/>
            <w:tcBorders/>
            <w:shd w:fill="auto" w:val="clear"/>
            <w:vAlign w:val="bottom"/>
          </w:tcPr>
          <w:p>
            <w:pPr>
              <w:pStyle w:val="Normal"/>
              <w:spacing w:lineRule="auto" w:line="336"/>
              <w:jc w:val="right"/>
              <w:rPr>
                <w:rFonts w:ascii="Times New Roman" w:hAnsi="Times New Roman"/>
                <w:sz w:val="28"/>
                <w:szCs w:val="28"/>
              </w:rPr>
            </w:pPr>
            <w:r>
              <w:rPr>
                <w:rFonts w:ascii="Times New Roman" w:hAnsi="Times New Roman"/>
                <w:sz w:val="28"/>
                <w:szCs w:val="28"/>
              </w:rPr>
              <w:t>40</w:t>
            </w:r>
          </w:p>
        </w:tc>
      </w:tr>
      <w:tr>
        <w:trPr>
          <w:trHeight w:val="20" w:hRule="atLeast"/>
        </w:trPr>
        <w:tc>
          <w:tcPr>
            <w:tcW w:w="8891" w:type="dxa"/>
            <w:tcBorders/>
            <w:shd w:fill="auto" w:val="clear"/>
          </w:tcPr>
          <w:p>
            <w:pPr>
              <w:pStyle w:val="5"/>
              <w:keepNext w:val="false"/>
              <w:keepLines w:val="false"/>
              <w:spacing w:lineRule="auto" w:line="336" w:before="0" w:after="0"/>
              <w:jc w:val="both"/>
              <w:rPr>
                <w:rFonts w:ascii="Times New Roman" w:hAnsi="Times New Roman"/>
                <w:color w:val="auto"/>
                <w:kern w:val="2"/>
                <w:sz w:val="28"/>
                <w:szCs w:val="28"/>
              </w:rPr>
            </w:pPr>
            <w:r>
              <w:rPr>
                <w:rFonts w:ascii="Times New Roman" w:hAnsi="Times New Roman"/>
                <w:color w:val="auto"/>
                <w:kern w:val="2"/>
                <w:sz w:val="28"/>
                <w:szCs w:val="28"/>
              </w:rPr>
              <w:t>3 Економетричне моделювання ефективності використання основних фондів ТОВ «НЕЙЛ» ……..............................................................................</w:t>
            </w:r>
          </w:p>
        </w:tc>
        <w:tc>
          <w:tcPr>
            <w:tcW w:w="674" w:type="dxa"/>
            <w:tcBorders/>
            <w:shd w:fill="auto" w:val="clear"/>
            <w:vAlign w:val="center"/>
          </w:tcPr>
          <w:p>
            <w:pPr>
              <w:pStyle w:val="Style34"/>
              <w:spacing w:lineRule="auto" w:line="336"/>
              <w:ind w:hanging="0"/>
              <w:jc w:val="right"/>
              <w:rPr>
                <w:bCs/>
                <w:spacing w:val="0"/>
                <w:szCs w:val="28"/>
              </w:rPr>
            </w:pPr>
            <w:r>
              <w:rPr>
                <w:bCs/>
                <w:spacing w:val="0"/>
                <w:szCs w:val="28"/>
              </w:rPr>
            </w:r>
          </w:p>
          <w:p>
            <w:pPr>
              <w:pStyle w:val="Style34"/>
              <w:spacing w:lineRule="auto" w:line="336"/>
              <w:ind w:hanging="0"/>
              <w:jc w:val="right"/>
              <w:rPr>
                <w:bCs/>
                <w:spacing w:val="0"/>
                <w:szCs w:val="28"/>
              </w:rPr>
            </w:pPr>
            <w:r>
              <w:rPr>
                <w:bCs/>
                <w:spacing w:val="0"/>
                <w:szCs w:val="28"/>
              </w:rPr>
              <w:t>61</w:t>
            </w:r>
          </w:p>
        </w:tc>
      </w:tr>
      <w:tr>
        <w:trPr>
          <w:trHeight w:val="20" w:hRule="atLeast"/>
        </w:trPr>
        <w:tc>
          <w:tcPr>
            <w:tcW w:w="8891" w:type="dxa"/>
            <w:tcBorders/>
            <w:shd w:fill="auto" w:val="clear"/>
          </w:tcPr>
          <w:p>
            <w:pPr>
              <w:pStyle w:val="5"/>
              <w:keepNext w:val="false"/>
              <w:keepLines w:val="false"/>
              <w:spacing w:lineRule="auto" w:line="336" w:before="0" w:after="0"/>
              <w:ind w:firstLine="563"/>
              <w:jc w:val="both"/>
              <w:rPr>
                <w:rFonts w:ascii="Times New Roman" w:hAnsi="Times New Roman"/>
                <w:color w:val="auto"/>
                <w:kern w:val="2"/>
                <w:sz w:val="28"/>
                <w:szCs w:val="28"/>
              </w:rPr>
            </w:pPr>
            <w:r>
              <w:rPr>
                <w:rFonts w:ascii="Times New Roman" w:hAnsi="Times New Roman"/>
                <w:color w:val="auto"/>
                <w:kern w:val="2"/>
                <w:sz w:val="28"/>
                <w:szCs w:val="28"/>
              </w:rPr>
              <w:t>3.1 Вибір факторів впливу та побудова моделі ефективності використання засобів праці підприємства ………………………………….</w:t>
            </w:r>
          </w:p>
        </w:tc>
        <w:tc>
          <w:tcPr>
            <w:tcW w:w="674" w:type="dxa"/>
            <w:tcBorders/>
            <w:shd w:fill="auto" w:val="clear"/>
            <w:vAlign w:val="bottom"/>
          </w:tcPr>
          <w:p>
            <w:pPr>
              <w:pStyle w:val="Style34"/>
              <w:spacing w:lineRule="auto" w:line="336"/>
              <w:ind w:hanging="0"/>
              <w:jc w:val="right"/>
              <w:rPr>
                <w:bCs/>
                <w:spacing w:val="0"/>
                <w:szCs w:val="28"/>
              </w:rPr>
            </w:pPr>
            <w:r>
              <w:rPr>
                <w:bCs/>
                <w:spacing w:val="0"/>
                <w:szCs w:val="28"/>
              </w:rPr>
              <w:t>61</w:t>
            </w:r>
          </w:p>
        </w:tc>
      </w:tr>
      <w:tr>
        <w:trPr>
          <w:trHeight w:val="20" w:hRule="atLeast"/>
        </w:trPr>
        <w:tc>
          <w:tcPr>
            <w:tcW w:w="8891" w:type="dxa"/>
            <w:tcBorders/>
            <w:shd w:fill="auto" w:val="clear"/>
          </w:tcPr>
          <w:p>
            <w:pPr>
              <w:pStyle w:val="5"/>
              <w:keepNext w:val="false"/>
              <w:keepLines w:val="false"/>
              <w:spacing w:lineRule="auto" w:line="336" w:before="0" w:after="0"/>
              <w:ind w:firstLine="563"/>
              <w:jc w:val="both"/>
              <w:rPr>
                <w:rFonts w:ascii="Times New Roman" w:hAnsi="Times New Roman"/>
                <w:bCs/>
                <w:iCs/>
                <w:color w:val="auto"/>
                <w:kern w:val="2"/>
                <w:sz w:val="28"/>
                <w:szCs w:val="28"/>
              </w:rPr>
            </w:pPr>
            <w:r>
              <w:rPr>
                <w:rFonts w:ascii="Times New Roman" w:hAnsi="Times New Roman"/>
                <w:color w:val="auto"/>
                <w:kern w:val="2"/>
                <w:sz w:val="28"/>
                <w:szCs w:val="28"/>
              </w:rPr>
              <w:t>3.2 Прогнозування фондовіддачі за трендовими моделями …………</w:t>
            </w:r>
          </w:p>
        </w:tc>
        <w:tc>
          <w:tcPr>
            <w:tcW w:w="674" w:type="dxa"/>
            <w:tcBorders/>
            <w:shd w:fill="auto" w:val="clear"/>
            <w:vAlign w:val="bottom"/>
          </w:tcPr>
          <w:p>
            <w:pPr>
              <w:pStyle w:val="Style34"/>
              <w:spacing w:lineRule="auto" w:line="336"/>
              <w:ind w:hanging="0"/>
              <w:jc w:val="right"/>
              <w:rPr>
                <w:bCs/>
                <w:spacing w:val="0"/>
                <w:szCs w:val="28"/>
              </w:rPr>
            </w:pPr>
            <w:r>
              <w:rPr>
                <w:bCs/>
                <w:spacing w:val="0"/>
                <w:szCs w:val="28"/>
              </w:rPr>
              <w:t>73</w:t>
            </w:r>
          </w:p>
        </w:tc>
      </w:tr>
      <w:tr>
        <w:trPr>
          <w:trHeight w:val="20" w:hRule="atLeast"/>
        </w:trPr>
        <w:tc>
          <w:tcPr>
            <w:tcW w:w="8891" w:type="dxa"/>
            <w:tcBorders/>
            <w:shd w:fill="auto" w:val="clear"/>
          </w:tcPr>
          <w:p>
            <w:pPr>
              <w:pStyle w:val="Style34"/>
              <w:spacing w:lineRule="auto" w:line="336"/>
              <w:ind w:left="-1" w:firstLine="1"/>
              <w:jc w:val="both"/>
              <w:rPr>
                <w:bCs/>
                <w:spacing w:val="0"/>
                <w:szCs w:val="28"/>
              </w:rPr>
            </w:pPr>
            <w:r>
              <w:rPr>
                <w:bCs/>
                <w:spacing w:val="0"/>
                <w:szCs w:val="28"/>
              </w:rPr>
              <w:t>Висновки……………………………………………………………………...</w:t>
            </w:r>
          </w:p>
        </w:tc>
        <w:tc>
          <w:tcPr>
            <w:tcW w:w="674" w:type="dxa"/>
            <w:tcBorders/>
            <w:shd w:fill="auto" w:val="clear"/>
            <w:vAlign w:val="center"/>
          </w:tcPr>
          <w:p>
            <w:pPr>
              <w:pStyle w:val="Style34"/>
              <w:spacing w:lineRule="auto" w:line="336"/>
              <w:ind w:hanging="0"/>
              <w:jc w:val="right"/>
              <w:rPr>
                <w:bCs/>
                <w:spacing w:val="0"/>
                <w:szCs w:val="28"/>
              </w:rPr>
            </w:pPr>
            <w:r>
              <w:rPr>
                <w:bCs/>
                <w:spacing w:val="0"/>
                <w:szCs w:val="28"/>
              </w:rPr>
              <w:t>82</w:t>
            </w:r>
          </w:p>
        </w:tc>
      </w:tr>
      <w:tr>
        <w:trPr>
          <w:trHeight w:val="20" w:hRule="atLeast"/>
        </w:trPr>
        <w:tc>
          <w:tcPr>
            <w:tcW w:w="8891" w:type="dxa"/>
            <w:tcBorders/>
            <w:shd w:fill="auto" w:val="clear"/>
          </w:tcPr>
          <w:p>
            <w:pPr>
              <w:pStyle w:val="Style34"/>
              <w:spacing w:lineRule="auto" w:line="336"/>
              <w:ind w:left="-1" w:firstLine="1"/>
              <w:jc w:val="both"/>
              <w:rPr>
                <w:bCs/>
                <w:spacing w:val="0"/>
                <w:szCs w:val="28"/>
              </w:rPr>
            </w:pPr>
            <w:r>
              <w:rPr>
                <w:spacing w:val="0"/>
                <w:szCs w:val="28"/>
              </w:rPr>
              <w:t>Перелік джерел посилання………………………………………………….</w:t>
            </w:r>
          </w:p>
        </w:tc>
        <w:tc>
          <w:tcPr>
            <w:tcW w:w="674" w:type="dxa"/>
            <w:tcBorders/>
            <w:shd w:fill="auto" w:val="clear"/>
            <w:vAlign w:val="center"/>
          </w:tcPr>
          <w:p>
            <w:pPr>
              <w:pStyle w:val="Style34"/>
              <w:spacing w:lineRule="auto" w:line="336"/>
              <w:ind w:hanging="0"/>
              <w:jc w:val="right"/>
              <w:rPr>
                <w:bCs/>
                <w:spacing w:val="0"/>
                <w:szCs w:val="28"/>
              </w:rPr>
            </w:pPr>
            <w:r>
              <w:rPr>
                <w:bCs/>
                <w:spacing w:val="0"/>
                <w:szCs w:val="28"/>
              </w:rPr>
              <w:t>87</w:t>
            </w:r>
          </w:p>
        </w:tc>
      </w:tr>
      <w:tr>
        <w:trPr>
          <w:trHeight w:val="20" w:hRule="atLeast"/>
        </w:trPr>
        <w:tc>
          <w:tcPr>
            <w:tcW w:w="8891" w:type="dxa"/>
            <w:tcBorders/>
            <w:shd w:fill="auto" w:val="clear"/>
          </w:tcPr>
          <w:p>
            <w:pPr>
              <w:pStyle w:val="Style34"/>
              <w:spacing w:lineRule="auto" w:line="336"/>
              <w:ind w:left="-1" w:firstLine="1"/>
              <w:jc w:val="both"/>
              <w:rPr>
                <w:spacing w:val="0"/>
                <w:szCs w:val="28"/>
              </w:rPr>
            </w:pPr>
            <w:r>
              <w:rPr>
                <w:spacing w:val="0"/>
                <w:szCs w:val="28"/>
              </w:rPr>
              <w:t xml:space="preserve">Додаток А Організаційна структура </w:t>
            </w:r>
            <w:r>
              <w:rPr>
                <w:szCs w:val="28"/>
              </w:rPr>
              <w:t>ТОВ «НЕЙЛ»</w:t>
            </w:r>
          </w:p>
        </w:tc>
        <w:tc>
          <w:tcPr>
            <w:tcW w:w="674" w:type="dxa"/>
            <w:tcBorders/>
            <w:shd w:fill="auto" w:val="clear"/>
            <w:vAlign w:val="center"/>
          </w:tcPr>
          <w:p>
            <w:pPr>
              <w:pStyle w:val="Style34"/>
              <w:spacing w:lineRule="auto" w:line="336"/>
              <w:ind w:hanging="0"/>
              <w:jc w:val="right"/>
              <w:rPr>
                <w:bCs/>
                <w:spacing w:val="0"/>
                <w:szCs w:val="28"/>
              </w:rPr>
            </w:pPr>
            <w:r>
              <w:rPr>
                <w:bCs/>
                <w:spacing w:val="0"/>
                <w:szCs w:val="28"/>
              </w:rPr>
              <w:t>92</w:t>
            </w:r>
          </w:p>
        </w:tc>
      </w:tr>
      <w:tr>
        <w:trPr>
          <w:trHeight w:val="479" w:hRule="atLeast"/>
        </w:trPr>
        <w:tc>
          <w:tcPr>
            <w:tcW w:w="8891" w:type="dxa"/>
            <w:tcBorders/>
            <w:shd w:fill="auto" w:val="clear"/>
          </w:tcPr>
          <w:p>
            <w:pPr>
              <w:pStyle w:val="Style34"/>
              <w:spacing w:lineRule="auto" w:line="336"/>
              <w:ind w:hanging="0"/>
              <w:jc w:val="both"/>
              <w:rPr>
                <w:spacing w:val="0"/>
                <w:szCs w:val="28"/>
                <w:highlight w:val="white"/>
              </w:rPr>
            </w:pPr>
            <w:r>
              <w:rPr>
                <w:spacing w:val="0"/>
                <w:szCs w:val="28"/>
                <w:shd w:fill="FFFFFF" w:val="clear"/>
              </w:rPr>
              <w:t xml:space="preserve">Додаток Б Баланс підприємства </w:t>
            </w:r>
            <w:r>
              <w:rPr>
                <w:spacing w:val="0"/>
                <w:szCs w:val="28"/>
              </w:rPr>
              <w:t>ТОВ «НЕЙЛ»</w:t>
            </w:r>
            <w:r>
              <w:rPr>
                <w:spacing w:val="0"/>
                <w:szCs w:val="28"/>
                <w:shd w:fill="FFFFFF" w:val="clear"/>
              </w:rPr>
              <w:t xml:space="preserve"> з</w:t>
            </w:r>
            <w:r>
              <w:rPr>
                <w:spacing w:val="0"/>
                <w:szCs w:val="28"/>
              </w:rPr>
              <w:t xml:space="preserve"> 2010 р. по 2020 р… </w:t>
            </w:r>
          </w:p>
        </w:tc>
        <w:tc>
          <w:tcPr>
            <w:tcW w:w="674" w:type="dxa"/>
            <w:tcBorders/>
            <w:shd w:fill="auto" w:val="clear"/>
            <w:vAlign w:val="center"/>
          </w:tcPr>
          <w:p>
            <w:pPr>
              <w:pStyle w:val="Style34"/>
              <w:spacing w:lineRule="auto" w:line="336"/>
              <w:ind w:hanging="0"/>
              <w:jc w:val="right"/>
              <w:rPr>
                <w:bCs/>
                <w:spacing w:val="0"/>
                <w:szCs w:val="28"/>
              </w:rPr>
            </w:pPr>
            <w:r>
              <w:rPr>
                <w:bCs/>
                <w:spacing w:val="0"/>
                <w:szCs w:val="28"/>
              </w:rPr>
              <w:t>93</w:t>
            </w:r>
          </w:p>
        </w:tc>
      </w:tr>
      <w:tr>
        <w:trPr>
          <w:trHeight w:val="20" w:hRule="atLeast"/>
        </w:trPr>
        <w:tc>
          <w:tcPr>
            <w:tcW w:w="8891" w:type="dxa"/>
            <w:tcBorders/>
            <w:shd w:fill="auto" w:val="clear"/>
          </w:tcPr>
          <w:p>
            <w:pPr>
              <w:pStyle w:val="Style34"/>
              <w:spacing w:lineRule="auto" w:line="336"/>
              <w:ind w:hanging="0"/>
              <w:jc w:val="both"/>
              <w:rPr>
                <w:spacing w:val="0"/>
                <w:szCs w:val="28"/>
                <w:highlight w:val="white"/>
              </w:rPr>
            </w:pPr>
            <w:r>
              <w:rPr>
                <w:spacing w:val="0"/>
                <w:szCs w:val="28"/>
                <w:shd w:fill="FFFFFF" w:val="clear"/>
              </w:rPr>
              <w:t xml:space="preserve">Додаток В Звіт про фінансові результати </w:t>
            </w:r>
            <w:r>
              <w:rPr>
                <w:spacing w:val="0"/>
                <w:szCs w:val="28"/>
              </w:rPr>
              <w:t>ТОВ «НЕЙЛ»</w:t>
            </w:r>
            <w:r>
              <w:rPr>
                <w:spacing w:val="0"/>
                <w:szCs w:val="28"/>
                <w:shd w:fill="FFFFFF" w:val="clear"/>
              </w:rPr>
              <w:t xml:space="preserve"> з 2010 р. по 2020  р. ………………………………………………………………………</w:t>
            </w:r>
          </w:p>
        </w:tc>
        <w:tc>
          <w:tcPr>
            <w:tcW w:w="674" w:type="dxa"/>
            <w:tcBorders/>
            <w:shd w:fill="auto" w:val="clear"/>
            <w:vAlign w:val="bottom"/>
          </w:tcPr>
          <w:p>
            <w:pPr>
              <w:pStyle w:val="Style34"/>
              <w:spacing w:lineRule="auto" w:line="336"/>
              <w:ind w:hanging="0"/>
              <w:jc w:val="right"/>
              <w:rPr>
                <w:bCs/>
                <w:spacing w:val="0"/>
                <w:szCs w:val="28"/>
              </w:rPr>
            </w:pPr>
            <w:r>
              <w:rPr>
                <w:bCs/>
                <w:spacing w:val="0"/>
                <w:szCs w:val="28"/>
              </w:rPr>
              <w:t>95</w:t>
            </w:r>
          </w:p>
        </w:tc>
      </w:tr>
    </w:tbl>
    <w:p>
      <w:pPr>
        <w:sectPr>
          <w:headerReference w:type="default" r:id="rId10"/>
          <w:footerReference w:type="default" r:id="rId11"/>
          <w:type w:val="nextPage"/>
          <w:pgSz w:w="11906" w:h="16838"/>
          <w:pgMar w:left="1701" w:right="567" w:header="709" w:top="1134" w:footer="709" w:bottom="1134" w:gutter="0"/>
          <w:pgNumType w:fmt="decimal"/>
          <w:formProt w:val="false"/>
          <w:textDirection w:val="lrTb"/>
          <w:docGrid w:type="default" w:linePitch="360" w:charSpace="0"/>
        </w:sectPr>
      </w:pPr>
    </w:p>
    <w:p>
      <w:pPr>
        <w:pStyle w:val="Normal"/>
        <w:spacing w:lineRule="auto" w:line="360"/>
        <w:jc w:val="center"/>
        <w:rPr>
          <w:rFonts w:ascii="Times New Roman" w:hAnsi="Times New Roman" w:eastAsia="Times New Roman"/>
          <w:b/>
          <w:b/>
          <w:bCs/>
          <w:sz w:val="28"/>
          <w:szCs w:val="28"/>
          <w:lang w:eastAsia="ru-RU"/>
        </w:rPr>
      </w:pPr>
      <w:r>
        <w:rPr>
          <w:rFonts w:eastAsia="Times New Roman" w:ascii="Times New Roman" w:hAnsi="Times New Roman"/>
          <w:b/>
          <w:bCs/>
          <w:sz w:val="28"/>
          <w:szCs w:val="28"/>
          <w:lang w:eastAsia="ru-RU"/>
        </w:rPr>
        <w:t>ВСТУП</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Динамізм розвитку вітчизняної економіки спонукає до поглиблення дослідження ефективного використання засобів праці на виробничих підприємствах. Аналіз стан, структури, технологічного оснащення, руху та ефективності використання основних фондів забезпечують можливість діагностування та подальшого моделювання і прогнозування показників ефективності використання технічного потенціалу.</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Зазначеній проблематиці приділяли увагу багато вчених </w:t>
      </w:r>
      <w:r>
        <w:rPr>
          <w:rFonts w:ascii="Times New Roman" w:hAnsi="Times New Roman"/>
          <w:sz w:val="28"/>
          <w:szCs w:val="28"/>
        </w:rPr>
        <w:t xml:space="preserve">[1 – 52]. Однак, питанням оцінки стану та </w:t>
      </w:r>
      <w:r>
        <w:rPr>
          <w:rFonts w:ascii="Times New Roman" w:hAnsi="Times New Roman"/>
          <w:iCs/>
          <w:sz w:val="28"/>
          <w:szCs w:val="28"/>
        </w:rPr>
        <w:t>показників ефективності використання основних фондів</w:t>
      </w:r>
      <w:r>
        <w:rPr>
          <w:rFonts w:eastAsia="Times New Roman" w:ascii="Times New Roman" w:hAnsi="Times New Roman"/>
          <w:bCs/>
          <w:sz w:val="28"/>
          <w:szCs w:val="28"/>
          <w:lang w:eastAsia="ru-RU"/>
        </w:rPr>
        <w:t xml:space="preserve"> на виробничому підприємстві варто приділити більше уваги. Зокрема, бажано відібрати фактори, які суттєво впливають на зміну фондовіддачі, здійснити моделювання та її прогнозування на майбутнє. </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Мета дипломної роботи полягає у теоретичному обґрунтуванні сутності основних фондів і </w:t>
      </w:r>
      <w:r>
        <w:rPr>
          <w:rFonts w:ascii="Times New Roman" w:hAnsi="Times New Roman"/>
          <w:iCs/>
          <w:sz w:val="28"/>
          <w:szCs w:val="28"/>
        </w:rPr>
        <w:t xml:space="preserve">показників ефективності їх використання, </w:t>
      </w:r>
      <w:r>
        <w:rPr>
          <w:rFonts w:eastAsia="Times New Roman" w:ascii="Times New Roman" w:hAnsi="Times New Roman"/>
          <w:bCs/>
          <w:sz w:val="28"/>
          <w:szCs w:val="28"/>
          <w:lang w:eastAsia="ru-RU"/>
        </w:rPr>
        <w:t xml:space="preserve">аналізі і діагностуванні, моделюванні та прогнозуванні результативності використання засобів праці на виробничому підприємстві. </w:t>
      </w:r>
    </w:p>
    <w:p>
      <w:pPr>
        <w:pStyle w:val="Normal"/>
        <w:spacing w:lineRule="auto" w:line="360"/>
        <w:ind w:firstLine="709"/>
        <w:rPr>
          <w:rFonts w:ascii="Times New Roman" w:hAnsi="Times New Roman"/>
          <w:sz w:val="28"/>
          <w:szCs w:val="28"/>
        </w:rPr>
      </w:pPr>
      <w:r>
        <w:rPr>
          <w:rFonts w:eastAsia="Times New Roman" w:ascii="Times New Roman" w:hAnsi="Times New Roman"/>
          <w:bCs/>
          <w:sz w:val="28"/>
          <w:szCs w:val="28"/>
          <w:lang w:eastAsia="ru-RU"/>
        </w:rPr>
        <w:t xml:space="preserve">Об’єктом дослідження </w:t>
      </w:r>
      <w:r>
        <w:rPr>
          <w:rFonts w:ascii="Times New Roman" w:hAnsi="Times New Roman"/>
          <w:sz w:val="28"/>
          <w:szCs w:val="28"/>
        </w:rPr>
        <w:t xml:space="preserve">виступає стан </w:t>
      </w:r>
      <w:r>
        <w:rPr>
          <w:rFonts w:eastAsia="Times New Roman" w:ascii="Times New Roman" w:hAnsi="Times New Roman"/>
          <w:sz w:val="28"/>
          <w:szCs w:val="28"/>
          <w:lang w:eastAsia="ru-RU"/>
        </w:rPr>
        <w:t>ефективності використання основних фондів виробничого підприємства</w:t>
      </w:r>
      <w:r>
        <w:rPr>
          <w:rFonts w:ascii="Times New Roman" w:hAnsi="Times New Roman"/>
          <w:sz w:val="28"/>
          <w:szCs w:val="28"/>
        </w:rPr>
        <w:t>.</w:t>
      </w:r>
    </w:p>
    <w:p>
      <w:pPr>
        <w:pStyle w:val="Normal"/>
        <w:spacing w:lineRule="auto" w:line="360"/>
        <w:ind w:firstLine="709"/>
        <w:rPr>
          <w:rFonts w:ascii="Times New Roman" w:hAnsi="Times New Roman" w:eastAsia="Times New Roman"/>
          <w:bCs/>
          <w:sz w:val="28"/>
          <w:szCs w:val="28"/>
          <w:lang w:eastAsia="ru-RU"/>
        </w:rPr>
      </w:pPr>
      <w:r>
        <w:rPr>
          <w:rFonts w:ascii="Times New Roman" w:hAnsi="Times New Roman"/>
          <w:sz w:val="28"/>
          <w:szCs w:val="28"/>
        </w:rPr>
        <w:t xml:space="preserve">Предметом дослідження є економіко-математичні моделі оцінки ефективності використання основних фондів </w:t>
      </w:r>
      <w:r>
        <w:rPr>
          <w:rFonts w:eastAsia="Times New Roman" w:ascii="Times New Roman" w:hAnsi="Times New Roman"/>
          <w:sz w:val="28"/>
          <w:szCs w:val="28"/>
          <w:lang w:eastAsia="ru-RU"/>
        </w:rPr>
        <w:t>ТОВ «НЕЙЛ».</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Для аналізу ефективності використання засобів праці використано інформацію з фінансової та статистичної звітності </w:t>
      </w:r>
      <w:r>
        <w:rPr>
          <w:rFonts w:eastAsia="Times New Roman" w:ascii="Times New Roman" w:hAnsi="Times New Roman"/>
          <w:sz w:val="28"/>
          <w:szCs w:val="28"/>
          <w:lang w:eastAsia="ru-RU"/>
        </w:rPr>
        <w:t>ТОВ «НЕЙЛ»</w:t>
      </w:r>
      <w:r>
        <w:rPr>
          <w:rFonts w:eastAsia="Times New Roman" w:ascii="Times New Roman" w:hAnsi="Times New Roman"/>
          <w:bCs/>
          <w:sz w:val="28"/>
          <w:szCs w:val="28"/>
          <w:lang w:eastAsia="ru-RU"/>
        </w:rPr>
        <w:t xml:space="preserve"> – за період з 2010 р. по 2020 р.</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Для досягнення визначеної мети у дипломній роботі вирішувалися наступні завдання:</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ascii="Times New Roman" w:hAnsi="Times New Roman"/>
          <w:sz w:val="28"/>
          <w:szCs w:val="28"/>
        </w:rPr>
        <w:t>надана порівняльна характеристика понять «основні засоби», «основні фонди», «основний капітал» та «засоби праці»</w:t>
      </w:r>
      <w:r>
        <w:rPr>
          <w:rFonts w:eastAsia="Times New Roman" w:ascii="Times New Roman" w:hAnsi="Times New Roman"/>
          <w:bCs/>
          <w:sz w:val="28"/>
          <w:szCs w:val="28"/>
          <w:lang w:eastAsia="ru-RU"/>
        </w:rPr>
        <w:t>;</w:t>
      </w:r>
      <w:r>
        <w:rPr>
          <w:rFonts w:ascii="Times New Roman" w:hAnsi="Times New Roman"/>
          <w:sz w:val="28"/>
          <w:szCs w:val="28"/>
        </w:rPr>
        <w:t xml:space="preserve"> </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розглянуто методику аналізу показників ефективності використання основних фондів</w:t>
      </w:r>
      <w:r>
        <w:rPr>
          <w:rFonts w:ascii="Times New Roman" w:hAnsi="Times New Roman"/>
          <w:sz w:val="28"/>
          <w:szCs w:val="28"/>
        </w:rPr>
        <w:t>;</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ascii="Times New Roman" w:hAnsi="Times New Roman"/>
          <w:sz w:val="28"/>
          <w:szCs w:val="28"/>
        </w:rPr>
        <w:t xml:space="preserve">обґрунтовано основні напрямки і резерви покращення процесу управління ефективністю використання </w:t>
      </w:r>
      <w:r>
        <w:rPr>
          <w:rFonts w:eastAsia="Times New Roman" w:ascii="Times New Roman" w:hAnsi="Times New Roman"/>
          <w:bCs/>
          <w:sz w:val="28"/>
          <w:szCs w:val="28"/>
          <w:lang w:eastAsia="ru-RU"/>
        </w:rPr>
        <w:t xml:space="preserve">засобів праці </w:t>
      </w:r>
      <w:r>
        <w:rPr>
          <w:rFonts w:ascii="Times New Roman" w:hAnsi="Times New Roman"/>
          <w:sz w:val="28"/>
          <w:szCs w:val="28"/>
        </w:rPr>
        <w:t>на вітчизняних суб’єктах підприємництва;</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досліджено розвиток виробничого підприємства </w:t>
      </w:r>
      <w:r>
        <w:rPr>
          <w:rFonts w:ascii="Times New Roman" w:hAnsi="Times New Roman"/>
          <w:sz w:val="28"/>
          <w:szCs w:val="28"/>
        </w:rPr>
        <w:t xml:space="preserve">– </w:t>
      </w:r>
      <w:r>
        <w:rPr>
          <w:rFonts w:eastAsia="Times New Roman" w:ascii="Times New Roman" w:hAnsi="Times New Roman"/>
          <w:sz w:val="28"/>
          <w:szCs w:val="28"/>
          <w:lang w:eastAsia="ru-RU"/>
        </w:rPr>
        <w:t>ТОВ «НЕЙЛ»</w:t>
      </w:r>
      <w:r>
        <w:rPr>
          <w:rFonts w:eastAsia="Times New Roman" w:ascii="Times New Roman" w:hAnsi="Times New Roman"/>
          <w:bCs/>
          <w:sz w:val="28"/>
          <w:szCs w:val="28"/>
          <w:lang w:eastAsia="ru-RU"/>
        </w:rPr>
        <w:t xml:space="preserve">; </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надана оцінка основних техніко-економічних показників господарської діяльності </w:t>
      </w:r>
      <w:r>
        <w:rPr>
          <w:rFonts w:eastAsia="Times New Roman" w:ascii="Times New Roman" w:hAnsi="Times New Roman"/>
          <w:sz w:val="28"/>
          <w:szCs w:val="28"/>
          <w:lang w:eastAsia="ru-RU"/>
        </w:rPr>
        <w:t>ТОВ «НЕЙЛ»</w:t>
      </w:r>
      <w:r>
        <w:rPr>
          <w:rFonts w:eastAsia="Times New Roman" w:ascii="Times New Roman" w:hAnsi="Times New Roman"/>
          <w:bCs/>
          <w:sz w:val="28"/>
          <w:szCs w:val="28"/>
          <w:lang w:eastAsia="ru-RU"/>
        </w:rPr>
        <w:t>;</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spacing w:val="3"/>
          <w:sz w:val="28"/>
          <w:szCs w:val="28"/>
          <w:lang w:eastAsia="ru-RU"/>
        </w:rPr>
        <w:t xml:space="preserve">проаналізовано стан, структуру, технічний стан та </w:t>
      </w:r>
      <w:r>
        <w:rPr>
          <w:rFonts w:eastAsia="Times New Roman" w:ascii="Times New Roman" w:hAnsi="Times New Roman"/>
          <w:bCs/>
          <w:sz w:val="28"/>
          <w:szCs w:val="28"/>
          <w:lang w:eastAsia="ru-RU"/>
        </w:rPr>
        <w:t xml:space="preserve">ефективність використання </w:t>
      </w:r>
      <w:r>
        <w:rPr>
          <w:rFonts w:ascii="Times New Roman" w:hAnsi="Times New Roman"/>
          <w:sz w:val="28"/>
          <w:szCs w:val="28"/>
        </w:rPr>
        <w:t xml:space="preserve">основних фондів </w:t>
      </w:r>
      <w:r>
        <w:rPr>
          <w:rFonts w:eastAsia="Times New Roman" w:ascii="Times New Roman" w:hAnsi="Times New Roman"/>
          <w:sz w:val="28"/>
          <w:szCs w:val="28"/>
          <w:lang w:eastAsia="ru-RU"/>
        </w:rPr>
        <w:t>ТОВ «НЕЙЛ»;</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побудовано економіко-математичні моделі системи ефективності використання основних фондів</w:t>
      </w:r>
      <w:r>
        <w:rPr>
          <w:rFonts w:eastAsia="Times New Roman" w:ascii="Times New Roman" w:hAnsi="Times New Roman"/>
          <w:sz w:val="28"/>
          <w:szCs w:val="28"/>
          <w:lang w:eastAsia="ru-RU"/>
        </w:rPr>
        <w:t xml:space="preserve"> </w:t>
      </w:r>
      <w:r>
        <w:rPr>
          <w:rFonts w:eastAsia="Times New Roman" w:ascii="Times New Roman" w:hAnsi="Times New Roman"/>
          <w:bCs/>
          <w:sz w:val="28"/>
          <w:szCs w:val="28"/>
          <w:lang w:eastAsia="ru-RU"/>
        </w:rPr>
        <w:t>та подальше її прогнозування;</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досліджено вплив часового фактору як на фондовіддачу так і на фактори, які чинять суттєвий вплив на її зміну;</w:t>
      </w:r>
    </w:p>
    <w:p>
      <w:pPr>
        <w:pStyle w:val="Normal"/>
        <w:numPr>
          <w:ilvl w:val="0"/>
          <w:numId w:val="1"/>
        </w:numPr>
        <w:spacing w:lineRule="auto" w:line="360"/>
        <w:ind w:left="0"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узагальнення отриманих результатів.</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 xml:space="preserve">Дипломна робота побудована за традиційною схемою і складається зі вступу, висновків, трьох розділів, які розкривають зміст роботи, переліку джерел посилання та додатків. </w:t>
      </w:r>
    </w:p>
    <w:p>
      <w:pPr>
        <w:pStyle w:val="Normal"/>
        <w:spacing w:lineRule="auto" w:line="360"/>
        <w:ind w:firstLine="709"/>
        <w:rPr>
          <w:rFonts w:ascii="Times New Roman" w:hAnsi="Times New Roman" w:eastAsia="Times New Roman"/>
          <w:bCs/>
          <w:sz w:val="28"/>
          <w:szCs w:val="28"/>
          <w:lang w:eastAsia="ru-RU"/>
        </w:rPr>
      </w:pPr>
      <w:r>
        <w:rPr>
          <w:rFonts w:eastAsia="Times New Roman" w:ascii="Times New Roman" w:hAnsi="Times New Roman"/>
          <w:bCs/>
          <w:sz w:val="28"/>
          <w:szCs w:val="28"/>
          <w:lang w:eastAsia="ru-RU"/>
        </w:rPr>
        <w:t>Основний текст пояснювальної записки викладено на 95 сторінках, його ілюструють 37 таблиць, 29 рисунків та доповнюють три додатки (організаційна структура, баланс та звіт про фінансові результати). Перелік джерел посилань налічує 52 джерела.</w:t>
      </w:r>
    </w:p>
    <w:p>
      <w:pPr>
        <w:sectPr>
          <w:headerReference w:type="default" r:id="rId12"/>
          <w:footerReference w:type="default" r:id="rId13"/>
          <w:type w:val="nextPage"/>
          <w:pgSz w:w="11906" w:h="16838"/>
          <w:pgMar w:left="1701" w:right="567" w:header="709" w:top="1134" w:footer="709" w:bottom="1134" w:gutter="0"/>
          <w:pgNumType w:fmt="decimal"/>
          <w:formProt w:val="false"/>
          <w:textDirection w:val="lrTb"/>
          <w:docGrid w:type="default" w:linePitch="360" w:charSpace="0"/>
        </w:sectPr>
        <w:pStyle w:val="Normal"/>
        <w:spacing w:lineRule="auto" w:line="360"/>
        <w:ind w:firstLine="709"/>
        <w:rPr>
          <w:rFonts w:ascii="Times New Roman" w:hAnsi="Times New Roman"/>
          <w:sz w:val="28"/>
          <w:szCs w:val="28"/>
        </w:rPr>
      </w:pPr>
      <w:r>
        <w:rPr>
          <w:rFonts w:ascii="Times New Roman" w:hAnsi="Times New Roman"/>
          <w:sz w:val="28"/>
          <w:szCs w:val="28"/>
        </w:rPr>
      </w:r>
    </w:p>
    <w:p>
      <w:pPr>
        <w:pStyle w:val="ListParagraph"/>
        <w:spacing w:lineRule="auto" w:line="360"/>
        <w:ind w:left="0" w:firstLine="644"/>
        <w:rPr>
          <w:rFonts w:ascii="Times New Roman" w:hAnsi="Times New Roman"/>
          <w:b/>
          <w:b/>
          <w:bCs/>
          <w:sz w:val="28"/>
          <w:szCs w:val="28"/>
        </w:rPr>
      </w:pPr>
      <w:r>
        <w:rPr>
          <w:rFonts w:ascii="Times New Roman" w:hAnsi="Times New Roman"/>
          <w:b/>
          <w:bCs/>
          <w:sz w:val="28"/>
          <w:szCs w:val="28"/>
        </w:rPr>
        <w:t>1 ТЕОРЕТИЧНІ ЗАСАДИ ДОСЛІДЖЕННЯ ПОКАЗНИКІВ ЕФЕКТИВНОСТІ ВИКОРИСТАННЯ ОСНОВНИХ ФОНДІВ</w:t>
      </w:r>
    </w:p>
    <w:p>
      <w:pPr>
        <w:pStyle w:val="ListParagraph"/>
        <w:spacing w:lineRule="auto" w:line="360"/>
        <w:ind w:left="0" w:firstLine="644"/>
        <w:rPr>
          <w:rFonts w:ascii="Times New Roman" w:hAnsi="Times New Roman"/>
          <w:bCs/>
          <w:sz w:val="28"/>
          <w:szCs w:val="28"/>
        </w:rPr>
      </w:pPr>
      <w:r>
        <w:rPr>
          <w:rFonts w:ascii="Times New Roman" w:hAnsi="Times New Roman"/>
          <w:bCs/>
          <w:sz w:val="28"/>
          <w:szCs w:val="28"/>
        </w:rPr>
        <w:t>1.1 Загальні підходи до визначення основних фондів</w:t>
      </w:r>
    </w:p>
    <w:p>
      <w:pPr>
        <w:pStyle w:val="ListParagraph"/>
        <w:spacing w:lineRule="auto" w:line="360"/>
        <w:ind w:left="0" w:firstLine="644"/>
        <w:rPr>
          <w:rFonts w:ascii="Times New Roman" w:hAnsi="Times New Roman"/>
          <w:sz w:val="28"/>
          <w:szCs w:val="28"/>
          <w:highlight w:val="white"/>
        </w:rPr>
      </w:pPr>
      <w:r>
        <w:rPr>
          <w:rFonts w:ascii="Times New Roman" w:hAnsi="Times New Roman"/>
          <w:sz w:val="28"/>
          <w:szCs w:val="28"/>
          <w:shd w:fill="FFFFFF" w:val="clear"/>
        </w:rPr>
      </w:r>
    </w:p>
    <w:p>
      <w:pPr>
        <w:pStyle w:val="ListParagraph"/>
        <w:spacing w:lineRule="auto" w:line="360"/>
        <w:ind w:left="0" w:firstLine="644"/>
        <w:rPr>
          <w:rFonts w:ascii="Times New Roman" w:hAnsi="Times New Roman"/>
          <w:sz w:val="28"/>
          <w:szCs w:val="28"/>
          <w:highlight w:val="white"/>
        </w:rPr>
      </w:pPr>
      <w:r>
        <w:rPr>
          <w:rFonts w:ascii="Times New Roman" w:hAnsi="Times New Roman"/>
          <w:sz w:val="28"/>
          <w:szCs w:val="28"/>
          <w:shd w:fill="FFFFFF" w:val="clear"/>
        </w:rPr>
      </w:r>
    </w:p>
    <w:p>
      <w:pPr>
        <w:pStyle w:val="ListParagraph"/>
        <w:spacing w:lineRule="auto" w:line="360"/>
        <w:ind w:left="0" w:firstLine="644"/>
        <w:rPr>
          <w:rFonts w:ascii="Times New Roman" w:hAnsi="Times New Roman"/>
          <w:sz w:val="28"/>
          <w:szCs w:val="28"/>
          <w:highlight w:val="white"/>
        </w:rPr>
      </w:pPr>
      <w:r>
        <w:rPr>
          <w:rFonts w:ascii="Times New Roman" w:hAnsi="Times New Roman"/>
          <w:sz w:val="28"/>
          <w:szCs w:val="28"/>
          <w:shd w:fill="FFFFFF" w:val="clear"/>
        </w:rPr>
        <w:t>За умов сьогодення, важливим напрямком розвитку вітчизняної промисловості є покращення забезпечення виробництва засобами праці. Для цього варто вдосконалити структуру та підвищити ефективність їх використання.</w:t>
      </w:r>
    </w:p>
    <w:p>
      <w:pPr>
        <w:pStyle w:val="Style25"/>
        <w:spacing w:lineRule="auto" w:line="348" w:before="0" w:after="0"/>
        <w:ind w:firstLine="709"/>
        <w:rPr>
          <w:rFonts w:ascii="Times New Roman" w:hAnsi="Times New Roman"/>
          <w:sz w:val="28"/>
          <w:szCs w:val="28"/>
        </w:rPr>
      </w:pPr>
      <w:r>
        <w:rPr>
          <w:rFonts w:ascii="Times New Roman" w:hAnsi="Times New Roman"/>
          <w:sz w:val="28"/>
          <w:szCs w:val="28"/>
          <w:shd w:fill="FFFFFF" w:val="clear"/>
        </w:rPr>
        <w:t>Традиційно, засоби праці обслуговують виробничий процес протягом тривалого періоду, беручи участь у декількох виробничих циклах, зберігають свою натуральну форму та переносять свою вартість на готову продукцію по частинах, через зношуваність шляхом амортизації. Законодавчо встановлено (</w:t>
      </w:r>
      <w:r>
        <w:rPr>
          <w:rFonts w:ascii="Times New Roman" w:hAnsi="Times New Roman"/>
          <w:sz w:val="28"/>
          <w:szCs w:val="28"/>
        </w:rPr>
        <w:t>за П(С)БО 7)</w:t>
      </w:r>
      <w:r>
        <w:rPr>
          <w:rFonts w:ascii="Times New Roman" w:hAnsi="Times New Roman"/>
          <w:sz w:val="28"/>
          <w:szCs w:val="28"/>
          <w:shd w:fill="FFFFFF" w:val="clear"/>
        </w:rPr>
        <w:t>, що</w:t>
      </w:r>
      <w:r>
        <w:rPr>
          <w:rFonts w:ascii="Times New Roman" w:hAnsi="Times New Roman"/>
          <w:sz w:val="28"/>
          <w:szCs w:val="28"/>
        </w:rPr>
        <w:t xml:space="preserve"> об'єкт основних</w:t>
      </w:r>
      <w:r>
        <w:rPr>
          <w:rFonts w:ascii="Times New Roman" w:hAnsi="Times New Roman"/>
          <w:spacing w:val="-26"/>
          <w:sz w:val="28"/>
          <w:szCs w:val="28"/>
        </w:rPr>
        <w:t xml:space="preserve"> </w:t>
      </w:r>
      <w:r>
        <w:rPr>
          <w:rFonts w:ascii="Times New Roman" w:hAnsi="Times New Roman"/>
          <w:sz w:val="28"/>
          <w:szCs w:val="28"/>
        </w:rPr>
        <w:t xml:space="preserve">засобів визнається активом, </w:t>
      </w:r>
      <w:r>
        <w:rPr>
          <w:rFonts w:ascii="Times New Roman" w:hAnsi="Times New Roman"/>
          <w:spacing w:val="7"/>
          <w:sz w:val="28"/>
          <w:szCs w:val="28"/>
        </w:rPr>
        <w:t xml:space="preserve">якщо існує </w:t>
      </w:r>
      <w:r>
        <w:rPr>
          <w:rFonts w:ascii="Times New Roman" w:hAnsi="Times New Roman"/>
          <w:spacing w:val="10"/>
          <w:sz w:val="28"/>
          <w:szCs w:val="28"/>
        </w:rPr>
        <w:t xml:space="preserve">імовірність </w:t>
      </w:r>
      <w:r>
        <w:rPr>
          <w:rFonts w:ascii="Times New Roman" w:hAnsi="Times New Roman"/>
          <w:w w:val="95"/>
          <w:sz w:val="28"/>
          <w:szCs w:val="28"/>
        </w:rPr>
        <w:t>отри</w:t>
      </w:r>
      <w:r>
        <w:rPr>
          <w:rFonts w:ascii="Times New Roman" w:hAnsi="Times New Roman"/>
          <w:spacing w:val="2"/>
          <w:sz w:val="28"/>
          <w:szCs w:val="28"/>
        </w:rPr>
        <w:t xml:space="preserve">мання </w:t>
      </w:r>
      <w:r>
        <w:rPr>
          <w:rFonts w:ascii="Times New Roman" w:hAnsi="Times New Roman"/>
          <w:w w:val="95"/>
          <w:sz w:val="28"/>
          <w:szCs w:val="28"/>
        </w:rPr>
        <w:t>підприємством</w:t>
      </w:r>
      <w:r>
        <w:rPr>
          <w:rFonts w:ascii="Times New Roman" w:hAnsi="Times New Roman"/>
          <w:sz w:val="28"/>
          <w:szCs w:val="28"/>
        </w:rPr>
        <w:t xml:space="preserve"> у </w:t>
      </w:r>
      <w:r>
        <w:rPr>
          <w:rFonts w:ascii="Times New Roman" w:hAnsi="Times New Roman"/>
          <w:spacing w:val="3"/>
          <w:sz w:val="28"/>
          <w:szCs w:val="28"/>
        </w:rPr>
        <w:t xml:space="preserve">майбутньому </w:t>
      </w:r>
      <w:r>
        <w:rPr>
          <w:rFonts w:ascii="Times New Roman" w:hAnsi="Times New Roman"/>
          <w:spacing w:val="5"/>
          <w:sz w:val="28"/>
          <w:szCs w:val="28"/>
        </w:rPr>
        <w:t>еко</w:t>
      </w:r>
      <w:r>
        <w:rPr>
          <w:rFonts w:ascii="Times New Roman" w:hAnsi="Times New Roman"/>
          <w:w w:val="95"/>
          <w:sz w:val="28"/>
          <w:szCs w:val="28"/>
        </w:rPr>
        <w:t>номічної</w:t>
      </w:r>
      <w:r>
        <w:rPr>
          <w:rFonts w:ascii="Times New Roman" w:hAnsi="Times New Roman"/>
          <w:spacing w:val="-10"/>
          <w:w w:val="95"/>
          <w:sz w:val="28"/>
          <w:szCs w:val="28"/>
        </w:rPr>
        <w:t xml:space="preserve"> </w:t>
      </w:r>
      <w:r>
        <w:rPr>
          <w:rFonts w:ascii="Times New Roman" w:hAnsi="Times New Roman"/>
          <w:w w:val="95"/>
          <w:sz w:val="28"/>
          <w:szCs w:val="28"/>
        </w:rPr>
        <w:t>вигоди</w:t>
      </w:r>
      <w:r>
        <w:rPr>
          <w:rFonts w:ascii="Times New Roman" w:hAnsi="Times New Roman"/>
          <w:spacing w:val="-10"/>
          <w:w w:val="95"/>
          <w:sz w:val="28"/>
          <w:szCs w:val="28"/>
        </w:rPr>
        <w:t xml:space="preserve"> </w:t>
      </w:r>
      <w:r>
        <w:rPr>
          <w:rFonts w:ascii="Times New Roman" w:hAnsi="Times New Roman"/>
          <w:w w:val="95"/>
          <w:sz w:val="28"/>
          <w:szCs w:val="28"/>
        </w:rPr>
        <w:t>від</w:t>
      </w:r>
      <w:r>
        <w:rPr>
          <w:rFonts w:ascii="Times New Roman" w:hAnsi="Times New Roman"/>
          <w:spacing w:val="-10"/>
          <w:w w:val="95"/>
          <w:sz w:val="28"/>
          <w:szCs w:val="28"/>
        </w:rPr>
        <w:t xml:space="preserve"> </w:t>
      </w:r>
      <w:r>
        <w:rPr>
          <w:rFonts w:ascii="Times New Roman" w:hAnsi="Times New Roman"/>
          <w:w w:val="95"/>
          <w:sz w:val="28"/>
          <w:szCs w:val="28"/>
        </w:rPr>
        <w:t>його</w:t>
      </w:r>
      <w:r>
        <w:rPr>
          <w:rFonts w:ascii="Times New Roman" w:hAnsi="Times New Roman"/>
          <w:spacing w:val="-10"/>
          <w:w w:val="95"/>
          <w:sz w:val="28"/>
          <w:szCs w:val="28"/>
        </w:rPr>
        <w:t xml:space="preserve"> </w:t>
      </w:r>
      <w:r>
        <w:rPr>
          <w:rFonts w:ascii="Times New Roman" w:hAnsi="Times New Roman"/>
          <w:w w:val="95"/>
          <w:sz w:val="28"/>
          <w:szCs w:val="28"/>
        </w:rPr>
        <w:t>ви</w:t>
      </w:r>
      <w:r>
        <w:rPr>
          <w:rFonts w:ascii="Times New Roman" w:hAnsi="Times New Roman"/>
          <w:sz w:val="28"/>
          <w:szCs w:val="28"/>
        </w:rPr>
        <w:t>користання за одночасного встановлення його достовірної вартості [35].</w:t>
      </w:r>
    </w:p>
    <w:p>
      <w:pPr>
        <w:pStyle w:val="Normal"/>
        <w:spacing w:lineRule="auto" w:line="360"/>
        <w:ind w:firstLine="709"/>
        <w:rPr>
          <w:rFonts w:ascii="Times New Roman" w:hAnsi="Times New Roman" w:eastAsia="Calibri" w:eastAsiaTheme="minorHAnsi"/>
          <w:sz w:val="28"/>
          <w:szCs w:val="28"/>
        </w:rPr>
      </w:pPr>
      <w:r>
        <w:rPr>
          <w:rFonts w:eastAsia="Calibri" w:ascii="Times New Roman" w:hAnsi="Times New Roman" w:eastAsiaTheme="minorHAnsi"/>
          <w:sz w:val="28"/>
          <w:szCs w:val="28"/>
        </w:rPr>
        <w:t>У економічній літературі категорія «основні фонди» розглядається: як засоби праці, як основні засоби, як основний капітал, як частина майна підприємства, як необоротні матеріальні активи. Нами узагальнено основні погляди дослідників щодо трактування цієї категорії (таблиця 1.1).</w:t>
      </w:r>
    </w:p>
    <w:p>
      <w:pPr>
        <w:pStyle w:val="Normal"/>
        <w:spacing w:lineRule="auto" w:line="360"/>
        <w:rPr>
          <w:rFonts w:ascii="Times New Roman" w:hAnsi="Times New Roman" w:eastAsia="Calibri" w:eastAsiaTheme="minorHAnsi"/>
          <w:sz w:val="28"/>
          <w:szCs w:val="28"/>
        </w:rPr>
      </w:pPr>
      <w:r>
        <w:rPr>
          <w:rFonts w:eastAsia="Calibri" w:eastAsiaTheme="minorHAnsi" w:ascii="Times New Roman" w:hAnsi="Times New Roman"/>
          <w:sz w:val="28"/>
          <w:szCs w:val="28"/>
        </w:rPr>
      </w:r>
    </w:p>
    <w:p>
      <w:pPr>
        <w:pStyle w:val="Normal"/>
        <w:spacing w:lineRule="auto" w:line="360"/>
        <w:ind w:firstLine="709"/>
        <w:rPr>
          <w:rFonts w:ascii="Times New Roman" w:hAnsi="Times New Roman" w:eastAsia="Calibri" w:eastAsiaTheme="minorHAnsi"/>
          <w:sz w:val="28"/>
          <w:szCs w:val="28"/>
        </w:rPr>
      </w:pPr>
      <w:r>
        <w:rPr>
          <w:rFonts w:eastAsia="Calibri" w:ascii="Times New Roman" w:hAnsi="Times New Roman" w:eastAsiaTheme="minorHAnsi"/>
          <w:sz w:val="28"/>
          <w:szCs w:val="28"/>
        </w:rPr>
        <w:t>Таблиця 1.1 – Підходи до визначення поняття «основні фонди»</w:t>
      </w:r>
    </w:p>
    <w:tbl>
      <w:tblPr>
        <w:tblStyle w:val="af0"/>
        <w:tblW w:w="9378" w:type="dxa"/>
        <w:jc w:val="left"/>
        <w:tblInd w:w="108" w:type="dxa"/>
        <w:tblCellMar>
          <w:top w:w="0" w:type="dxa"/>
          <w:left w:w="108" w:type="dxa"/>
          <w:bottom w:w="0" w:type="dxa"/>
          <w:right w:w="108" w:type="dxa"/>
        </w:tblCellMar>
        <w:tblLook w:firstRow="1" w:noVBand="1" w:lastRow="0" w:firstColumn="1" w:lastColumn="0" w:noHBand="0" w:val="04a0"/>
      </w:tblPr>
      <w:tblGrid>
        <w:gridCol w:w="1529"/>
        <w:gridCol w:w="7848"/>
      </w:tblGrid>
      <w:tr>
        <w:trPr/>
        <w:tc>
          <w:tcPr>
            <w:tcW w:w="1529" w:type="dxa"/>
            <w:tcBorders/>
            <w:shd w:fill="auto" w:val="clear"/>
          </w:tcPr>
          <w:p>
            <w:pPr>
              <w:pStyle w:val="Normal"/>
              <w:jc w:val="center"/>
              <w:rPr>
                <w:rFonts w:ascii="Times New Roman" w:hAnsi="Times New Roman" w:eastAsia="Times New Roman"/>
                <w:lang w:eastAsia="ru-RU"/>
              </w:rPr>
            </w:pPr>
            <w:r>
              <w:rPr>
                <w:rFonts w:ascii="Times New Roman" w:hAnsi="Times New Roman"/>
              </w:rPr>
              <w:t>Автор</w:t>
            </w:r>
          </w:p>
        </w:tc>
        <w:tc>
          <w:tcPr>
            <w:tcW w:w="7848" w:type="dxa"/>
            <w:tcBorders/>
            <w:shd w:fill="auto" w:val="clear"/>
          </w:tcPr>
          <w:p>
            <w:pPr>
              <w:pStyle w:val="Normal"/>
              <w:jc w:val="center"/>
              <w:rPr>
                <w:rFonts w:ascii="Times New Roman" w:hAnsi="Times New Roman"/>
              </w:rPr>
            </w:pPr>
            <w:r>
              <w:rPr>
                <w:rFonts w:ascii="Times New Roman" w:hAnsi="Times New Roman"/>
              </w:rPr>
              <w:t>Визначення</w:t>
            </w:r>
          </w:p>
        </w:tc>
      </w:tr>
      <w:tr>
        <w:trPr/>
        <w:tc>
          <w:tcPr>
            <w:tcW w:w="1529" w:type="dxa"/>
            <w:tcBorders/>
            <w:shd w:fill="auto" w:val="clear"/>
          </w:tcPr>
          <w:p>
            <w:pPr>
              <w:pStyle w:val="Normal"/>
              <w:jc w:val="center"/>
              <w:rPr>
                <w:rFonts w:ascii="Times New Roman" w:hAnsi="Times New Roman"/>
                <w:iCs/>
              </w:rPr>
            </w:pPr>
            <w:r>
              <w:rPr>
                <w:rFonts w:ascii="Times New Roman" w:hAnsi="Times New Roman"/>
                <w:iCs/>
              </w:rPr>
              <w:t>1</w:t>
            </w:r>
          </w:p>
        </w:tc>
        <w:tc>
          <w:tcPr>
            <w:tcW w:w="7848" w:type="dxa"/>
            <w:tcBorders/>
            <w:shd w:fill="auto" w:val="clear"/>
          </w:tcPr>
          <w:p>
            <w:pPr>
              <w:pStyle w:val="Normal"/>
              <w:jc w:val="center"/>
              <w:rPr>
                <w:rFonts w:ascii="Times New Roman" w:hAnsi="Times New Roman"/>
              </w:rPr>
            </w:pPr>
            <w:r>
              <w:rPr>
                <w:rFonts w:ascii="Times New Roman" w:hAnsi="Times New Roman"/>
              </w:rPr>
              <w:t>2</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iCs/>
              </w:rPr>
              <w:t xml:space="preserve">Андреєва Г. </w:t>
            </w:r>
            <w:r>
              <w:rPr>
                <w:rFonts w:ascii="Times New Roman" w:hAnsi="Times New Roman"/>
              </w:rPr>
              <w:t>[1]</w:t>
            </w:r>
          </w:p>
        </w:tc>
        <w:tc>
          <w:tcPr>
            <w:tcW w:w="7848" w:type="dxa"/>
            <w:tcBorders/>
            <w:shd w:fill="auto" w:val="clear"/>
          </w:tcPr>
          <w:p>
            <w:pPr>
              <w:pStyle w:val="Normal"/>
              <w:rPr>
                <w:rFonts w:ascii="Times New Roman" w:hAnsi="Times New Roman"/>
              </w:rPr>
            </w:pPr>
            <w:r>
              <w:rPr>
                <w:rFonts w:ascii="Times New Roman" w:hAnsi="Times New Roman"/>
              </w:rPr>
              <w:t>Основні фонди – це частина майна, що використовується як «фонди праці» у виробництві продукції (виконанні робіт, наданні послуг) або в управлінні суб’єктом більше одного року</w:t>
            </w:r>
          </w:p>
        </w:tc>
      </w:tr>
      <w:tr>
        <w:trPr/>
        <w:tc>
          <w:tcPr>
            <w:tcW w:w="1529" w:type="dxa"/>
            <w:tcBorders/>
            <w:shd w:fill="auto" w:val="clear"/>
            <w:vAlign w:val="center"/>
          </w:tcPr>
          <w:p>
            <w:pPr>
              <w:pStyle w:val="Normal"/>
              <w:jc w:val="center"/>
              <w:rPr>
                <w:rFonts w:ascii="Times New Roman" w:hAnsi="Times New Roman"/>
                <w:iCs/>
              </w:rPr>
            </w:pPr>
            <w:r>
              <w:rPr>
                <w:rFonts w:ascii="Times New Roman" w:hAnsi="Times New Roman"/>
                <w:iCs/>
              </w:rPr>
              <w:t>Андрійчук В. Г.</w:t>
            </w:r>
            <w:r>
              <w:rPr>
                <w:rFonts w:ascii="Times New Roman" w:hAnsi="Times New Roman"/>
              </w:rPr>
              <w:t xml:space="preserve"> </w:t>
            </w:r>
            <w:r>
              <w:rPr>
                <w:rFonts w:ascii="Times New Roman" w:hAnsi="Times New Roman"/>
                <w:iCs/>
              </w:rPr>
              <w:t>[2]</w:t>
            </w:r>
          </w:p>
        </w:tc>
        <w:tc>
          <w:tcPr>
            <w:tcW w:w="7848" w:type="dxa"/>
            <w:tcBorders/>
            <w:shd w:fill="auto" w:val="clear"/>
          </w:tcPr>
          <w:p>
            <w:pPr>
              <w:pStyle w:val="Normal"/>
              <w:rPr>
                <w:rFonts w:ascii="Times New Roman" w:hAnsi="Times New Roman"/>
              </w:rPr>
            </w:pPr>
            <w:r>
              <w:rPr>
                <w:rFonts w:ascii="Times New Roman" w:hAnsi="Times New Roman"/>
              </w:rPr>
              <w:t xml:space="preserve">Фонди є грошовим вираженням засобів праці, а основні засоби є матеріально-речовими елементами </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Бланк І. А. [4]</w:t>
            </w:r>
          </w:p>
        </w:tc>
        <w:tc>
          <w:tcPr>
            <w:tcW w:w="7848" w:type="dxa"/>
            <w:tcBorders/>
            <w:shd w:fill="auto" w:val="clear"/>
          </w:tcPr>
          <w:p>
            <w:pPr>
              <w:pStyle w:val="Normal"/>
              <w:rPr>
                <w:rFonts w:ascii="Times New Roman" w:hAnsi="Times New Roman"/>
              </w:rPr>
            </w:pPr>
            <w:r>
              <w:rPr>
                <w:rFonts w:ascii="Times New Roman" w:hAnsi="Times New Roman"/>
              </w:rPr>
              <w:t xml:space="preserve">Основні фонди являють сукупність матеріальних активів у формі «фондів праці», які багаторазово приймають участь у виробничо-комерційній діяльності і переносять на продукцію (роботи, послуги) свою вартість частинами </w:t>
            </w:r>
          </w:p>
        </w:tc>
      </w:tr>
      <w:tr>
        <w:trPr/>
        <w:tc>
          <w:tcPr>
            <w:tcW w:w="1529" w:type="dxa"/>
            <w:tcBorders>
              <w:bottom w:val="nil"/>
            </w:tcBorders>
            <w:shd w:fill="auto" w:val="clear"/>
            <w:vAlign w:val="center"/>
          </w:tcPr>
          <w:p>
            <w:pPr>
              <w:pStyle w:val="Normal"/>
              <w:jc w:val="center"/>
              <w:rPr>
                <w:rFonts w:ascii="Times New Roman" w:hAnsi="Times New Roman"/>
              </w:rPr>
            </w:pPr>
            <w:r>
              <w:rPr>
                <w:rFonts w:ascii="Times New Roman" w:hAnsi="Times New Roman"/>
              </w:rPr>
              <w:t>Борисов А. Б. [5]</w:t>
            </w:r>
          </w:p>
        </w:tc>
        <w:tc>
          <w:tcPr>
            <w:tcW w:w="7848" w:type="dxa"/>
            <w:tcBorders>
              <w:bottom w:val="nil"/>
            </w:tcBorders>
            <w:shd w:fill="auto" w:val="clear"/>
          </w:tcPr>
          <w:p>
            <w:pPr>
              <w:pStyle w:val="Normal"/>
              <w:rPr>
                <w:rFonts w:ascii="Times New Roman" w:hAnsi="Times New Roman"/>
              </w:rPr>
            </w:pPr>
            <w:r>
              <w:rPr>
                <w:rFonts w:ascii="Times New Roman" w:hAnsi="Times New Roman"/>
              </w:rPr>
              <w:t>Основні фонди – це «фонди праці» виробничого та невиробничого призначення. Вони приймають участь в процесі виробництва тривалий час, протягом багатьох циклів, при збереженні основних властивостей і первинної форми, при цьому поступово зношуються і їх вартість переноситься на продукцію частинами</w:t>
            </w:r>
          </w:p>
        </w:tc>
      </w:tr>
      <w:tr>
        <w:trPr/>
        <w:tc>
          <w:tcPr>
            <w:tcW w:w="9377" w:type="dxa"/>
            <w:gridSpan w:val="2"/>
            <w:tcBorders>
              <w:top w:val="nil"/>
              <w:left w:val="nil"/>
              <w:right w:val="nil"/>
            </w:tcBorders>
            <w:shd w:fill="auto" w:val="clear"/>
            <w:vAlign w:val="center"/>
          </w:tcPr>
          <w:p>
            <w:pPr>
              <w:pStyle w:val="Normal"/>
              <w:spacing w:lineRule="auto" w:line="360"/>
              <w:rPr>
                <w:rFonts w:ascii="Times New Roman" w:hAnsi="Times New Roman"/>
                <w:sz w:val="28"/>
              </w:rPr>
            </w:pPr>
            <w:r>
              <w:rPr>
                <w:rFonts w:ascii="Times New Roman" w:hAnsi="Times New Roman"/>
                <w:sz w:val="28"/>
              </w:rPr>
              <w:t>Кінець таблиці 1.1</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1</w:t>
            </w:r>
          </w:p>
        </w:tc>
        <w:tc>
          <w:tcPr>
            <w:tcW w:w="7848" w:type="dxa"/>
            <w:tcBorders/>
            <w:shd w:fill="auto" w:val="clear"/>
            <w:vAlign w:val="center"/>
          </w:tcPr>
          <w:p>
            <w:pPr>
              <w:pStyle w:val="Normal"/>
              <w:jc w:val="center"/>
              <w:rPr>
                <w:rFonts w:ascii="Times New Roman" w:hAnsi="Times New Roman"/>
              </w:rPr>
            </w:pPr>
            <w:r>
              <w:rPr>
                <w:rFonts w:ascii="Times New Roman" w:hAnsi="Times New Roman"/>
              </w:rPr>
              <w:t>2</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Загородній А. Г.</w:t>
            </w:r>
            <w:r>
              <w:rPr>
                <w:rFonts w:ascii="Times New Roman" w:hAnsi="Times New Roman"/>
                <w:spacing w:val="-4"/>
              </w:rPr>
              <w:t xml:space="preserve"> [18]</w:t>
            </w:r>
          </w:p>
        </w:tc>
        <w:tc>
          <w:tcPr>
            <w:tcW w:w="7848" w:type="dxa"/>
            <w:tcBorders/>
            <w:shd w:fill="auto" w:val="clear"/>
          </w:tcPr>
          <w:p>
            <w:pPr>
              <w:pStyle w:val="Normal"/>
              <w:rPr>
                <w:rFonts w:ascii="Times New Roman" w:hAnsi="Times New Roman"/>
              </w:rPr>
            </w:pPr>
            <w:r>
              <w:rPr>
                <w:rFonts w:ascii="Times New Roman" w:hAnsi="Times New Roman"/>
              </w:rPr>
              <w:t xml:space="preserve">Основні фонди є сукупністю матеріально-речових об'єктів і цінностей, що діють в незмінній натуральній формі протягом тривалого періоду. Вони створюють матеріально-технічну основу і умови виробничо-господарської діяльності суб’єкта господарювання </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Сердюк В. Н. [42]</w:t>
            </w:r>
          </w:p>
        </w:tc>
        <w:tc>
          <w:tcPr>
            <w:tcW w:w="7848" w:type="dxa"/>
            <w:tcBorders/>
            <w:shd w:fill="auto" w:val="clear"/>
          </w:tcPr>
          <w:p>
            <w:pPr>
              <w:pStyle w:val="Normal"/>
              <w:rPr>
                <w:rFonts w:ascii="Times New Roman" w:hAnsi="Times New Roman"/>
              </w:rPr>
            </w:pPr>
            <w:r>
              <w:rPr>
                <w:rFonts w:ascii="Times New Roman" w:hAnsi="Times New Roman"/>
              </w:rPr>
              <w:t xml:space="preserve">Основні фонди – засоби праці, ціна яких перевищує встановлений підприємством вартісний ліміт, і термін експлуатації яких перевищує один рік (чи операційний цикл, якщо він більший за рік) в первісній натуральній формі як засоби праці (машини, обладнання, прибори та інструменти) чи як матеріальні умови праці (будівлі, споруди, інвентар) </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Сук Л. К. [45]</w:t>
            </w:r>
          </w:p>
        </w:tc>
        <w:tc>
          <w:tcPr>
            <w:tcW w:w="7848" w:type="dxa"/>
            <w:tcBorders/>
            <w:shd w:fill="auto" w:val="clear"/>
          </w:tcPr>
          <w:p>
            <w:pPr>
              <w:pStyle w:val="Normal"/>
              <w:rPr>
                <w:rFonts w:ascii="Times New Roman" w:hAnsi="Times New Roman"/>
              </w:rPr>
            </w:pPr>
            <w:r>
              <w:rPr>
                <w:rFonts w:ascii="Times New Roman" w:hAnsi="Times New Roman"/>
              </w:rPr>
              <w:t xml:space="preserve">Основні засоби – це сукупність матеріально-речових цінностей, а основні фонди – це джерела формування основних і оборотних коштів. </w:t>
            </w:r>
          </w:p>
        </w:tc>
      </w:tr>
      <w:tr>
        <w:trPr/>
        <w:tc>
          <w:tcPr>
            <w:tcW w:w="1529" w:type="dxa"/>
            <w:tcBorders/>
            <w:shd w:fill="auto" w:val="clear"/>
            <w:vAlign w:val="center"/>
          </w:tcPr>
          <w:p>
            <w:pPr>
              <w:pStyle w:val="Normal"/>
              <w:jc w:val="center"/>
              <w:rPr>
                <w:rFonts w:ascii="Times New Roman" w:hAnsi="Times New Roman"/>
              </w:rPr>
            </w:pPr>
            <w:r>
              <w:rPr>
                <w:rFonts w:ascii="Times New Roman" w:hAnsi="Times New Roman"/>
              </w:rPr>
              <w:t>Сухарський В. С. [46]</w:t>
            </w:r>
          </w:p>
        </w:tc>
        <w:tc>
          <w:tcPr>
            <w:tcW w:w="7848" w:type="dxa"/>
            <w:tcBorders/>
            <w:shd w:fill="auto" w:val="clear"/>
          </w:tcPr>
          <w:p>
            <w:pPr>
              <w:pStyle w:val="Normal"/>
              <w:rPr>
                <w:rFonts w:ascii="Times New Roman" w:hAnsi="Times New Roman"/>
              </w:rPr>
            </w:pPr>
            <w:r>
              <w:rPr>
                <w:rFonts w:ascii="Times New Roman" w:hAnsi="Times New Roman"/>
              </w:rPr>
              <w:t xml:space="preserve">Основні фонди – це «фонди праці» виробничого і не виробничого призначення, що приймають участь у процесі виробництва впродовж багатьох циклів, зберігаючи при цьому свою натуральну форму, і поступово (в міру зношення) переносять свою вартість на вироблену продукцію </w:t>
            </w:r>
          </w:p>
        </w:tc>
      </w:tr>
    </w:tbl>
    <w:p>
      <w:pPr>
        <w:pStyle w:val="Normal"/>
        <w:spacing w:lineRule="auto" w:line="384"/>
        <w:ind w:firstLine="709"/>
        <w:rPr>
          <w:rFonts w:ascii="Times New Roman" w:hAnsi="Times New Roman" w:eastAsia="Calibri" w:eastAsiaTheme="minorHAnsi"/>
          <w:sz w:val="28"/>
          <w:szCs w:val="28"/>
        </w:rPr>
      </w:pPr>
      <w:r>
        <w:rPr>
          <w:rFonts w:eastAsia="Calibri" w:eastAsiaTheme="minorHAnsi" w:ascii="Times New Roman" w:hAnsi="Times New Roman"/>
          <w:sz w:val="28"/>
          <w:szCs w:val="28"/>
        </w:rPr>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Загалом прослідковується</w:t>
      </w:r>
      <w:r>
        <w:rPr>
          <w:rFonts w:ascii="Times New Roman" w:hAnsi="Times New Roman"/>
          <w:spacing w:val="-12"/>
          <w:sz w:val="28"/>
          <w:szCs w:val="28"/>
        </w:rPr>
        <w:t xml:space="preserve"> </w:t>
      </w:r>
      <w:r>
        <w:rPr>
          <w:rFonts w:ascii="Times New Roman" w:hAnsi="Times New Roman"/>
          <w:sz w:val="28"/>
          <w:szCs w:val="28"/>
        </w:rPr>
        <w:t>два</w:t>
      </w:r>
      <w:r>
        <w:rPr>
          <w:rFonts w:ascii="Times New Roman" w:hAnsi="Times New Roman"/>
          <w:spacing w:val="-12"/>
          <w:sz w:val="28"/>
          <w:szCs w:val="28"/>
        </w:rPr>
        <w:t xml:space="preserve"> </w:t>
      </w:r>
      <w:r>
        <w:rPr>
          <w:rFonts w:ascii="Times New Roman" w:hAnsi="Times New Roman"/>
          <w:sz w:val="28"/>
          <w:szCs w:val="28"/>
        </w:rPr>
        <w:t>наступних напрямки у трактуванні понять «основні</w:t>
      </w:r>
      <w:r>
        <w:rPr>
          <w:rFonts w:ascii="Times New Roman" w:hAnsi="Times New Roman"/>
          <w:spacing w:val="-19"/>
          <w:sz w:val="28"/>
          <w:szCs w:val="28"/>
        </w:rPr>
        <w:t xml:space="preserve"> </w:t>
      </w:r>
      <w:r>
        <w:rPr>
          <w:rFonts w:ascii="Times New Roman" w:hAnsi="Times New Roman"/>
          <w:sz w:val="28"/>
          <w:szCs w:val="28"/>
        </w:rPr>
        <w:t>засоби»</w:t>
      </w:r>
      <w:r>
        <w:rPr>
          <w:rFonts w:ascii="Times New Roman" w:hAnsi="Times New Roman"/>
          <w:spacing w:val="-19"/>
          <w:sz w:val="28"/>
          <w:szCs w:val="28"/>
        </w:rPr>
        <w:t xml:space="preserve"> </w:t>
      </w:r>
      <w:r>
        <w:rPr>
          <w:rFonts w:ascii="Times New Roman" w:hAnsi="Times New Roman"/>
          <w:sz w:val="28"/>
          <w:szCs w:val="28"/>
        </w:rPr>
        <w:t>і</w:t>
      </w:r>
      <w:r>
        <w:rPr>
          <w:rFonts w:ascii="Times New Roman" w:hAnsi="Times New Roman"/>
          <w:spacing w:val="-19"/>
          <w:sz w:val="28"/>
          <w:szCs w:val="28"/>
        </w:rPr>
        <w:t xml:space="preserve"> </w:t>
      </w:r>
      <w:r>
        <w:rPr>
          <w:rFonts w:ascii="Times New Roman" w:hAnsi="Times New Roman"/>
          <w:sz w:val="28"/>
          <w:szCs w:val="28"/>
        </w:rPr>
        <w:t>«основні</w:t>
      </w:r>
      <w:r>
        <w:rPr>
          <w:rFonts w:ascii="Times New Roman" w:hAnsi="Times New Roman"/>
          <w:spacing w:val="-19"/>
          <w:sz w:val="28"/>
          <w:szCs w:val="28"/>
        </w:rPr>
        <w:t xml:space="preserve"> </w:t>
      </w:r>
      <w:r>
        <w:rPr>
          <w:rFonts w:ascii="Times New Roman" w:hAnsi="Times New Roman"/>
          <w:sz w:val="28"/>
          <w:szCs w:val="28"/>
        </w:rPr>
        <w:t>фонди»:</w:t>
      </w:r>
      <w:r>
        <w:rPr>
          <w:rFonts w:ascii="Times New Roman" w:hAnsi="Times New Roman"/>
          <w:spacing w:val="-19"/>
          <w:sz w:val="28"/>
          <w:szCs w:val="28"/>
        </w:rPr>
        <w:t xml:space="preserve"> їх </w:t>
      </w:r>
      <w:r>
        <w:rPr>
          <w:rFonts w:ascii="Times New Roman" w:hAnsi="Times New Roman"/>
          <w:sz w:val="28"/>
          <w:szCs w:val="28"/>
        </w:rPr>
        <w:t>ототожнюють; жорстко поляризують ці</w:t>
      </w:r>
      <w:r>
        <w:rPr>
          <w:rFonts w:ascii="Times New Roman" w:hAnsi="Times New Roman"/>
          <w:spacing w:val="-21"/>
          <w:sz w:val="28"/>
          <w:szCs w:val="28"/>
        </w:rPr>
        <w:t xml:space="preserve"> </w:t>
      </w:r>
      <w:r>
        <w:rPr>
          <w:rFonts w:ascii="Times New Roman" w:hAnsi="Times New Roman"/>
          <w:sz w:val="28"/>
          <w:szCs w:val="28"/>
        </w:rPr>
        <w:t>категорії. Зокрема, Кузьмін Дм. Л. [25] наводить наступну порівняльну характеристику цих категорій різними авторами (таблиця 1.2)</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iCs/>
          <w:sz w:val="28"/>
          <w:szCs w:val="28"/>
        </w:rPr>
      </w:pPr>
      <w:r>
        <w:rPr>
          <w:rFonts w:ascii="Times New Roman" w:hAnsi="Times New Roman"/>
          <w:bCs/>
          <w:iCs/>
          <w:sz w:val="28"/>
          <w:szCs w:val="28"/>
        </w:rPr>
        <w:t xml:space="preserve">Таблиця 1.2 </w:t>
      </w:r>
      <w:r>
        <w:rPr>
          <w:rFonts w:ascii="Times New Roman" w:hAnsi="Times New Roman"/>
          <w:sz w:val="28"/>
          <w:szCs w:val="28"/>
        </w:rPr>
        <w:t>–</w:t>
      </w:r>
      <w:r>
        <w:rPr>
          <w:rFonts w:ascii="Times New Roman" w:hAnsi="Times New Roman"/>
          <w:b/>
          <w:iCs/>
          <w:sz w:val="28"/>
          <w:szCs w:val="28"/>
        </w:rPr>
        <w:t xml:space="preserve"> </w:t>
      </w:r>
      <w:r>
        <w:rPr>
          <w:rFonts w:ascii="Times New Roman" w:hAnsi="Times New Roman"/>
          <w:iCs/>
          <w:sz w:val="28"/>
          <w:szCs w:val="28"/>
        </w:rPr>
        <w:t>Порівняльний аналіз поглядів щодо висвітлення категорій: «основні фонди» та «основні засоби»</w:t>
      </w:r>
    </w:p>
    <w:tbl>
      <w:tblPr>
        <w:tblStyle w:val="af0"/>
        <w:tblW w:w="9486" w:type="dxa"/>
        <w:jc w:val="left"/>
        <w:tblInd w:w="0" w:type="dxa"/>
        <w:tblCellMar>
          <w:top w:w="0" w:type="dxa"/>
          <w:left w:w="108" w:type="dxa"/>
          <w:bottom w:w="0" w:type="dxa"/>
          <w:right w:w="108" w:type="dxa"/>
        </w:tblCellMar>
        <w:tblLook w:firstRow="1" w:noVBand="1" w:lastRow="0" w:firstColumn="1" w:lastColumn="0" w:noHBand="0" w:val="04a0"/>
      </w:tblPr>
      <w:tblGrid>
        <w:gridCol w:w="5082"/>
        <w:gridCol w:w="861"/>
        <w:gridCol w:w="984"/>
        <w:gridCol w:w="1360"/>
        <w:gridCol w:w="1199"/>
      </w:tblGrid>
      <w:tr>
        <w:trPr/>
        <w:tc>
          <w:tcPr>
            <w:tcW w:w="5082" w:type="dxa"/>
            <w:vMerge w:val="restart"/>
            <w:tcBorders/>
            <w:shd w:fill="auto" w:val="clear"/>
            <w:vAlign w:val="center"/>
          </w:tcPr>
          <w:p>
            <w:pPr>
              <w:pStyle w:val="Normal"/>
              <w:jc w:val="center"/>
              <w:rPr>
                <w:rFonts w:ascii="Times New Roman" w:hAnsi="Times New Roman"/>
                <w:iCs/>
              </w:rPr>
            </w:pPr>
            <w:r>
              <w:rPr>
                <w:rFonts w:ascii="Times New Roman" w:hAnsi="Times New Roman"/>
                <w:iCs/>
              </w:rPr>
              <w:t>Автор</w:t>
            </w:r>
          </w:p>
        </w:tc>
        <w:tc>
          <w:tcPr>
            <w:tcW w:w="4404" w:type="dxa"/>
            <w:gridSpan w:val="4"/>
            <w:tcBorders/>
            <w:shd w:fill="auto" w:val="clear"/>
            <w:vAlign w:val="center"/>
          </w:tcPr>
          <w:p>
            <w:pPr>
              <w:pStyle w:val="TableParagraph"/>
              <w:jc w:val="center"/>
              <w:rPr>
                <w:rFonts w:ascii="Times New Roman" w:hAnsi="Times New Roman" w:cs="Times New Roman"/>
                <w:iCs/>
                <w:lang w:val="uk-UA"/>
              </w:rPr>
            </w:pPr>
            <w:r>
              <w:rPr>
                <w:rFonts w:cs="Times New Roman" w:ascii="Times New Roman" w:hAnsi="Times New Roman"/>
                <w:iCs/>
                <w:lang w:val="uk-UA"/>
              </w:rPr>
              <w:t>Підходи до визначення</w:t>
            </w:r>
          </w:p>
        </w:tc>
      </w:tr>
      <w:tr>
        <w:trPr/>
        <w:tc>
          <w:tcPr>
            <w:tcW w:w="5082" w:type="dxa"/>
            <w:vMerge w:val="continue"/>
            <w:tcBorders/>
            <w:shd w:fill="auto" w:val="clear"/>
            <w:vAlign w:val="center"/>
          </w:tcPr>
          <w:p>
            <w:pPr>
              <w:pStyle w:val="Normal"/>
              <w:jc w:val="center"/>
              <w:rPr>
                <w:rFonts w:ascii="Times New Roman" w:hAnsi="Times New Roman"/>
                <w:iCs/>
              </w:rPr>
            </w:pPr>
            <w:r>
              <w:rPr>
                <w:rFonts w:ascii="Times New Roman" w:hAnsi="Times New Roman"/>
                <w:iCs/>
              </w:rPr>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Засоби праці</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 xml:space="preserve">Частина майна </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Матеріальні активи</w:t>
            </w:r>
          </w:p>
        </w:tc>
        <w:tc>
          <w:tcPr>
            <w:tcW w:w="1199" w:type="dxa"/>
            <w:tcBorders/>
            <w:shd w:fill="auto" w:val="clear"/>
            <w:vAlign w:val="center"/>
          </w:tcPr>
          <w:p>
            <w:pPr>
              <w:pStyle w:val="TableParagraph"/>
              <w:jc w:val="center"/>
              <w:rPr>
                <w:rFonts w:ascii="Times New Roman" w:hAnsi="Times New Roman" w:cs="Times New Roman"/>
                <w:iCs/>
                <w:lang w:val="uk-UA"/>
              </w:rPr>
            </w:pPr>
            <w:r>
              <w:rPr>
                <w:rFonts w:cs="Times New Roman" w:ascii="Times New Roman" w:hAnsi="Times New Roman"/>
                <w:iCs/>
                <w:lang w:val="uk-UA"/>
              </w:rPr>
              <w:t>Непоточні активи</w:t>
            </w:r>
          </w:p>
        </w:tc>
      </w:tr>
      <w:tr>
        <w:trPr/>
        <w:tc>
          <w:tcPr>
            <w:tcW w:w="5082" w:type="dxa"/>
            <w:tcBorders/>
            <w:shd w:fill="auto" w:val="clear"/>
            <w:vAlign w:val="center"/>
          </w:tcPr>
          <w:p>
            <w:pPr>
              <w:pStyle w:val="Normal"/>
              <w:jc w:val="left"/>
              <w:rPr>
                <w:rFonts w:ascii="Times New Roman" w:hAnsi="Times New Roman"/>
                <w:iCs/>
              </w:rPr>
            </w:pPr>
            <w:r>
              <w:rPr>
                <w:rFonts w:ascii="Times New Roman" w:hAnsi="Times New Roman"/>
                <w:iCs/>
              </w:rPr>
              <w:t>Макаровська Т. П. [29]</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uk-UA"/>
              </w:rPr>
            </w:pPr>
            <w:r>
              <w:rPr>
                <w:rFonts w:cs="Times New Roman" w:ascii="Times New Roman" w:hAnsi="Times New Roman"/>
                <w:iCs/>
                <w:lang w:val="uk-UA"/>
              </w:rPr>
              <w:t>Завадський Й.С., Осовська Г.В., Юшкевич О.О.[16]</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Normal"/>
              <w:jc w:val="left"/>
              <w:rPr>
                <w:rFonts w:ascii="Times New Roman" w:hAnsi="Times New Roman"/>
                <w:iCs/>
              </w:rPr>
            </w:pPr>
            <w:r>
              <w:rPr>
                <w:rFonts w:ascii="Times New Roman" w:hAnsi="Times New Roman"/>
                <w:iCs/>
              </w:rPr>
              <w:t>Кірейцев Г. Г. [20]</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Normal"/>
              <w:jc w:val="left"/>
              <w:rPr>
                <w:rFonts w:ascii="Times New Roman" w:hAnsi="Times New Roman"/>
                <w:iCs/>
              </w:rPr>
            </w:pPr>
            <w:r>
              <w:rPr>
                <w:rFonts w:ascii="Times New Roman" w:hAnsi="Times New Roman"/>
                <w:iCs/>
              </w:rPr>
              <w:t>Загородній А. Г. [18]</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uk-UA"/>
              </w:rPr>
            </w:pPr>
            <w:r>
              <w:rPr>
                <w:rFonts w:cs="Times New Roman" w:ascii="Times New Roman" w:hAnsi="Times New Roman"/>
                <w:iCs/>
                <w:lang w:val="uk-UA"/>
              </w:rPr>
              <w:t>Бутинець Ф. Ф.</w:t>
            </w:r>
            <w:r>
              <w:rPr>
                <w:rFonts w:cs="Times New Roman" w:ascii="Times New Roman" w:hAnsi="Times New Roman"/>
                <w:iCs/>
                <w:spacing w:val="51"/>
                <w:lang w:val="uk-UA"/>
              </w:rPr>
              <w:t xml:space="preserve"> </w:t>
            </w:r>
            <w:r>
              <w:rPr>
                <w:rFonts w:cs="Times New Roman" w:ascii="Times New Roman" w:hAnsi="Times New Roman"/>
                <w:iCs/>
                <w:lang w:val="uk-UA"/>
              </w:rPr>
              <w:t>[6]</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uk-UA"/>
              </w:rPr>
            </w:pPr>
            <w:r>
              <w:rPr>
                <w:rFonts w:cs="Times New Roman" w:ascii="Times New Roman" w:hAnsi="Times New Roman"/>
                <w:iCs/>
                <w:lang w:val="uk-UA"/>
              </w:rPr>
              <w:t>Чебанова Н. В., Василенко Ю. А. [51]</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uk-UA"/>
              </w:rPr>
            </w:pPr>
            <w:r>
              <w:rPr>
                <w:rFonts w:cs="Times New Roman" w:ascii="Times New Roman" w:hAnsi="Times New Roman"/>
                <w:iCs/>
              </w:rPr>
              <w:t>Лишиленко О.</w:t>
            </w:r>
            <w:r>
              <w:rPr>
                <w:rFonts w:cs="Times New Roman" w:ascii="Times New Roman" w:hAnsi="Times New Roman"/>
                <w:iCs/>
                <w:lang w:val="uk-UA"/>
              </w:rPr>
              <w:t xml:space="preserve"> </w:t>
            </w:r>
            <w:r>
              <w:rPr>
                <w:rFonts w:cs="Times New Roman" w:ascii="Times New Roman" w:hAnsi="Times New Roman"/>
                <w:iCs/>
              </w:rPr>
              <w:t>В. [</w:t>
            </w:r>
            <w:r>
              <w:rPr>
                <w:rFonts w:cs="Times New Roman" w:ascii="Times New Roman" w:hAnsi="Times New Roman"/>
                <w:iCs/>
                <w:lang w:val="uk-UA"/>
              </w:rPr>
              <w:t>28</w:t>
            </w:r>
            <w:r>
              <w:rPr>
                <w:rFonts w:cs="Times New Roman" w:ascii="Times New Roman" w:hAnsi="Times New Roman"/>
                <w:iCs/>
              </w:rPr>
              <w:t>]</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rPr>
            </w:pPr>
            <w:r>
              <w:rPr>
                <w:rFonts w:cs="Times New Roman" w:ascii="Times New Roman" w:hAnsi="Times New Roman"/>
                <w:iCs/>
              </w:rPr>
              <w:t>Мочерний С.</w:t>
            </w:r>
            <w:r>
              <w:rPr>
                <w:rFonts w:cs="Times New Roman" w:ascii="Times New Roman" w:hAnsi="Times New Roman"/>
                <w:iCs/>
                <w:lang w:val="uk-UA"/>
              </w:rPr>
              <w:t xml:space="preserve"> </w:t>
            </w:r>
            <w:r>
              <w:rPr>
                <w:rFonts w:cs="Times New Roman" w:ascii="Times New Roman" w:hAnsi="Times New Roman"/>
                <w:iCs/>
              </w:rPr>
              <w:t>В. [</w:t>
            </w:r>
            <w:r>
              <w:rPr>
                <w:rFonts w:cs="Times New Roman" w:ascii="Times New Roman" w:hAnsi="Times New Roman"/>
                <w:iCs/>
                <w:lang w:val="uk-UA"/>
              </w:rPr>
              <w:t>1</w:t>
            </w:r>
            <w:r>
              <w:rPr>
                <w:rFonts w:cs="Times New Roman" w:ascii="Times New Roman" w:hAnsi="Times New Roman"/>
                <w:iCs/>
              </w:rPr>
              <w:t>3]</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ru-RU"/>
              </w:rPr>
            </w:pPr>
            <w:r>
              <w:rPr>
                <w:rFonts w:cs="Times New Roman" w:ascii="Times New Roman" w:hAnsi="Times New Roman"/>
                <w:iCs/>
                <w:lang w:val="uk-UA"/>
              </w:rPr>
              <w:t xml:space="preserve">Голов С. Ф., </w:t>
            </w:r>
            <w:r>
              <w:rPr>
                <w:rFonts w:cs="Times New Roman" w:ascii="Times New Roman" w:hAnsi="Times New Roman"/>
                <w:iCs/>
                <w:lang w:val="ru-RU"/>
              </w:rPr>
              <w:t>Єфіменко В. І. [8]</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lang w:val="uk-UA"/>
              </w:rPr>
            </w:pPr>
            <w:r>
              <w:rPr>
                <w:rFonts w:cs="Times New Roman" w:ascii="Times New Roman" w:hAnsi="Times New Roman"/>
                <w:iCs/>
              </w:rPr>
              <w:t>Цал-Цалко Ю.</w:t>
            </w:r>
            <w:r>
              <w:rPr>
                <w:rFonts w:cs="Times New Roman" w:ascii="Times New Roman" w:hAnsi="Times New Roman"/>
                <w:iCs/>
                <w:lang w:val="uk-UA"/>
              </w:rPr>
              <w:t xml:space="preserve"> </w:t>
            </w:r>
            <w:r>
              <w:rPr>
                <w:rFonts w:cs="Times New Roman" w:ascii="Times New Roman" w:hAnsi="Times New Roman"/>
                <w:iCs/>
              </w:rPr>
              <w:t>С. [</w:t>
            </w:r>
            <w:r>
              <w:rPr>
                <w:rFonts w:cs="Times New Roman" w:ascii="Times New Roman" w:hAnsi="Times New Roman"/>
                <w:iCs/>
                <w:lang w:val="uk-UA"/>
              </w:rPr>
              <w:t>50</w:t>
            </w:r>
            <w:r>
              <w:rPr>
                <w:rFonts w:cs="Times New Roman" w:ascii="Times New Roman" w:hAnsi="Times New Roman"/>
                <w:iCs/>
              </w:rPr>
              <w:t>]</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rPr>
            </w:pPr>
            <w:r>
              <w:rPr>
                <w:rFonts w:cs="Times New Roman" w:ascii="Times New Roman" w:hAnsi="Times New Roman"/>
                <w:iCs/>
              </w:rPr>
              <w:t>Куттер М.</w:t>
            </w:r>
            <w:r>
              <w:rPr>
                <w:rFonts w:cs="Times New Roman" w:ascii="Times New Roman" w:hAnsi="Times New Roman"/>
                <w:iCs/>
                <w:lang w:val="uk-UA"/>
              </w:rPr>
              <w:t xml:space="preserve"> </w:t>
            </w:r>
            <w:r>
              <w:rPr>
                <w:rFonts w:cs="Times New Roman" w:ascii="Times New Roman" w:hAnsi="Times New Roman"/>
                <w:iCs/>
              </w:rPr>
              <w:t>И. [</w:t>
            </w:r>
            <w:r>
              <w:rPr>
                <w:rFonts w:cs="Times New Roman" w:ascii="Times New Roman" w:hAnsi="Times New Roman"/>
                <w:iCs/>
                <w:lang w:val="uk-UA"/>
              </w:rPr>
              <w:t>26</w:t>
            </w:r>
            <w:r>
              <w:rPr>
                <w:rFonts w:cs="Times New Roman" w:ascii="Times New Roman" w:hAnsi="Times New Roman"/>
                <w:iCs/>
              </w:rPr>
              <w:t>]</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r>
        <w:trPr/>
        <w:tc>
          <w:tcPr>
            <w:tcW w:w="5082" w:type="dxa"/>
            <w:tcBorders/>
            <w:shd w:fill="auto" w:val="clear"/>
            <w:vAlign w:val="center"/>
          </w:tcPr>
          <w:p>
            <w:pPr>
              <w:pStyle w:val="TableParagraph"/>
              <w:rPr>
                <w:rFonts w:ascii="Times New Roman" w:hAnsi="Times New Roman" w:cs="Times New Roman"/>
                <w:iCs/>
              </w:rPr>
            </w:pPr>
            <w:r>
              <w:rPr>
                <w:rFonts w:cs="Times New Roman" w:ascii="Times New Roman" w:hAnsi="Times New Roman"/>
                <w:iCs/>
                <w:lang w:val="uk-UA"/>
              </w:rPr>
              <w:t>Ковалев В. В. [21]</w:t>
            </w:r>
          </w:p>
        </w:tc>
        <w:tc>
          <w:tcPr>
            <w:tcW w:w="861"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984"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360" w:type="dxa"/>
            <w:tcBorders/>
            <w:shd w:fill="auto" w:val="clear"/>
            <w:vAlign w:val="center"/>
          </w:tcPr>
          <w:p>
            <w:pPr>
              <w:pStyle w:val="Normal"/>
              <w:jc w:val="center"/>
              <w:rPr>
                <w:rFonts w:ascii="Times New Roman" w:hAnsi="Times New Roman"/>
                <w:iCs/>
              </w:rPr>
            </w:pPr>
            <w:r>
              <w:rPr>
                <w:rFonts w:ascii="Times New Roman" w:hAnsi="Times New Roman"/>
                <w:iCs/>
              </w:rPr>
              <w:t>-</w:t>
            </w:r>
          </w:p>
        </w:tc>
        <w:tc>
          <w:tcPr>
            <w:tcW w:w="1199" w:type="dxa"/>
            <w:tcBorders/>
            <w:shd w:fill="auto" w:val="clear"/>
            <w:vAlign w:val="center"/>
          </w:tcPr>
          <w:p>
            <w:pPr>
              <w:pStyle w:val="Normal"/>
              <w:jc w:val="center"/>
              <w:rPr>
                <w:rFonts w:ascii="Times New Roman" w:hAnsi="Times New Roman"/>
                <w:iCs/>
              </w:rPr>
            </w:pPr>
            <w:r>
              <w:rPr>
                <w:rFonts w:ascii="Times New Roman" w:hAnsi="Times New Roman"/>
                <w:iCs/>
              </w:rPr>
              <w:t>-</w:t>
            </w:r>
          </w:p>
        </w:tc>
      </w:tr>
    </w:tbl>
    <w:p>
      <w:pPr>
        <w:pStyle w:val="Normal"/>
        <w:spacing w:lineRule="auto" w:line="360"/>
        <w:ind w:firstLine="709"/>
        <w:rPr>
          <w:rFonts w:ascii="Times New Roman" w:hAnsi="Times New Roman"/>
          <w:iCs/>
          <w:sz w:val="28"/>
          <w:szCs w:val="28"/>
        </w:rPr>
      </w:pPr>
      <w:r>
        <w:rPr>
          <w:rFonts w:ascii="Times New Roman" w:hAnsi="Times New Roman"/>
          <w:iCs/>
          <w:sz w:val="28"/>
          <w:szCs w:val="28"/>
        </w:rPr>
      </w:r>
    </w:p>
    <w:p>
      <w:pPr>
        <w:pStyle w:val="Normal"/>
        <w:spacing w:lineRule="auto" w:line="384"/>
        <w:ind w:firstLine="709"/>
        <w:rPr>
          <w:rFonts w:ascii="Times New Roman" w:hAnsi="Times New Roman"/>
          <w:sz w:val="28"/>
          <w:szCs w:val="28"/>
        </w:rPr>
      </w:pPr>
      <w:r>
        <w:rPr>
          <w:rFonts w:eastAsia="Calibri" w:ascii="Times New Roman" w:hAnsi="Times New Roman" w:eastAsiaTheme="minorHAnsi"/>
          <w:sz w:val="28"/>
          <w:szCs w:val="28"/>
        </w:rPr>
        <w:t xml:space="preserve">Систематизувавши думки цих авторів, можна стверджувати, що </w:t>
      </w:r>
      <w:r>
        <w:rPr>
          <w:rFonts w:ascii="Times New Roman" w:hAnsi="Times New Roman"/>
          <w:sz w:val="28"/>
          <w:szCs w:val="28"/>
        </w:rPr>
        <w:t xml:space="preserve">«основні фонди» є загальноекономічним поняттям, а «основні засоби» використовуються переважно, як облікова категорія. </w:t>
      </w:r>
    </w:p>
    <w:p>
      <w:pPr>
        <w:pStyle w:val="Normal"/>
        <w:spacing w:lineRule="auto" w:line="384"/>
        <w:ind w:firstLine="709"/>
        <w:rPr>
          <w:rFonts w:ascii="Times New Roman" w:hAnsi="Times New Roman"/>
          <w:sz w:val="28"/>
          <w:szCs w:val="28"/>
        </w:rPr>
      </w:pPr>
      <w:r>
        <w:rPr>
          <w:rFonts w:ascii="Times New Roman" w:hAnsi="Times New Roman"/>
          <w:sz w:val="28"/>
          <w:szCs w:val="28"/>
        </w:rPr>
        <w:t xml:space="preserve">Одночасно слід розмежовувати поняття «основні фонди» і «основний капітал». Горобинська М. В. виділяє такі загальні риси, що притаманні цим категоріям [9]: </w:t>
      </w:r>
    </w:p>
    <w:p>
      <w:pPr>
        <w:pStyle w:val="TableParagraph"/>
        <w:numPr>
          <w:ilvl w:val="0"/>
          <w:numId w:val="6"/>
        </w:numPr>
        <w:tabs>
          <w:tab w:val="clear" w:pos="708"/>
          <w:tab w:val="left" w:pos="276" w:leader="none"/>
          <w:tab w:val="left" w:pos="1276" w:leader="none"/>
        </w:tabs>
        <w:spacing w:lineRule="auto" w:line="360"/>
        <w:ind w:left="0" w:firstLine="709"/>
        <w:jc w:val="both"/>
        <w:rPr>
          <w:rFonts w:ascii="Times New Roman" w:hAnsi="Times New Roman" w:cs="Times New Roman"/>
          <w:sz w:val="28"/>
          <w:lang w:val="uk-UA"/>
        </w:rPr>
      </w:pPr>
      <w:r>
        <w:rPr>
          <w:rFonts w:cs="Times New Roman" w:ascii="Times New Roman" w:hAnsi="Times New Roman"/>
          <w:sz w:val="28"/>
          <w:lang w:val="uk-UA"/>
        </w:rPr>
        <w:t>спосіб обороту вартості передбачає поступове перенесення вартості на</w:t>
      </w:r>
      <w:r>
        <w:rPr>
          <w:rFonts w:cs="Times New Roman" w:ascii="Times New Roman" w:hAnsi="Times New Roman"/>
          <w:spacing w:val="-8"/>
          <w:sz w:val="28"/>
          <w:lang w:val="uk-UA"/>
        </w:rPr>
        <w:t xml:space="preserve"> </w:t>
      </w:r>
      <w:r>
        <w:rPr>
          <w:rFonts w:cs="Times New Roman" w:ascii="Times New Roman" w:hAnsi="Times New Roman"/>
          <w:sz w:val="28"/>
          <w:lang w:val="uk-UA"/>
        </w:rPr>
        <w:t>виготовлену продукцію (роботи чи послуги);</w:t>
      </w:r>
    </w:p>
    <w:p>
      <w:pPr>
        <w:pStyle w:val="TableParagraph"/>
        <w:numPr>
          <w:ilvl w:val="0"/>
          <w:numId w:val="6"/>
        </w:numPr>
        <w:tabs>
          <w:tab w:val="clear" w:pos="708"/>
          <w:tab w:val="left" w:pos="276" w:leader="none"/>
          <w:tab w:val="left" w:pos="1276" w:leader="none"/>
          <w:tab w:val="left" w:pos="2247" w:leader="none"/>
        </w:tabs>
        <w:spacing w:lineRule="auto" w:line="360"/>
        <w:ind w:left="0" w:firstLine="709"/>
        <w:jc w:val="both"/>
        <w:rPr>
          <w:rFonts w:ascii="Times New Roman" w:hAnsi="Times New Roman" w:cs="Times New Roman"/>
          <w:sz w:val="28"/>
          <w:lang w:val="uk-UA"/>
        </w:rPr>
      </w:pPr>
      <w:r>
        <w:rPr>
          <w:rFonts w:cs="Times New Roman" w:ascii="Times New Roman" w:hAnsi="Times New Roman"/>
          <w:sz w:val="28"/>
          <w:lang w:val="uk-UA"/>
        </w:rPr>
        <w:t>двоїста форма оцінки: вартісна і</w:t>
      </w:r>
      <w:r>
        <w:rPr>
          <w:rFonts w:cs="Times New Roman" w:ascii="Times New Roman" w:hAnsi="Times New Roman"/>
          <w:spacing w:val="-7"/>
          <w:sz w:val="28"/>
          <w:lang w:val="uk-UA"/>
        </w:rPr>
        <w:t xml:space="preserve"> </w:t>
      </w:r>
      <w:r>
        <w:rPr>
          <w:rFonts w:cs="Times New Roman" w:ascii="Times New Roman" w:hAnsi="Times New Roman"/>
          <w:sz w:val="28"/>
          <w:lang w:val="uk-UA"/>
        </w:rPr>
        <w:t>натурально-речова;</w:t>
      </w:r>
    </w:p>
    <w:p>
      <w:pPr>
        <w:pStyle w:val="TableParagraph"/>
        <w:numPr>
          <w:ilvl w:val="0"/>
          <w:numId w:val="6"/>
        </w:numPr>
        <w:tabs>
          <w:tab w:val="clear" w:pos="708"/>
          <w:tab w:val="left" w:pos="276" w:leader="none"/>
          <w:tab w:val="left" w:pos="1276" w:leader="none"/>
          <w:tab w:val="left" w:pos="2035" w:leader="none"/>
        </w:tabs>
        <w:spacing w:lineRule="auto" w:line="360"/>
        <w:ind w:left="0" w:firstLine="709"/>
        <w:jc w:val="both"/>
        <w:rPr>
          <w:rFonts w:ascii="Times New Roman" w:hAnsi="Times New Roman" w:cs="Times New Roman"/>
          <w:sz w:val="28"/>
          <w:lang w:val="uk-UA"/>
        </w:rPr>
      </w:pPr>
      <w:r>
        <w:rPr>
          <w:rFonts w:cs="Times New Roman" w:ascii="Times New Roman" w:hAnsi="Times New Roman"/>
          <w:sz w:val="28"/>
          <w:lang w:val="uk-UA"/>
        </w:rPr>
        <w:t>технологічна зрілість – комплексна система</w:t>
      </w:r>
      <w:r>
        <w:rPr>
          <w:rFonts w:cs="Times New Roman" w:ascii="Times New Roman" w:hAnsi="Times New Roman"/>
          <w:spacing w:val="-15"/>
          <w:sz w:val="28"/>
          <w:lang w:val="uk-UA"/>
        </w:rPr>
        <w:t xml:space="preserve"> </w:t>
      </w:r>
      <w:r>
        <w:rPr>
          <w:rFonts w:cs="Times New Roman" w:ascii="Times New Roman" w:hAnsi="Times New Roman"/>
          <w:sz w:val="28"/>
          <w:lang w:val="uk-UA"/>
        </w:rPr>
        <w:t>машин;</w:t>
      </w:r>
    </w:p>
    <w:p>
      <w:pPr>
        <w:pStyle w:val="TableParagraph"/>
        <w:numPr>
          <w:ilvl w:val="0"/>
          <w:numId w:val="6"/>
        </w:numPr>
        <w:tabs>
          <w:tab w:val="clear" w:pos="708"/>
          <w:tab w:val="left" w:pos="276" w:leader="none"/>
          <w:tab w:val="left" w:pos="1276" w:leader="none"/>
          <w:tab w:val="left" w:pos="1421" w:leader="none"/>
        </w:tabs>
        <w:spacing w:lineRule="auto" w:line="360"/>
        <w:ind w:left="0" w:firstLine="709"/>
        <w:jc w:val="both"/>
        <w:rPr>
          <w:rFonts w:ascii="Times New Roman" w:hAnsi="Times New Roman"/>
          <w:sz w:val="28"/>
          <w:szCs w:val="28"/>
          <w:lang w:val="ru-RU"/>
        </w:rPr>
      </w:pPr>
      <w:r>
        <w:rPr>
          <w:rFonts w:cs="Times New Roman" w:ascii="Times New Roman" w:hAnsi="Times New Roman"/>
          <w:sz w:val="28"/>
          <w:lang w:val="uk-UA"/>
        </w:rPr>
        <w:t>планомірність розвитку та циклічність</w:t>
      </w:r>
      <w:r>
        <w:rPr>
          <w:rFonts w:cs="Times New Roman" w:ascii="Times New Roman" w:hAnsi="Times New Roman"/>
          <w:spacing w:val="-4"/>
          <w:sz w:val="28"/>
          <w:lang w:val="uk-UA"/>
        </w:rPr>
        <w:t xml:space="preserve"> </w:t>
      </w:r>
      <w:r>
        <w:rPr>
          <w:rFonts w:cs="Times New Roman" w:ascii="Times New Roman" w:hAnsi="Times New Roman"/>
          <w:sz w:val="28"/>
          <w:lang w:val="uk-UA"/>
        </w:rPr>
        <w:t>оновлення.</w:t>
      </w:r>
    </w:p>
    <w:p>
      <w:pPr>
        <w:pStyle w:val="Style25"/>
        <w:spacing w:lineRule="auto" w:line="360" w:before="0" w:after="0"/>
        <w:ind w:firstLine="709"/>
        <w:rPr>
          <w:rFonts w:ascii="Times New Roman" w:hAnsi="Times New Roman"/>
          <w:sz w:val="36"/>
          <w:szCs w:val="28"/>
        </w:rPr>
      </w:pPr>
      <w:r>
        <w:rPr>
          <w:rFonts w:ascii="Times New Roman" w:hAnsi="Times New Roman"/>
          <w:sz w:val="28"/>
          <w:szCs w:val="28"/>
        </w:rPr>
        <w:t xml:space="preserve">Попри спільні риси існують і певні особливості у їх застосуванні щодо: </w:t>
      </w:r>
      <w:r>
        <w:rPr>
          <w:rFonts w:ascii="Times New Roman" w:hAnsi="Times New Roman"/>
          <w:sz w:val="28"/>
        </w:rPr>
        <w:t xml:space="preserve">форми власності, характеру відтворення, рушійних сил, пріоритетності, орієнтації, характеру економічного зростання та технологічного прогресу </w:t>
      </w:r>
      <w:r>
        <w:rPr>
          <w:rFonts w:ascii="Times New Roman" w:hAnsi="Times New Roman"/>
          <w:sz w:val="28"/>
          <w:szCs w:val="28"/>
        </w:rPr>
        <w:t>(таблиця 1.3) [6, 13, 16, 18, 20 – 21]</w:t>
      </w:r>
      <w:r>
        <w:rPr>
          <w:rFonts w:ascii="Times New Roman" w:hAnsi="Times New Roman"/>
          <w:sz w:val="28"/>
        </w:rPr>
        <w:t>.</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i/>
          <w:i/>
          <w:sz w:val="28"/>
          <w:szCs w:val="28"/>
        </w:rPr>
      </w:pPr>
      <w:r>
        <w:rPr>
          <w:rFonts w:ascii="Times New Roman" w:hAnsi="Times New Roman"/>
          <w:bCs/>
          <w:iCs/>
          <w:sz w:val="28"/>
          <w:szCs w:val="28"/>
        </w:rPr>
        <w:t xml:space="preserve">Таблиця 1.3 </w:t>
      </w:r>
      <w:r>
        <w:rPr>
          <w:rFonts w:ascii="Times New Roman" w:hAnsi="Times New Roman"/>
          <w:sz w:val="28"/>
          <w:szCs w:val="28"/>
        </w:rPr>
        <w:t>–</w:t>
      </w:r>
      <w:r>
        <w:rPr>
          <w:rFonts w:ascii="Times New Roman" w:hAnsi="Times New Roman"/>
          <w:b/>
          <w:iCs/>
          <w:sz w:val="28"/>
          <w:szCs w:val="28"/>
        </w:rPr>
        <w:t xml:space="preserve"> </w:t>
      </w:r>
      <w:r>
        <w:rPr>
          <w:rFonts w:ascii="Times New Roman" w:hAnsi="Times New Roman"/>
          <w:iCs/>
          <w:sz w:val="28"/>
          <w:szCs w:val="28"/>
        </w:rPr>
        <w:t>Особливі ознаки «основних фондів» і «основного капіталу»</w:t>
      </w:r>
    </w:p>
    <w:tbl>
      <w:tblPr>
        <w:tblW w:w="9486" w:type="dxa"/>
        <w:jc w:val="left"/>
        <w:tblInd w:w="0" w:type="dxa"/>
        <w:tblCellMar>
          <w:top w:w="0" w:type="dxa"/>
          <w:left w:w="108" w:type="dxa"/>
          <w:bottom w:w="0" w:type="dxa"/>
          <w:right w:w="108" w:type="dxa"/>
        </w:tblCellMar>
        <w:tblLook w:firstRow="1" w:noVBand="0" w:lastRow="1" w:firstColumn="1" w:lastColumn="1" w:noHBand="0" w:val="01e0"/>
      </w:tblPr>
      <w:tblGrid>
        <w:gridCol w:w="3096"/>
        <w:gridCol w:w="3163"/>
        <w:gridCol w:w="3227"/>
      </w:tblGrid>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Ознака</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У категорії «основні фонди»</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У категорії «основний капітал»</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1. Основоположна форма власності</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державна</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приватна</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2. Характер відтворення на макрорівні</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планомірний</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tabs>
                <w:tab w:val="clear" w:pos="708"/>
                <w:tab w:val="left" w:pos="2136" w:leader="none"/>
                <w:tab w:val="left" w:pos="3081" w:leader="none"/>
                <w:tab w:val="left" w:pos="4281" w:leader="none"/>
              </w:tabs>
              <w:jc w:val="center"/>
              <w:rPr>
                <w:rFonts w:ascii="Times New Roman" w:hAnsi="Times New Roman" w:cs="Times New Roman"/>
                <w:lang w:val="uk-UA"/>
              </w:rPr>
            </w:pPr>
            <w:r>
              <w:rPr>
                <w:rFonts w:cs="Times New Roman" w:ascii="Times New Roman" w:hAnsi="Times New Roman"/>
                <w:lang w:val="uk-UA"/>
              </w:rPr>
              <w:t>ринковий</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3. Рушійний імператив</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план, економія</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конкуренція, прибуток</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4. Пріоритет</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натурально-речової форми</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вартісної форми</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5. Орієнтація</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на максимальне використання виробничих потужностей</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на посилення і закріплення положення на ринку</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6.</w:t>
            </w:r>
            <w:r>
              <w:rPr>
                <w:rFonts w:cs="Times New Roman" w:ascii="Times New Roman" w:hAnsi="Times New Roman"/>
                <w:spacing w:val="6"/>
                <w:lang w:val="uk-UA"/>
              </w:rPr>
              <w:t xml:space="preserve"> </w:t>
            </w:r>
            <w:r>
              <w:rPr>
                <w:rFonts w:cs="Times New Roman" w:ascii="Times New Roman" w:hAnsi="Times New Roman"/>
                <w:spacing w:val="-3"/>
                <w:lang w:val="uk-UA"/>
              </w:rPr>
              <w:t xml:space="preserve">Характер </w:t>
            </w:r>
            <w:r>
              <w:rPr>
                <w:rFonts w:cs="Times New Roman" w:ascii="Times New Roman" w:hAnsi="Times New Roman"/>
                <w:lang w:val="uk-UA"/>
              </w:rPr>
              <w:t>економічного зростання і використання</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екстенсивний</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tabs>
                <w:tab w:val="clear" w:pos="708"/>
                <w:tab w:val="left" w:pos="1541" w:leader="none"/>
                <w:tab w:val="left" w:pos="2798" w:leader="none"/>
                <w:tab w:val="left" w:pos="3235" w:leader="none"/>
              </w:tabs>
              <w:jc w:val="center"/>
              <w:rPr>
                <w:rFonts w:ascii="Times New Roman" w:hAnsi="Times New Roman" w:cs="Times New Roman"/>
                <w:lang w:val="uk-UA"/>
              </w:rPr>
            </w:pPr>
            <w:r>
              <w:rPr>
                <w:rFonts w:cs="Times New Roman" w:ascii="Times New Roman" w:hAnsi="Times New Roman"/>
                <w:lang w:val="uk-UA"/>
              </w:rPr>
              <w:t>інтенсивний</w:t>
            </w:r>
          </w:p>
        </w:tc>
      </w:tr>
      <w:tr>
        <w:trPr>
          <w:trHeight w:val="20" w:hRule="atLeast"/>
        </w:trPr>
        <w:tc>
          <w:tcPr>
            <w:tcW w:w="3096"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rPr>
                <w:rFonts w:ascii="Times New Roman" w:hAnsi="Times New Roman" w:cs="Times New Roman"/>
                <w:lang w:val="uk-UA"/>
              </w:rPr>
            </w:pPr>
            <w:r>
              <w:rPr>
                <w:rFonts w:cs="Times New Roman" w:ascii="Times New Roman" w:hAnsi="Times New Roman"/>
                <w:lang w:val="uk-UA"/>
              </w:rPr>
              <w:t>7. Технологічний прогрес</w:t>
            </w:r>
          </w:p>
        </w:tc>
        <w:tc>
          <w:tcPr>
            <w:tcW w:w="3163"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має фондомісткий характер</w:t>
            </w:r>
          </w:p>
        </w:tc>
        <w:tc>
          <w:tcPr>
            <w:tcW w:w="3227" w:type="dxa"/>
            <w:tcBorders>
              <w:top w:val="single" w:sz="4" w:space="0" w:color="000000"/>
              <w:left w:val="single" w:sz="4" w:space="0" w:color="000000"/>
              <w:bottom w:val="single" w:sz="4" w:space="0" w:color="000000"/>
              <w:right w:val="single" w:sz="4" w:space="0" w:color="000000"/>
            </w:tcBorders>
            <w:shd w:fill="auto" w:val="clear"/>
            <w:vAlign w:val="center"/>
          </w:tcPr>
          <w:p>
            <w:pPr>
              <w:pStyle w:val="TableParagraph"/>
              <w:jc w:val="center"/>
              <w:rPr>
                <w:rFonts w:ascii="Times New Roman" w:hAnsi="Times New Roman" w:cs="Times New Roman"/>
                <w:lang w:val="uk-UA"/>
              </w:rPr>
            </w:pPr>
            <w:r>
              <w:rPr>
                <w:rFonts w:cs="Times New Roman" w:ascii="Times New Roman" w:hAnsi="Times New Roman"/>
                <w:lang w:val="uk-UA"/>
              </w:rPr>
              <w:t>капіталозберігаючий характер</w:t>
            </w:r>
          </w:p>
        </w:tc>
      </w:tr>
    </w:tbl>
    <w:p>
      <w:pPr>
        <w:pStyle w:val="Style25"/>
        <w:spacing w:lineRule="auto" w:line="360" w:before="0" w:after="0"/>
        <w:ind w:firstLine="709"/>
        <w:rPr>
          <w:rFonts w:ascii="Times New Roman" w:hAnsi="Times New Roman"/>
          <w:sz w:val="28"/>
          <w:szCs w:val="28"/>
        </w:rPr>
      </w:pPr>
      <w:r>
        <w:rPr>
          <w:rFonts w:ascii="Times New Roman" w:hAnsi="Times New Roman"/>
          <w:sz w:val="28"/>
          <w:szCs w:val="28"/>
        </w:rPr>
      </w:r>
    </w:p>
    <w:p>
      <w:pPr>
        <w:pStyle w:val="Normal"/>
        <w:spacing w:lineRule="auto" w:line="384"/>
        <w:ind w:firstLine="709"/>
        <w:rPr>
          <w:rFonts w:ascii="Times New Roman" w:hAnsi="Times New Roman" w:eastAsia="Calibri" w:eastAsiaTheme="minorHAnsi"/>
          <w:sz w:val="28"/>
          <w:szCs w:val="28"/>
        </w:rPr>
      </w:pPr>
      <w:r>
        <w:rPr>
          <w:rFonts w:eastAsia="Calibri" w:ascii="Times New Roman" w:hAnsi="Times New Roman" w:eastAsiaTheme="minorHAnsi"/>
          <w:sz w:val="28"/>
          <w:szCs w:val="28"/>
        </w:rPr>
        <w:t>Отже, найбільш влучне визначення категорії «основні фонди» таке: «основні фонди – це матеріальні активи, придатні для використання у процесі господарської діяльності, які втрачають свою вартість частково, шляхом перенесення її на знов створений продукт, очікуваний термін використання яких більше одного року (або операційного циклу)» [52].</w:t>
      </w:r>
    </w:p>
    <w:p>
      <w:pPr>
        <w:pStyle w:val="Normal"/>
        <w:spacing w:lineRule="auto" w:line="384"/>
        <w:ind w:firstLine="709"/>
        <w:rPr>
          <w:rFonts w:ascii="Times New Roman" w:hAnsi="Times New Roman"/>
          <w:sz w:val="28"/>
          <w:szCs w:val="28"/>
        </w:rPr>
      </w:pPr>
      <w:r>
        <w:rPr>
          <w:rFonts w:ascii="Times New Roman" w:hAnsi="Times New Roman"/>
          <w:sz w:val="28"/>
          <w:szCs w:val="28"/>
        </w:rPr>
        <w:t xml:space="preserve">Зважаючи на значне різноманіття основних фондів їх варто класифікувати [25, 32, 36, 43, 48] (таблиця 1.4). </w:t>
      </w:r>
    </w:p>
    <w:p>
      <w:pPr>
        <w:pStyle w:val="Normal"/>
        <w:spacing w:lineRule="auto" w:line="384"/>
        <w:ind w:firstLine="709"/>
        <w:rPr>
          <w:rFonts w:ascii="Times New Roman" w:hAnsi="Times New Roman"/>
          <w:sz w:val="28"/>
          <w:szCs w:val="28"/>
        </w:rPr>
      </w:pPr>
      <w:r>
        <w:rPr>
          <w:rFonts w:ascii="Times New Roman" w:hAnsi="Times New Roman"/>
          <w:sz w:val="28"/>
          <w:szCs w:val="28"/>
        </w:rPr>
      </w:r>
    </w:p>
    <w:p>
      <w:pPr>
        <w:pStyle w:val="Normal"/>
        <w:spacing w:lineRule="auto" w:line="384"/>
        <w:ind w:firstLine="709"/>
        <w:rPr>
          <w:rFonts w:ascii="Times New Roman" w:hAnsi="Times New Roman"/>
          <w:sz w:val="28"/>
          <w:szCs w:val="28"/>
        </w:rPr>
      </w:pPr>
      <w:r>
        <w:rPr>
          <w:rFonts w:ascii="Times New Roman" w:hAnsi="Times New Roman"/>
          <w:sz w:val="28"/>
          <w:szCs w:val="28"/>
        </w:rPr>
        <w:t>Таблиця 1.4 –</w:t>
      </w:r>
      <w:r>
        <w:rPr>
          <w:rFonts w:ascii="Times New Roman" w:hAnsi="Times New Roman"/>
          <w:b/>
          <w:iCs/>
          <w:sz w:val="28"/>
          <w:szCs w:val="28"/>
        </w:rPr>
        <w:t xml:space="preserve"> </w:t>
      </w:r>
      <w:r>
        <w:rPr>
          <w:rFonts w:ascii="Times New Roman" w:hAnsi="Times New Roman"/>
          <w:sz w:val="28"/>
          <w:szCs w:val="28"/>
        </w:rPr>
        <w:t xml:space="preserve">Класифікація основних фондів за основними ознаками </w:t>
      </w:r>
    </w:p>
    <w:tbl>
      <w:tblPr>
        <w:tblStyle w:val="af0"/>
        <w:tblW w:w="9486" w:type="dxa"/>
        <w:jc w:val="left"/>
        <w:tblInd w:w="0" w:type="dxa"/>
        <w:tblCellMar>
          <w:top w:w="0" w:type="dxa"/>
          <w:left w:w="108" w:type="dxa"/>
          <w:bottom w:w="0" w:type="dxa"/>
          <w:right w:w="108" w:type="dxa"/>
        </w:tblCellMar>
        <w:tblLook w:firstRow="1" w:noVBand="1" w:lastRow="0" w:firstColumn="1" w:lastColumn="0" w:noHBand="0" w:val="04a0"/>
      </w:tblPr>
      <w:tblGrid>
        <w:gridCol w:w="2749"/>
        <w:gridCol w:w="6736"/>
      </w:tblGrid>
      <w:tr>
        <w:trPr/>
        <w:tc>
          <w:tcPr>
            <w:tcW w:w="2749" w:type="dxa"/>
            <w:tcBorders/>
            <w:shd w:fill="auto" w:val="clear"/>
          </w:tcPr>
          <w:p>
            <w:pPr>
              <w:pStyle w:val="Normal"/>
              <w:jc w:val="center"/>
              <w:rPr>
                <w:rFonts w:ascii="Times New Roman" w:hAnsi="Times New Roman"/>
                <w:szCs w:val="28"/>
              </w:rPr>
            </w:pPr>
            <w:r>
              <w:rPr>
                <w:rFonts w:ascii="Times New Roman" w:hAnsi="Times New Roman"/>
                <w:szCs w:val="28"/>
              </w:rPr>
              <w:t>Класифікаційна ознака</w:t>
            </w:r>
          </w:p>
        </w:tc>
        <w:tc>
          <w:tcPr>
            <w:tcW w:w="6736" w:type="dxa"/>
            <w:tcBorders/>
            <w:shd w:fill="auto" w:val="clear"/>
          </w:tcPr>
          <w:p>
            <w:pPr>
              <w:pStyle w:val="Normal"/>
              <w:jc w:val="center"/>
              <w:rPr>
                <w:rFonts w:ascii="Times New Roman" w:hAnsi="Times New Roman"/>
                <w:szCs w:val="28"/>
              </w:rPr>
            </w:pPr>
            <w:r>
              <w:rPr>
                <w:rFonts w:ascii="Times New Roman" w:hAnsi="Times New Roman"/>
                <w:szCs w:val="28"/>
              </w:rPr>
              <w:t>Види основних фондів</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функціональним призначенням</w:t>
            </w:r>
          </w:p>
        </w:tc>
        <w:tc>
          <w:tcPr>
            <w:tcW w:w="6736" w:type="dxa"/>
            <w:tcBorders/>
            <w:shd w:fill="auto" w:val="clear"/>
          </w:tcPr>
          <w:p>
            <w:pPr>
              <w:pStyle w:val="Normal"/>
              <w:rPr>
                <w:rFonts w:ascii="Times New Roman" w:hAnsi="Times New Roman"/>
                <w:szCs w:val="28"/>
              </w:rPr>
            </w:pPr>
            <w:r>
              <w:rPr>
                <w:rFonts w:ascii="Times New Roman" w:hAnsi="Times New Roman"/>
                <w:szCs w:val="28"/>
              </w:rPr>
              <w:t>виробничі основні фонди, що безпосередньо беруть участь виробничому процесі; основні фонди, що сприяють його здійсненню (будови, споруди, силові машини і обладнання, робочі машини і обладнання)</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галузями народного господарства</w:t>
            </w:r>
          </w:p>
        </w:tc>
        <w:tc>
          <w:tcPr>
            <w:tcW w:w="6736" w:type="dxa"/>
            <w:tcBorders/>
            <w:shd w:fill="auto" w:val="clear"/>
          </w:tcPr>
          <w:p>
            <w:pPr>
              <w:pStyle w:val="Normal"/>
              <w:rPr>
                <w:rFonts w:ascii="Times New Roman" w:hAnsi="Times New Roman"/>
                <w:szCs w:val="28"/>
              </w:rPr>
            </w:pPr>
            <w:r>
              <w:rPr>
                <w:rFonts w:ascii="Times New Roman" w:hAnsi="Times New Roman"/>
                <w:szCs w:val="28"/>
              </w:rPr>
              <w:t>основні фонди промисловість, будівництво, сільське господарство, транспорт, зв'язок</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видами на промислових підприємствах</w:t>
            </w:r>
          </w:p>
        </w:tc>
        <w:tc>
          <w:tcPr>
            <w:tcW w:w="6736" w:type="dxa"/>
            <w:tcBorders/>
            <w:shd w:fill="auto" w:val="clear"/>
          </w:tcPr>
          <w:p>
            <w:pPr>
              <w:pStyle w:val="Normal"/>
              <w:rPr>
                <w:rFonts w:ascii="Times New Roman" w:hAnsi="Times New Roman"/>
                <w:szCs w:val="28"/>
              </w:rPr>
            </w:pPr>
            <w:r>
              <w:rPr>
                <w:rFonts w:ascii="Times New Roman" w:hAnsi="Times New Roman"/>
                <w:szCs w:val="28"/>
              </w:rPr>
              <w:t>промислово-виробничі основні фонди, виробничі основні фонди інших галузей народного господарства і невиробничі.</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Виробничі основні фонди за складом</w:t>
            </w:r>
          </w:p>
        </w:tc>
        <w:tc>
          <w:tcPr>
            <w:tcW w:w="6736" w:type="dxa"/>
            <w:tcBorders/>
            <w:shd w:fill="auto" w:val="clear"/>
          </w:tcPr>
          <w:p>
            <w:pPr>
              <w:pStyle w:val="Normal"/>
              <w:rPr>
                <w:rFonts w:ascii="Times New Roman" w:hAnsi="Times New Roman"/>
                <w:szCs w:val="28"/>
              </w:rPr>
            </w:pPr>
            <w:r>
              <w:rPr>
                <w:rFonts w:ascii="Times New Roman" w:hAnsi="Times New Roman"/>
                <w:szCs w:val="28"/>
              </w:rPr>
              <w:t>будови, споруди, передавальні пристрої, машини і устаткування, робочі машини і обладнання, вимірювальні й регулюючі прилади, лабораторне устаткування, обчислювальна техніка, інші машини і обладнання, транспортні фонди, інструмент, виробничий інвентар і приладдя, господарський інвентар, робочі і продуктивні тварини, багаторічні, меліорація земель і водойми та інші основні фонди</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відношенням до виробничого процесу</w:t>
            </w:r>
          </w:p>
        </w:tc>
        <w:tc>
          <w:tcPr>
            <w:tcW w:w="6736" w:type="dxa"/>
            <w:tcBorders/>
            <w:shd w:fill="auto" w:val="clear"/>
          </w:tcPr>
          <w:p>
            <w:pPr>
              <w:pStyle w:val="Normal"/>
              <w:rPr>
                <w:rFonts w:ascii="Times New Roman" w:hAnsi="Times New Roman"/>
                <w:szCs w:val="28"/>
              </w:rPr>
            </w:pPr>
            <w:r>
              <w:rPr>
                <w:rFonts w:ascii="Times New Roman" w:hAnsi="Times New Roman"/>
                <w:szCs w:val="28"/>
              </w:rPr>
              <w:t>активна частина: машини, обладнання, транспортні фонди; пасивна частина: будови, споруди, передавальні пристрої та інші основні фонди</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використанням</w:t>
            </w:r>
          </w:p>
        </w:tc>
        <w:tc>
          <w:tcPr>
            <w:tcW w:w="6736" w:type="dxa"/>
            <w:tcBorders/>
            <w:shd w:fill="auto" w:val="clear"/>
          </w:tcPr>
          <w:p>
            <w:pPr>
              <w:pStyle w:val="Normal"/>
              <w:rPr>
                <w:rFonts w:ascii="Times New Roman" w:hAnsi="Times New Roman"/>
                <w:szCs w:val="28"/>
              </w:rPr>
            </w:pPr>
            <w:r>
              <w:rPr>
                <w:rFonts w:ascii="Times New Roman" w:hAnsi="Times New Roman"/>
                <w:szCs w:val="28"/>
              </w:rPr>
              <w:t>діючі - ті, що використовуються у господарській діяльності; недіючі (тимчасово законсервовані); запасні (устаткування, що знаходиться в резерві і призначене для заміни об'єктів основних фондів)</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функціями, які основні фонди виконують у виробничому процесі</w:t>
            </w:r>
          </w:p>
        </w:tc>
        <w:tc>
          <w:tcPr>
            <w:tcW w:w="6736" w:type="dxa"/>
            <w:tcBorders/>
            <w:shd w:fill="auto" w:val="clear"/>
          </w:tcPr>
          <w:p>
            <w:pPr>
              <w:pStyle w:val="Normal"/>
              <w:rPr>
                <w:rFonts w:ascii="Times New Roman" w:hAnsi="Times New Roman"/>
                <w:szCs w:val="28"/>
              </w:rPr>
            </w:pPr>
            <w:r>
              <w:rPr>
                <w:rFonts w:ascii="Times New Roman" w:hAnsi="Times New Roman"/>
                <w:szCs w:val="28"/>
              </w:rPr>
              <w:t>основні фонди, які безпосередньо беруть участь у виготовлені продукції (робочі машини і устаткування, виробничий і господарський інвентар); основні фонди, які допомагають у виготовленні продукції (вимірювальні і регулюючі прилади; обчислювальна техніка та лабораторне устаткування); основні фонди, які сприяють процесу виробництва, тобто ті, які не беруть безпосередньої участі і не допомагають виробництву, а лише створюють необхідні умови для нього (будівлі, споруди, транспортні фонди).</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техніко-економічними показниками основні фонди виробничого призначення</w:t>
            </w:r>
          </w:p>
        </w:tc>
        <w:tc>
          <w:tcPr>
            <w:tcW w:w="6736" w:type="dxa"/>
            <w:tcBorders/>
            <w:shd w:fill="auto" w:val="clear"/>
          </w:tcPr>
          <w:p>
            <w:pPr>
              <w:pStyle w:val="Normal"/>
              <w:rPr>
                <w:rFonts w:ascii="Times New Roman" w:hAnsi="Times New Roman"/>
                <w:szCs w:val="28"/>
              </w:rPr>
            </w:pPr>
            <w:r>
              <w:rPr>
                <w:rFonts w:ascii="Times New Roman" w:hAnsi="Times New Roman"/>
                <w:szCs w:val="28"/>
              </w:rPr>
              <w:t>нова техніка, яка розроблена на основі наукових винаходів; нова техніка, розроблена на базі діючої техніки та технології, проте зі значним покращенням техніко-економічних показників; техніка, розроблена на базі модернізації вже діючої техніки.</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техніко-економічними показниками активна частина основних фондів</w:t>
            </w:r>
          </w:p>
        </w:tc>
        <w:tc>
          <w:tcPr>
            <w:tcW w:w="6736" w:type="dxa"/>
            <w:tcBorders/>
            <w:shd w:fill="auto" w:val="clear"/>
          </w:tcPr>
          <w:p>
            <w:pPr>
              <w:pStyle w:val="Normal"/>
              <w:rPr>
                <w:rFonts w:ascii="Times New Roman" w:hAnsi="Times New Roman"/>
                <w:szCs w:val="28"/>
              </w:rPr>
            </w:pPr>
            <w:r>
              <w:rPr>
                <w:rFonts w:ascii="Times New Roman" w:hAnsi="Times New Roman"/>
                <w:szCs w:val="28"/>
              </w:rPr>
              <w:t>якщо техніко-економічні показники відповідають передовим науково-технологічним розробкам,; якщо техніко-економічні показники дещо покращені в порівнянні з існуючою технікою; якщо техніко-економічні показники відповідають всім необхідним технологічним стандартам; якщо техніко-економічні показники не відповідають необхідним умовам (потребують модернізації); якщо техніко-економічні показники далекі від чинних норм і стандартів (потребують реконструкції).</w:t>
            </w:r>
          </w:p>
        </w:tc>
      </w:tr>
      <w:tr>
        <w:trPr/>
        <w:tc>
          <w:tcPr>
            <w:tcW w:w="2749" w:type="dxa"/>
            <w:tcBorders/>
            <w:shd w:fill="auto" w:val="clear"/>
            <w:vAlign w:val="center"/>
          </w:tcPr>
          <w:p>
            <w:pPr>
              <w:pStyle w:val="Normal"/>
              <w:jc w:val="center"/>
              <w:rPr>
                <w:rFonts w:ascii="Times New Roman" w:hAnsi="Times New Roman"/>
                <w:szCs w:val="28"/>
              </w:rPr>
            </w:pPr>
            <w:r>
              <w:rPr>
                <w:rFonts w:ascii="Times New Roman" w:hAnsi="Times New Roman"/>
                <w:szCs w:val="28"/>
              </w:rPr>
              <w:t>За джерелами отримання</w:t>
            </w:r>
          </w:p>
        </w:tc>
        <w:tc>
          <w:tcPr>
            <w:tcW w:w="6736" w:type="dxa"/>
            <w:tcBorders/>
            <w:shd w:fill="auto" w:val="clear"/>
          </w:tcPr>
          <w:p>
            <w:pPr>
              <w:pStyle w:val="Normal"/>
              <w:rPr>
                <w:rFonts w:ascii="Times New Roman" w:hAnsi="Times New Roman"/>
                <w:szCs w:val="28"/>
              </w:rPr>
            </w:pPr>
            <w:r>
              <w:rPr>
                <w:rFonts w:ascii="Times New Roman" w:hAnsi="Times New Roman"/>
                <w:szCs w:val="28"/>
              </w:rPr>
              <w:t>власні; придбані, виготовлені, орендовані</w:t>
            </w:r>
          </w:p>
        </w:tc>
      </w:tr>
    </w:tbl>
    <w:p>
      <w:pPr>
        <w:pStyle w:val="Normal"/>
        <w:spacing w:lineRule="auto" w:line="384"/>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Для об’єктивного визначення вартості основних фондів, їх динаміки і структури, показників ефективності використання варто вірно надати оцінку основних фондів. Вона передбачає грошове вираження їх вартості залежно [32]: </w:t>
      </w:r>
    </w:p>
    <w:p>
      <w:pPr>
        <w:pStyle w:val="Normal"/>
        <w:numPr>
          <w:ilvl w:val="0"/>
          <w:numId w:val="2"/>
        </w:numPr>
        <w:spacing w:lineRule="auto" w:line="360"/>
        <w:ind w:left="0" w:firstLine="709"/>
        <w:rPr>
          <w:rFonts w:ascii="Times New Roman" w:hAnsi="Times New Roman"/>
          <w:sz w:val="28"/>
          <w:szCs w:val="28"/>
        </w:rPr>
      </w:pPr>
      <w:r>
        <w:rPr>
          <w:rFonts w:ascii="Times New Roman" w:hAnsi="Times New Roman"/>
          <w:sz w:val="28"/>
          <w:szCs w:val="28"/>
        </w:rPr>
        <w:t>від моменту проведення оцінки основних фондів:</w:t>
      </w:r>
    </w:p>
    <w:p>
      <w:pPr>
        <w:pStyle w:val="Normal"/>
        <w:numPr>
          <w:ilvl w:val="0"/>
          <w:numId w:val="3"/>
        </w:numPr>
        <w:spacing w:lineRule="auto" w:line="360"/>
        <w:ind w:firstLine="1276"/>
        <w:rPr>
          <w:rFonts w:ascii="Times New Roman" w:hAnsi="Times New Roman"/>
          <w:sz w:val="28"/>
          <w:szCs w:val="28"/>
        </w:rPr>
      </w:pPr>
      <w:r>
        <w:rPr>
          <w:rFonts w:ascii="Times New Roman" w:hAnsi="Times New Roman"/>
          <w:sz w:val="28"/>
          <w:szCs w:val="28"/>
        </w:rPr>
        <w:t xml:space="preserve">первісна (початкова) – це фактична їх вартість на момент введення в дію чи придбання; </w:t>
      </w:r>
    </w:p>
    <w:p>
      <w:pPr>
        <w:pStyle w:val="Normal"/>
        <w:numPr>
          <w:ilvl w:val="0"/>
          <w:numId w:val="3"/>
        </w:numPr>
        <w:spacing w:lineRule="auto" w:line="360"/>
        <w:ind w:firstLine="1276"/>
        <w:rPr>
          <w:rFonts w:ascii="Times New Roman" w:hAnsi="Times New Roman"/>
          <w:sz w:val="28"/>
          <w:szCs w:val="28"/>
        </w:rPr>
      </w:pPr>
      <w:r>
        <w:rPr>
          <w:rFonts w:ascii="Times New Roman" w:hAnsi="Times New Roman"/>
          <w:sz w:val="28"/>
          <w:szCs w:val="28"/>
        </w:rPr>
        <w:t xml:space="preserve">відновна вартість – це вартість їх відтворення за сучасних умов господарювання; </w:t>
      </w:r>
    </w:p>
    <w:p>
      <w:pPr>
        <w:pStyle w:val="Normal"/>
        <w:numPr>
          <w:ilvl w:val="0"/>
          <w:numId w:val="4"/>
        </w:numPr>
        <w:spacing w:lineRule="auto" w:line="360"/>
        <w:ind w:left="0" w:firstLine="709"/>
        <w:rPr>
          <w:rFonts w:ascii="Times New Roman" w:hAnsi="Times New Roman"/>
          <w:sz w:val="28"/>
          <w:szCs w:val="28"/>
        </w:rPr>
      </w:pPr>
      <w:r>
        <w:rPr>
          <w:rFonts w:ascii="Times New Roman" w:hAnsi="Times New Roman"/>
          <w:sz w:val="28"/>
          <w:szCs w:val="28"/>
        </w:rPr>
        <w:t xml:space="preserve">від стану основних фондів: </w:t>
      </w:r>
    </w:p>
    <w:p>
      <w:pPr>
        <w:pStyle w:val="Normal"/>
        <w:numPr>
          <w:ilvl w:val="0"/>
          <w:numId w:val="5"/>
        </w:numPr>
        <w:spacing w:lineRule="auto" w:line="360"/>
        <w:ind w:left="567" w:firstLine="709"/>
        <w:rPr>
          <w:rFonts w:ascii="Times New Roman" w:hAnsi="Times New Roman"/>
          <w:sz w:val="28"/>
          <w:szCs w:val="28"/>
        </w:rPr>
      </w:pPr>
      <w:r>
        <w:rPr>
          <w:rFonts w:ascii="Times New Roman" w:hAnsi="Times New Roman"/>
          <w:sz w:val="28"/>
          <w:szCs w:val="28"/>
        </w:rPr>
        <w:t>повна –</w:t>
      </w:r>
      <w:r>
        <w:rPr>
          <w:rFonts w:ascii="Times New Roman" w:hAnsi="Times New Roman"/>
          <w:b/>
          <w:iCs/>
          <w:sz w:val="28"/>
          <w:szCs w:val="28"/>
        </w:rPr>
        <w:t xml:space="preserve"> </w:t>
      </w:r>
      <w:r>
        <w:rPr>
          <w:rFonts w:ascii="Times New Roman" w:hAnsi="Times New Roman"/>
          <w:sz w:val="28"/>
          <w:szCs w:val="28"/>
        </w:rPr>
        <w:t xml:space="preserve">це їх вартість у актуальному, не спрацьованому стані; </w:t>
      </w:r>
    </w:p>
    <w:p>
      <w:pPr>
        <w:pStyle w:val="Normal"/>
        <w:numPr>
          <w:ilvl w:val="0"/>
          <w:numId w:val="5"/>
        </w:numPr>
        <w:spacing w:lineRule="auto" w:line="360"/>
        <w:ind w:firstLine="1276"/>
        <w:rPr>
          <w:rFonts w:ascii="Times New Roman" w:hAnsi="Times New Roman"/>
          <w:sz w:val="28"/>
          <w:szCs w:val="28"/>
        </w:rPr>
      </w:pPr>
      <w:r>
        <w:rPr>
          <w:rFonts w:ascii="Times New Roman" w:hAnsi="Times New Roman"/>
          <w:sz w:val="28"/>
          <w:szCs w:val="28"/>
        </w:rPr>
        <w:t>залишкова вартість –</w:t>
      </w:r>
      <w:r>
        <w:rPr>
          <w:rFonts w:ascii="Times New Roman" w:hAnsi="Times New Roman"/>
          <w:b/>
          <w:iCs/>
          <w:sz w:val="28"/>
          <w:szCs w:val="28"/>
        </w:rPr>
        <w:t xml:space="preserve"> </w:t>
      </w:r>
      <w:r>
        <w:rPr>
          <w:rFonts w:ascii="Times New Roman" w:hAnsi="Times New Roman"/>
          <w:sz w:val="28"/>
          <w:szCs w:val="28"/>
        </w:rPr>
        <w:t>реально існуюча їх вартість, яка визначається різницею між повною первісною (відновною) вартістю та сумою нарахованого зносу основних фондів.</w:t>
      </w:r>
    </w:p>
    <w:p>
      <w:pPr>
        <w:pStyle w:val="Normal"/>
        <w:spacing w:lineRule="auto" w:line="360"/>
        <w:ind w:firstLine="709"/>
        <w:rPr>
          <w:rFonts w:ascii="Times New Roman" w:hAnsi="Times New Roman"/>
          <w:sz w:val="28"/>
          <w:szCs w:val="28"/>
        </w:rPr>
      </w:pPr>
      <w:r>
        <w:rPr>
          <w:rFonts w:ascii="Times New Roman" w:hAnsi="Times New Roman"/>
          <w:sz w:val="28"/>
          <w:szCs w:val="28"/>
        </w:rPr>
        <w:t>Таким чином, під категорією «основні фонди» будемо розуміти ті активи, які суб’єкт господарювання утримує для використання їх у процесі виробництва (поставки товарів, виконанні робіт, наданні послуг), здачі в оренду іншим особам чи для інших функцій, очікуваний термін корисної експлуатації яких більше одного року.</w:t>
      </w:r>
    </w:p>
    <w:p>
      <w:pPr>
        <w:pStyle w:val="Normal"/>
        <w:spacing w:lineRule="auto" w:line="360"/>
        <w:ind w:firstLine="709"/>
        <w:rPr>
          <w:rFonts w:ascii="Times New Roman" w:hAnsi="Times New Roman"/>
          <w:iCs/>
          <w:sz w:val="28"/>
          <w:szCs w:val="28"/>
        </w:rPr>
      </w:pPr>
      <w:r>
        <w:rPr>
          <w:rFonts w:ascii="Times New Roman" w:hAnsi="Times New Roman"/>
          <w:iCs/>
          <w:sz w:val="28"/>
          <w:szCs w:val="28"/>
        </w:rPr>
        <w:t>Наступним етапом дослідження є визначення показників ефективності використання основних фондів. У цьому напрямку теж існують різноманітні підходи в економічній літературі. Узагальнимо їх у таблиці 1.5.</w:t>
      </w:r>
    </w:p>
    <w:p>
      <w:pPr>
        <w:pStyle w:val="Normal"/>
        <w:spacing w:lineRule="auto" w:line="360"/>
        <w:ind w:firstLine="709"/>
        <w:rPr>
          <w:rFonts w:ascii="Times New Roman" w:hAnsi="Times New Roman"/>
          <w:iCs/>
          <w:sz w:val="28"/>
          <w:szCs w:val="28"/>
        </w:rPr>
      </w:pPr>
      <w:r>
        <w:rPr>
          <w:rFonts w:ascii="Times New Roman" w:hAnsi="Times New Roman"/>
          <w:iCs/>
          <w:sz w:val="28"/>
          <w:szCs w:val="28"/>
        </w:rPr>
      </w:r>
    </w:p>
    <w:p>
      <w:pPr>
        <w:pStyle w:val="Normal"/>
        <w:spacing w:lineRule="auto" w:line="360"/>
        <w:ind w:firstLine="709"/>
        <w:rPr>
          <w:rFonts w:ascii="Times New Roman" w:hAnsi="Times New Roman"/>
          <w:bCs/>
          <w:color w:val="000000" w:themeColor="text1"/>
          <w:sz w:val="28"/>
          <w:szCs w:val="28"/>
        </w:rPr>
      </w:pPr>
      <w:r>
        <w:rPr>
          <w:rFonts w:ascii="Times New Roman" w:hAnsi="Times New Roman"/>
          <w:bCs/>
          <w:color w:val="000000" w:themeColor="text1"/>
          <w:sz w:val="28"/>
          <w:szCs w:val="28"/>
        </w:rPr>
        <w:t xml:space="preserve">Таблиця 1.5 </w:t>
      </w:r>
      <w:r>
        <w:rPr>
          <w:rFonts w:ascii="Times New Roman" w:hAnsi="Times New Roman"/>
          <w:sz w:val="28"/>
          <w:szCs w:val="28"/>
        </w:rPr>
        <w:t>–</w:t>
      </w:r>
      <w:r>
        <w:rPr>
          <w:rFonts w:ascii="Times New Roman" w:hAnsi="Times New Roman"/>
          <w:b/>
          <w:iCs/>
          <w:sz w:val="28"/>
          <w:szCs w:val="28"/>
        </w:rPr>
        <w:t xml:space="preserve"> </w:t>
      </w:r>
      <w:r>
        <w:rPr>
          <w:rFonts w:ascii="Times New Roman" w:hAnsi="Times New Roman"/>
          <w:bCs/>
          <w:color w:val="000000" w:themeColor="text1"/>
          <w:sz w:val="28"/>
          <w:szCs w:val="28"/>
        </w:rPr>
        <w:t>Наукові доробки щодо оцінювання ефективності використання основних фондів</w:t>
      </w:r>
    </w:p>
    <w:tbl>
      <w:tblPr>
        <w:tblW w:w="9486" w:type="dxa"/>
        <w:jc w:val="left"/>
        <w:tblInd w:w="0" w:type="dxa"/>
        <w:tblCellMar>
          <w:top w:w="0" w:type="dxa"/>
          <w:left w:w="108" w:type="dxa"/>
          <w:bottom w:w="0" w:type="dxa"/>
          <w:right w:w="108" w:type="dxa"/>
        </w:tblCellMar>
        <w:tblLook w:firstRow="1" w:noVBand="1" w:lastRow="0" w:firstColumn="1" w:lastColumn="0" w:noHBand="0" w:val="04a0"/>
      </w:tblPr>
      <w:tblGrid>
        <w:gridCol w:w="2105"/>
        <w:gridCol w:w="7380"/>
      </w:tblGrid>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Автори</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Суть підходу та показники аналізу</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Покропивний С. Ф., Круш П. В. [34, 24]</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показники ефективності відтворення основних фондів; показники використання основних фондів</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eastAsia="Calibri" w:ascii="Times New Roman" w:hAnsi="Times New Roman"/>
                <w:spacing w:val="-8"/>
                <w:sz w:val="21"/>
                <w:szCs w:val="21"/>
                <w:lang w:val="uk-UA"/>
              </w:rPr>
              <w:t>Городня Т. [10]</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 xml:space="preserve">показники стану та руху основних фондів; показники завантаження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показники технічного оснащення підприємства; показники ефективності використання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 xml:space="preserve">Скляренко В. К., </w:t>
            </w:r>
          </w:p>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Прудніков В. М.  [44]</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 xml:space="preserve">показники екстенсивного та інтенсивного використання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показники інтегрального використання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узагальнюючі показники використання </w:t>
            </w:r>
            <w:r>
              <w:rPr>
                <w:rFonts w:ascii="Times New Roman" w:hAnsi="Times New Roman"/>
                <w:sz w:val="21"/>
                <w:szCs w:val="21"/>
                <w:lang w:val="uk-UA"/>
              </w:rPr>
              <w:t>основних фондів (містять ремонтні роботи)</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Мацибора В. І.,</w:t>
            </w:r>
          </w:p>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Збарський В. К. [30]</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 xml:space="preserve">показники, які характеризують відтворення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(їх технічний стан); показники, що висвітлюють оснащеність підприємства засобами праці; показники, які характеризують ефективність використання основних виробничих фондів </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Титов В. І. [47]</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загальні (вартісні) та часткові (натуральні) показники оцінювання рівня ефективності використання основних фондів</w:t>
            </w:r>
          </w:p>
        </w:tc>
      </w:tr>
      <w:tr>
        <w:trPr>
          <w:trHeight w:val="20" w:hRule="atLeast"/>
        </w:trPr>
        <w:tc>
          <w:tcPr>
            <w:tcW w:w="2105" w:type="dxa"/>
            <w:tcBorders>
              <w:top w:val="single" w:sz="4" w:space="0" w:color="000000"/>
              <w:left w:val="single" w:sz="4" w:space="0" w:color="000000"/>
              <w:bottom w:val="single" w:sz="4" w:space="0" w:color="000000"/>
              <w:right w:val="single" w:sz="4" w:space="0" w:color="000000"/>
            </w:tcBorders>
            <w:shd w:fill="auto" w:val="clear"/>
            <w:vAlign w:val="center"/>
          </w:tcPr>
          <w:p>
            <w:pPr>
              <w:pStyle w:val="Default"/>
              <w:jc w:val="center"/>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Волков О. І. [7]</w:t>
            </w:r>
          </w:p>
        </w:tc>
        <w:tc>
          <w:tcPr>
            <w:tcW w:w="7380" w:type="dxa"/>
            <w:tcBorders>
              <w:top w:val="single" w:sz="4" w:space="0" w:color="000000"/>
              <w:left w:val="single" w:sz="4" w:space="0" w:color="000000"/>
              <w:bottom w:val="single" w:sz="4" w:space="0" w:color="000000"/>
              <w:right w:val="single" w:sz="4" w:space="0" w:color="000000"/>
            </w:tcBorders>
            <w:shd w:fill="auto" w:val="clear"/>
          </w:tcPr>
          <w:p>
            <w:pPr>
              <w:pStyle w:val="Default"/>
              <w:jc w:val="both"/>
              <w:rPr>
                <w:rFonts w:ascii="Times New Roman" w:hAnsi="Times New Roman" w:cs="Times New Roman"/>
                <w:color w:val="auto"/>
                <w:sz w:val="21"/>
                <w:szCs w:val="21"/>
                <w:lang w:val="uk-UA"/>
              </w:rPr>
            </w:pPr>
            <w:r>
              <w:rPr>
                <w:rFonts w:cs="Times New Roman" w:ascii="Times New Roman" w:hAnsi="Times New Roman"/>
                <w:color w:val="auto"/>
                <w:sz w:val="21"/>
                <w:szCs w:val="21"/>
                <w:lang w:val="uk-UA"/>
              </w:rPr>
              <w:t xml:space="preserve">показники, що характеризують склад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показники структури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показники технічного стану та утримання </w:t>
            </w:r>
            <w:r>
              <w:rPr>
                <w:rFonts w:ascii="Times New Roman" w:hAnsi="Times New Roman"/>
                <w:sz w:val="21"/>
                <w:szCs w:val="21"/>
                <w:lang w:val="uk-UA"/>
              </w:rPr>
              <w:t>основних фондів</w:t>
            </w:r>
            <w:r>
              <w:rPr>
                <w:rFonts w:cs="Times New Roman" w:ascii="Times New Roman" w:hAnsi="Times New Roman"/>
                <w:color w:val="auto"/>
                <w:sz w:val="21"/>
                <w:szCs w:val="21"/>
                <w:lang w:val="uk-UA"/>
              </w:rPr>
              <w:t xml:space="preserve">; техніко-економічних показників використання </w:t>
            </w:r>
            <w:r>
              <w:rPr>
                <w:rFonts w:ascii="Times New Roman" w:hAnsi="Times New Roman"/>
                <w:sz w:val="21"/>
                <w:szCs w:val="21"/>
                <w:lang w:val="uk-UA"/>
              </w:rPr>
              <w:t>основних фондів</w:t>
            </w:r>
          </w:p>
        </w:tc>
      </w:tr>
    </w:tbl>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Default"/>
        <w:spacing w:lineRule="auto" w:line="360"/>
        <w:ind w:firstLine="709"/>
        <w:jc w:val="both"/>
        <w:rPr>
          <w:rFonts w:ascii="Times New Roman" w:hAnsi="Times New Roman" w:cs="Times New Roman"/>
          <w:color w:val="auto"/>
          <w:sz w:val="28"/>
          <w:szCs w:val="28"/>
          <w:lang w:val="uk-UA"/>
        </w:rPr>
      </w:pPr>
      <w:r>
        <w:rPr>
          <w:rFonts w:cs="Times New Roman" w:ascii="Times New Roman" w:hAnsi="Times New Roman"/>
          <w:color w:val="auto"/>
          <w:sz w:val="28"/>
          <w:szCs w:val="28"/>
          <w:lang w:val="uk-UA"/>
        </w:rPr>
        <w:t>Отже, зазначені підходи щодо аналізу ефективності використання основних фондів ґрунтуються на узагальнюючих показниках оцінки (таблиця 1.6)</w:t>
      </w:r>
      <w:r>
        <w:rPr>
          <w:rFonts w:ascii="Times New Roman" w:hAnsi="Times New Roman"/>
          <w:sz w:val="28"/>
          <w:szCs w:val="28"/>
        </w:rPr>
        <w:t xml:space="preserve"> [1</w:t>
      </w:r>
      <w:r>
        <w:rPr>
          <w:rFonts w:ascii="Times New Roman" w:hAnsi="Times New Roman"/>
          <w:sz w:val="28"/>
          <w:szCs w:val="28"/>
          <w:lang w:val="uk-UA"/>
        </w:rPr>
        <w:t>4</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 xml:space="preserve"> [15]</w:t>
      </w:r>
      <w:r>
        <w:rPr>
          <w:rFonts w:ascii="Times New Roman" w:hAnsi="Times New Roman"/>
          <w:sz w:val="28"/>
          <w:szCs w:val="28"/>
          <w:lang w:val="uk-UA"/>
        </w:rPr>
        <w:t>,</w:t>
      </w:r>
      <w:r>
        <w:rPr>
          <w:rFonts w:ascii="Times New Roman" w:hAnsi="Times New Roman"/>
          <w:sz w:val="28"/>
          <w:szCs w:val="28"/>
        </w:rPr>
        <w:t xml:space="preserve"> [17]</w:t>
      </w:r>
      <w:r>
        <w:rPr>
          <w:rFonts w:ascii="Times New Roman" w:hAnsi="Times New Roman"/>
          <w:sz w:val="28"/>
          <w:szCs w:val="28"/>
          <w:lang w:val="uk-UA"/>
        </w:rPr>
        <w:t>,</w:t>
      </w:r>
      <w:r>
        <w:rPr>
          <w:rFonts w:eastAsia="Arial,Italic" w:ascii="Times New Roman" w:hAnsi="Times New Roman"/>
          <w:iCs/>
          <w:sz w:val="28"/>
          <w:szCs w:val="28"/>
        </w:rPr>
        <w:t xml:space="preserve"> [</w:t>
      </w:r>
      <w:r>
        <w:rPr>
          <w:rFonts w:eastAsia="Arial,Italic" w:ascii="Times New Roman" w:hAnsi="Times New Roman"/>
          <w:iCs/>
          <w:sz w:val="28"/>
          <w:szCs w:val="28"/>
          <w:lang w:val="uk-UA"/>
        </w:rPr>
        <w:t>22</w:t>
      </w:r>
      <w:r>
        <w:rPr>
          <w:rFonts w:eastAsia="Arial,Italic" w:ascii="Times New Roman" w:hAnsi="Times New Roman"/>
          <w:iCs/>
          <w:sz w:val="28"/>
          <w:szCs w:val="28"/>
        </w:rPr>
        <w:t>]</w:t>
      </w:r>
      <w:r>
        <w:rPr>
          <w:rFonts w:eastAsia="Arial,Italic" w:ascii="Times New Roman" w:hAnsi="Times New Roman"/>
          <w:iCs/>
          <w:sz w:val="28"/>
          <w:szCs w:val="28"/>
          <w:lang w:val="uk-UA"/>
        </w:rPr>
        <w:t>,</w:t>
      </w:r>
      <w:r>
        <w:rPr/>
        <w:t xml:space="preserve"> </w:t>
      </w:r>
      <w:r>
        <w:rPr>
          <w:rFonts w:eastAsia="Arial,Italic" w:ascii="Times New Roman" w:hAnsi="Times New Roman"/>
          <w:iCs/>
          <w:sz w:val="28"/>
          <w:szCs w:val="28"/>
        </w:rPr>
        <w:t>[</w:t>
      </w:r>
      <w:r>
        <w:rPr>
          <w:rFonts w:eastAsia="Arial,Italic" w:ascii="Times New Roman" w:hAnsi="Times New Roman"/>
          <w:iCs/>
          <w:sz w:val="28"/>
          <w:szCs w:val="28"/>
          <w:lang w:val="uk-UA"/>
        </w:rPr>
        <w:t>30</w:t>
      </w:r>
      <w:r>
        <w:rPr>
          <w:rFonts w:eastAsia="Arial,Italic" w:ascii="Times New Roman" w:hAnsi="Times New Roman"/>
          <w:iCs/>
          <w:sz w:val="28"/>
          <w:szCs w:val="28"/>
        </w:rPr>
        <w:t>]</w:t>
      </w:r>
      <w:r>
        <w:rPr>
          <w:rFonts w:cs="Times New Roman" w:ascii="Times New Roman" w:hAnsi="Times New Roman"/>
          <w:color w:val="auto"/>
          <w:sz w:val="28"/>
          <w:szCs w:val="28"/>
          <w:lang w:val="uk-UA"/>
        </w:rPr>
        <w:t xml:space="preserve">. </w:t>
      </w:r>
    </w:p>
    <w:p>
      <w:pPr>
        <w:pStyle w:val="Normal"/>
        <w:spacing w:lineRule="auto" w:line="372"/>
        <w:ind w:firstLine="709"/>
        <w:rPr>
          <w:rFonts w:ascii="Times New Roman" w:hAnsi="Times New Roman"/>
          <w:sz w:val="28"/>
          <w:szCs w:val="28"/>
        </w:rPr>
      </w:pPr>
      <w:r>
        <w:rPr>
          <w:rFonts w:ascii="Times New Roman" w:hAnsi="Times New Roman"/>
          <w:sz w:val="28"/>
          <w:szCs w:val="28"/>
        </w:rPr>
      </w:r>
    </w:p>
    <w:p>
      <w:pPr>
        <w:pStyle w:val="Normal"/>
        <w:spacing w:lineRule="auto" w:line="372"/>
        <w:ind w:firstLine="709"/>
        <w:rPr>
          <w:rFonts w:ascii="Times New Roman" w:hAnsi="Times New Roman"/>
          <w:iCs/>
          <w:sz w:val="28"/>
          <w:szCs w:val="28"/>
        </w:rPr>
      </w:pPr>
      <w:r>
        <w:rPr>
          <w:rFonts w:ascii="Times New Roman" w:hAnsi="Times New Roman"/>
          <w:sz w:val="28"/>
          <w:szCs w:val="28"/>
        </w:rPr>
        <w:t xml:space="preserve">Таблиця 1.6 – Узагальнені </w:t>
      </w:r>
      <w:r>
        <w:rPr>
          <w:rFonts w:ascii="Times New Roman" w:hAnsi="Times New Roman"/>
          <w:iCs/>
          <w:sz w:val="28"/>
          <w:szCs w:val="28"/>
        </w:rPr>
        <w:t>показники ефективності використання основних фондів</w:t>
      </w:r>
    </w:p>
    <w:tbl>
      <w:tblPr>
        <w:tblStyle w:val="af0"/>
        <w:tblW w:w="9486" w:type="dxa"/>
        <w:jc w:val="left"/>
        <w:tblInd w:w="0" w:type="dxa"/>
        <w:tblCellMar>
          <w:top w:w="0" w:type="dxa"/>
          <w:left w:w="108" w:type="dxa"/>
          <w:bottom w:w="0" w:type="dxa"/>
          <w:right w:w="108" w:type="dxa"/>
        </w:tblCellMar>
        <w:tblLook w:firstRow="1" w:noVBand="1" w:lastRow="0" w:firstColumn="1" w:lastColumn="0" w:noHBand="0" w:val="04a0"/>
      </w:tblPr>
      <w:tblGrid>
        <w:gridCol w:w="2558"/>
        <w:gridCol w:w="2578"/>
        <w:gridCol w:w="4350"/>
      </w:tblGrid>
      <w:tr>
        <w:trPr/>
        <w:tc>
          <w:tcPr>
            <w:tcW w:w="2558" w:type="dxa"/>
            <w:tcBorders/>
            <w:shd w:fill="auto" w:val="clear"/>
            <w:vAlign w:val="center"/>
          </w:tcPr>
          <w:p>
            <w:pPr>
              <w:pStyle w:val="Normal"/>
              <w:jc w:val="center"/>
              <w:rPr>
                <w:rFonts w:ascii="Times New Roman" w:hAnsi="Times New Roman"/>
              </w:rPr>
            </w:pPr>
            <w:r>
              <w:rPr>
                <w:rFonts w:ascii="Times New Roman" w:hAnsi="Times New Roman"/>
              </w:rPr>
              <w:t>Групи показників</w:t>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Назва показника</w:t>
            </w:r>
          </w:p>
        </w:tc>
        <w:tc>
          <w:tcPr>
            <w:tcW w:w="4350" w:type="dxa"/>
            <w:tcBorders/>
            <w:shd w:fill="auto" w:val="clear"/>
            <w:vAlign w:val="center"/>
          </w:tcPr>
          <w:p>
            <w:pPr>
              <w:pStyle w:val="Normal"/>
              <w:jc w:val="center"/>
              <w:rPr>
                <w:rFonts w:ascii="Times New Roman" w:hAnsi="Times New Roman"/>
              </w:rPr>
            </w:pPr>
            <w:r>
              <w:rPr>
                <w:rFonts w:ascii="Times New Roman" w:hAnsi="Times New Roman"/>
              </w:rPr>
              <w:t>Методика визначення</w:t>
            </w:r>
          </w:p>
        </w:tc>
      </w:tr>
      <w:tr>
        <w:trPr/>
        <w:tc>
          <w:tcPr>
            <w:tcW w:w="2558" w:type="dxa"/>
            <w:vMerge w:val="restart"/>
            <w:tcBorders/>
            <w:shd w:fill="auto" w:val="clear"/>
            <w:vAlign w:val="center"/>
          </w:tcPr>
          <w:p>
            <w:pPr>
              <w:pStyle w:val="Normal"/>
              <w:jc w:val="left"/>
              <w:rPr>
                <w:rFonts w:ascii="Times New Roman" w:hAnsi="Times New Roman"/>
              </w:rPr>
            </w:pPr>
            <w:r>
              <w:rPr>
                <w:rFonts w:ascii="Times New Roman" w:hAnsi="Times New Roman"/>
              </w:rPr>
              <w:t>показники, які характеризують технічний стан (відтворення) основних фондів</w:t>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оновлення</w:t>
            </w:r>
          </w:p>
        </w:tc>
        <w:tc>
          <w:tcPr>
            <w:tcW w:w="4350" w:type="dxa"/>
            <w:tcBorders/>
            <w:shd w:fill="auto" w:val="clear"/>
          </w:tcPr>
          <w:p>
            <w:pPr>
              <w:pStyle w:val="Normal"/>
              <w:rPr>
                <w:rFonts w:ascii="Times New Roman" w:hAnsi="Times New Roman"/>
              </w:rPr>
            </w:pPr>
            <w:r>
              <w:rPr>
                <w:rFonts w:ascii="Times New Roman" w:hAnsi="Times New Roman"/>
              </w:rPr>
              <w:t>характеризує співвідношення обсягу основних фондів, які введено у оборот підприємства до загального їх обсягу</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вибуття</w:t>
            </w:r>
          </w:p>
        </w:tc>
        <w:tc>
          <w:tcPr>
            <w:tcW w:w="4350" w:type="dxa"/>
            <w:tcBorders/>
            <w:shd w:fill="auto" w:val="clear"/>
          </w:tcPr>
          <w:p>
            <w:pPr>
              <w:pStyle w:val="Normal"/>
              <w:rPr>
                <w:rFonts w:ascii="Times New Roman" w:hAnsi="Times New Roman"/>
              </w:rPr>
            </w:pPr>
            <w:r>
              <w:rPr>
                <w:rFonts w:ascii="Times New Roman" w:hAnsi="Times New Roman"/>
              </w:rPr>
              <w:t>відображає розмір основних фондів, які виведено з оборотів підприємства до загальної вартості основних фондів</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зносу</w:t>
            </w:r>
          </w:p>
        </w:tc>
        <w:tc>
          <w:tcPr>
            <w:tcW w:w="4350" w:type="dxa"/>
            <w:tcBorders/>
            <w:shd w:fill="auto" w:val="clear"/>
          </w:tcPr>
          <w:p>
            <w:pPr>
              <w:pStyle w:val="Normal"/>
              <w:rPr>
                <w:rFonts w:ascii="Times New Roman" w:hAnsi="Times New Roman"/>
              </w:rPr>
            </w:pPr>
            <w:r>
              <w:rPr>
                <w:rFonts w:ascii="Times New Roman" w:hAnsi="Times New Roman"/>
              </w:rPr>
              <w:t>визначається як відношення суми нарахованого зносу до залишкової вартості основних фондів</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інтенсивності відновлення основних фондів</w:t>
            </w:r>
          </w:p>
        </w:tc>
        <w:tc>
          <w:tcPr>
            <w:tcW w:w="4350" w:type="dxa"/>
            <w:tcBorders/>
            <w:shd w:fill="auto" w:val="clear"/>
          </w:tcPr>
          <w:p>
            <w:pPr>
              <w:pStyle w:val="Normal"/>
              <w:rPr>
                <w:rFonts w:ascii="Times New Roman" w:hAnsi="Times New Roman"/>
              </w:rPr>
            </w:pPr>
            <w:r>
              <w:rPr>
                <w:rFonts w:ascii="Times New Roman" w:hAnsi="Times New Roman"/>
              </w:rPr>
              <w:t>показує, яка частина основних фондів придатна для експлуатації в процесі господарської діяльності</w:t>
            </w:r>
          </w:p>
        </w:tc>
      </w:tr>
      <w:tr>
        <w:trPr/>
        <w:tc>
          <w:tcPr>
            <w:tcW w:w="2558" w:type="dxa"/>
            <w:vMerge w:val="restart"/>
            <w:tcBorders/>
            <w:shd w:fill="auto" w:val="clear"/>
            <w:vAlign w:val="center"/>
          </w:tcPr>
          <w:p>
            <w:pPr>
              <w:pStyle w:val="Normal"/>
              <w:jc w:val="left"/>
              <w:rPr>
                <w:rFonts w:ascii="Times New Roman" w:hAnsi="Times New Roman"/>
              </w:rPr>
            </w:pPr>
            <w:r>
              <w:rPr>
                <w:rFonts w:ascii="Times New Roman" w:hAnsi="Times New Roman"/>
              </w:rPr>
              <w:t>узагальнюючі показники використання основних фондів</w:t>
            </w:r>
          </w:p>
        </w:tc>
        <w:tc>
          <w:tcPr>
            <w:tcW w:w="2578" w:type="dxa"/>
            <w:tcBorders/>
            <w:shd w:fill="auto" w:val="clear"/>
            <w:vAlign w:val="center"/>
          </w:tcPr>
          <w:p>
            <w:pPr>
              <w:pStyle w:val="Normal"/>
              <w:jc w:val="center"/>
              <w:rPr>
                <w:rFonts w:ascii="Times New Roman" w:hAnsi="Times New Roman"/>
              </w:rPr>
            </w:pPr>
            <w:r>
              <w:rPr>
                <w:rFonts w:ascii="Times New Roman" w:hAnsi="Times New Roman"/>
              </w:rPr>
              <w:t>фондовіддача</w:t>
            </w:r>
          </w:p>
        </w:tc>
        <w:tc>
          <w:tcPr>
            <w:tcW w:w="4350" w:type="dxa"/>
            <w:tcBorders/>
            <w:shd w:fill="auto" w:val="clear"/>
          </w:tcPr>
          <w:p>
            <w:pPr>
              <w:pStyle w:val="Normal"/>
              <w:rPr>
                <w:rFonts w:ascii="Times New Roman" w:hAnsi="Times New Roman"/>
              </w:rPr>
            </w:pPr>
            <w:r>
              <w:rPr>
                <w:rFonts w:ascii="Times New Roman" w:hAnsi="Times New Roman"/>
              </w:rPr>
              <w:t>характеризує обсяг виробленої підприємством продукції (робіт, послуг) у вартісних вимірниках та одиницею основних виробничих фондів</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фондомісткість</w:t>
            </w:r>
          </w:p>
        </w:tc>
        <w:tc>
          <w:tcPr>
            <w:tcW w:w="4350" w:type="dxa"/>
            <w:tcBorders/>
            <w:shd w:fill="auto" w:val="clear"/>
          </w:tcPr>
          <w:p>
            <w:pPr>
              <w:pStyle w:val="Normal"/>
              <w:rPr>
                <w:rFonts w:ascii="Times New Roman" w:hAnsi="Times New Roman"/>
              </w:rPr>
            </w:pPr>
            <w:r>
              <w:rPr>
                <w:rFonts w:ascii="Times New Roman" w:hAnsi="Times New Roman"/>
              </w:rPr>
              <w:t>показує, на яку суму потрібно придбати основних фондів для випуску продукції (робіт, послуг)</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фондоозброєність</w:t>
            </w:r>
          </w:p>
        </w:tc>
        <w:tc>
          <w:tcPr>
            <w:tcW w:w="4350" w:type="dxa"/>
            <w:tcBorders/>
            <w:shd w:fill="auto" w:val="clear"/>
          </w:tcPr>
          <w:p>
            <w:pPr>
              <w:pStyle w:val="Normal"/>
              <w:rPr>
                <w:rFonts w:ascii="Times New Roman" w:hAnsi="Times New Roman"/>
              </w:rPr>
            </w:pPr>
            <w:r>
              <w:rPr>
                <w:rFonts w:ascii="Times New Roman" w:hAnsi="Times New Roman"/>
              </w:rPr>
              <w:t xml:space="preserve">визначається як співвідношення вартості активної частини основних фондів і чисельності персоналу </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рентабельність основних  фондів</w:t>
            </w:r>
          </w:p>
        </w:tc>
        <w:tc>
          <w:tcPr>
            <w:tcW w:w="4350" w:type="dxa"/>
            <w:tcBorders/>
            <w:shd w:fill="auto" w:val="clear"/>
          </w:tcPr>
          <w:p>
            <w:pPr>
              <w:pStyle w:val="Normal"/>
              <w:rPr>
                <w:rFonts w:ascii="Times New Roman" w:hAnsi="Times New Roman"/>
              </w:rPr>
            </w:pPr>
            <w:r>
              <w:rPr>
                <w:rFonts w:ascii="Times New Roman" w:hAnsi="Times New Roman"/>
              </w:rPr>
              <w:t xml:space="preserve">розраховується як відношення чистого фінансового результату до середньорічної вартості виробничих фондів </w:t>
            </w:r>
          </w:p>
        </w:tc>
      </w:tr>
      <w:tr>
        <w:trPr/>
        <w:tc>
          <w:tcPr>
            <w:tcW w:w="2558" w:type="dxa"/>
            <w:vMerge w:val="restart"/>
            <w:tcBorders/>
            <w:shd w:fill="auto" w:val="clear"/>
            <w:vAlign w:val="center"/>
          </w:tcPr>
          <w:p>
            <w:pPr>
              <w:pStyle w:val="Normal"/>
              <w:jc w:val="left"/>
              <w:rPr>
                <w:rFonts w:ascii="Times New Roman" w:hAnsi="Times New Roman"/>
              </w:rPr>
            </w:pPr>
            <w:r>
              <w:rPr>
                <w:rFonts w:ascii="Times New Roman" w:hAnsi="Times New Roman"/>
              </w:rPr>
              <w:t>часткові показники використання основних фондів</w:t>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екстенсивного й інтенсивного використання обладнання</w:t>
            </w:r>
          </w:p>
        </w:tc>
        <w:tc>
          <w:tcPr>
            <w:tcW w:w="4350" w:type="dxa"/>
            <w:tcBorders/>
            <w:shd w:fill="auto" w:val="clear"/>
          </w:tcPr>
          <w:p>
            <w:pPr>
              <w:pStyle w:val="Normal"/>
              <w:rPr>
                <w:rFonts w:ascii="Times New Roman" w:hAnsi="Times New Roman"/>
              </w:rPr>
            </w:pPr>
            <w:r>
              <w:rPr>
                <w:rFonts w:ascii="Times New Roman" w:hAnsi="Times New Roman"/>
              </w:rPr>
              <w:t>інтенсивне навантаження устаткування встановлюється за співвідношенням кількості виготовлених виробів за одиницю часу до технічної (паспортної) продуктивності відповідного устаткування;</w:t>
            </w:r>
          </w:p>
          <w:p>
            <w:pPr>
              <w:pStyle w:val="Normal"/>
              <w:rPr>
                <w:rFonts w:ascii="Times New Roman" w:hAnsi="Times New Roman"/>
              </w:rPr>
            </w:pPr>
            <w:r>
              <w:rPr>
                <w:rFonts w:ascii="Times New Roman" w:hAnsi="Times New Roman"/>
              </w:rPr>
              <w:t xml:space="preserve">екстенсивне використання основних виробничих фондів відображають внутрішньозмінні, цілодобові простої устаткування </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інтегральний показник використання</w:t>
            </w:r>
          </w:p>
        </w:tc>
        <w:tc>
          <w:tcPr>
            <w:tcW w:w="4350" w:type="dxa"/>
            <w:tcBorders/>
            <w:shd w:fill="auto" w:val="clear"/>
          </w:tcPr>
          <w:p>
            <w:pPr>
              <w:pStyle w:val="Normal"/>
              <w:rPr>
                <w:rFonts w:ascii="Times New Roman" w:hAnsi="Times New Roman"/>
              </w:rPr>
            </w:pPr>
            <w:r>
              <w:rPr>
                <w:rFonts w:ascii="Times New Roman" w:hAnsi="Times New Roman"/>
              </w:rPr>
              <w:t xml:space="preserve">узагальнений показник використання обладнання </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змінності роботи устаткування</w:t>
            </w:r>
          </w:p>
        </w:tc>
        <w:tc>
          <w:tcPr>
            <w:tcW w:w="4350" w:type="dxa"/>
            <w:tcBorders/>
            <w:shd w:fill="auto" w:val="clear"/>
          </w:tcPr>
          <w:p>
            <w:pPr>
              <w:pStyle w:val="Normal"/>
              <w:rPr>
                <w:rFonts w:ascii="Times New Roman" w:hAnsi="Times New Roman"/>
              </w:rPr>
            </w:pPr>
            <w:r>
              <w:rPr>
                <w:rFonts w:ascii="Times New Roman" w:hAnsi="Times New Roman"/>
              </w:rPr>
              <w:t>визначається як відношення загальної кількості відпрацьованих машинозмін за добу до кількості одиниць встановленого устаткування</w:t>
            </w:r>
          </w:p>
        </w:tc>
      </w:tr>
      <w:tr>
        <w:trPr/>
        <w:tc>
          <w:tcPr>
            <w:tcW w:w="2558" w:type="dxa"/>
            <w:vMerge w:val="continue"/>
            <w:tcBorders/>
            <w:shd w:fill="auto" w:val="clear"/>
            <w:vAlign w:val="center"/>
          </w:tcPr>
          <w:p>
            <w:pPr>
              <w:pStyle w:val="Normal"/>
              <w:jc w:val="left"/>
              <w:rPr>
                <w:rFonts w:ascii="Times New Roman" w:hAnsi="Times New Roman"/>
              </w:rPr>
            </w:pPr>
            <w:r>
              <w:rPr>
                <w:rFonts w:ascii="Times New Roman" w:hAnsi="Times New Roman"/>
              </w:rPr>
            </w:r>
          </w:p>
        </w:tc>
        <w:tc>
          <w:tcPr>
            <w:tcW w:w="2578" w:type="dxa"/>
            <w:tcBorders/>
            <w:shd w:fill="auto" w:val="clear"/>
            <w:vAlign w:val="center"/>
          </w:tcPr>
          <w:p>
            <w:pPr>
              <w:pStyle w:val="Normal"/>
              <w:jc w:val="center"/>
              <w:rPr>
                <w:rFonts w:ascii="Times New Roman" w:hAnsi="Times New Roman"/>
              </w:rPr>
            </w:pPr>
            <w:r>
              <w:rPr>
                <w:rFonts w:ascii="Times New Roman" w:hAnsi="Times New Roman"/>
              </w:rPr>
              <w:t>коефіцієнт напруженості використання устаткування</w:t>
            </w:r>
          </w:p>
        </w:tc>
        <w:tc>
          <w:tcPr>
            <w:tcW w:w="4350" w:type="dxa"/>
            <w:tcBorders/>
            <w:shd w:fill="auto" w:val="clear"/>
          </w:tcPr>
          <w:p>
            <w:pPr>
              <w:pStyle w:val="Normal"/>
              <w:rPr>
                <w:rFonts w:ascii="Times New Roman" w:hAnsi="Times New Roman"/>
              </w:rPr>
            </w:pPr>
            <w:r>
              <w:rPr>
                <w:rFonts w:ascii="Times New Roman" w:hAnsi="Times New Roman"/>
              </w:rPr>
              <w:t>оптимізує випуск продукції в розрахунку на одиницю устаткування (загальної або виробничої площі)</w:t>
            </w:r>
          </w:p>
        </w:tc>
      </w:tr>
    </w:tbl>
    <w:p>
      <w:pPr>
        <w:pStyle w:val="Normal"/>
        <w:spacing w:lineRule="auto" w:line="372"/>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провідною ознакою покращення рівня ефективного використання основних фондів суб’єкта підприємництва є збільшення обсягів виробництва продукції (виконання робіт чи надання послуг). Це потребує наявної та структурованої кількості обладнання, прогресивної його продуктивності та результативності використання. </w:t>
      </w:r>
    </w:p>
    <w:p>
      <w:pPr>
        <w:pStyle w:val="Normal"/>
        <w:spacing w:lineRule="auto" w:line="360"/>
        <w:ind w:firstLine="709"/>
        <w:rPr>
          <w:rFonts w:ascii="Times New Roman" w:hAnsi="Times New Roman"/>
          <w:sz w:val="28"/>
          <w:szCs w:val="28"/>
        </w:rPr>
      </w:pPr>
      <w:r>
        <w:rPr>
          <w:rFonts w:ascii="Times New Roman" w:hAnsi="Times New Roman"/>
          <w:sz w:val="28"/>
          <w:szCs w:val="28"/>
        </w:rPr>
        <w:t>Таким чином, визначивши сутність категорії «</w:t>
      </w:r>
      <w:r>
        <w:rPr>
          <w:rFonts w:ascii="Times New Roman" w:hAnsi="Times New Roman"/>
          <w:iCs/>
          <w:sz w:val="28"/>
          <w:szCs w:val="28"/>
        </w:rPr>
        <w:t>основні фонди</w:t>
      </w:r>
      <w:r>
        <w:rPr>
          <w:rFonts w:ascii="Times New Roman" w:hAnsi="Times New Roman"/>
          <w:sz w:val="28"/>
          <w:szCs w:val="28"/>
        </w:rPr>
        <w:t>» та показники, які характеризують ефективність їх використання перейдемо до дослідження основних напрямків покращення результативності використання засобів праці підприємства, якому буде присвячений наступний параграф 1.2.</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2"/>
        <w:spacing w:lineRule="auto" w:line="360" w:before="0" w:after="0"/>
        <w:ind w:firstLine="709"/>
        <w:jc w:val="both"/>
        <w:rPr>
          <w:rFonts w:ascii="Times New Roman" w:hAnsi="Times New Roman"/>
          <w:color w:val="000000" w:themeColor="text1"/>
          <w:sz w:val="28"/>
          <w:szCs w:val="28"/>
          <w:highlight w:val="white"/>
        </w:rPr>
      </w:pPr>
      <w:r>
        <w:rPr>
          <w:rFonts w:ascii="Times New Roman" w:hAnsi="Times New Roman"/>
          <w:color w:val="000000" w:themeColor="text1"/>
          <w:sz w:val="28"/>
          <w:szCs w:val="28"/>
          <w:shd w:fill="FFFFFF" w:val="clear"/>
        </w:rPr>
        <w:t>1.2 Обґрунтування напрямків покращення ефективності використання основних фондів</w:t>
      </w:r>
    </w:p>
    <w:p>
      <w:pPr>
        <w:pStyle w:val="Normal"/>
        <w:spacing w:lineRule="auto" w:line="360"/>
        <w:ind w:firstLine="709"/>
        <w:rPr>
          <w:rFonts w:ascii="Times New Roman" w:hAnsi="Times New Roman"/>
          <w:color w:val="000000" w:themeColor="text1"/>
          <w:sz w:val="28"/>
          <w:szCs w:val="28"/>
          <w:highlight w:val="white"/>
        </w:rPr>
      </w:pPr>
      <w:r>
        <w:rPr>
          <w:rFonts w:ascii="Times New Roman" w:hAnsi="Times New Roman"/>
          <w:color w:val="000000" w:themeColor="text1"/>
          <w:sz w:val="28"/>
          <w:szCs w:val="28"/>
          <w:shd w:fill="FFFFFF" w:val="clear"/>
        </w:rPr>
      </w:r>
    </w:p>
    <w:p>
      <w:pPr>
        <w:pStyle w:val="Normal"/>
        <w:spacing w:lineRule="auto" w:line="360"/>
        <w:ind w:firstLine="709"/>
        <w:rPr>
          <w:rFonts w:ascii="Times New Roman" w:hAnsi="Times New Roman"/>
          <w:color w:val="000000" w:themeColor="text1"/>
          <w:sz w:val="28"/>
          <w:szCs w:val="28"/>
          <w:highlight w:val="white"/>
        </w:rPr>
      </w:pPr>
      <w:r>
        <w:rPr>
          <w:rFonts w:ascii="Times New Roman" w:hAnsi="Times New Roman"/>
          <w:color w:val="000000" w:themeColor="text1"/>
          <w:sz w:val="28"/>
          <w:szCs w:val="28"/>
          <w:shd w:fill="FFFFFF" w:val="clear"/>
        </w:rPr>
      </w:r>
    </w:p>
    <w:p>
      <w:pPr>
        <w:pStyle w:val="Normal"/>
        <w:spacing w:lineRule="auto" w:line="360"/>
        <w:ind w:firstLine="709"/>
        <w:rPr>
          <w:rFonts w:ascii="Times New Roman" w:hAnsi="Times New Roman"/>
          <w:iCs/>
          <w:sz w:val="28"/>
          <w:szCs w:val="28"/>
        </w:rPr>
      </w:pPr>
      <w:r>
        <w:rPr>
          <w:rFonts w:ascii="Times New Roman" w:hAnsi="Times New Roman"/>
          <w:color w:val="000000" w:themeColor="text1"/>
          <w:sz w:val="28"/>
          <w:szCs w:val="28"/>
        </w:rPr>
        <w:t xml:space="preserve">Однією з головних проблем сьогодення є невизначеність щодо результативності використання засобів праці. Володіючи певними видами </w:t>
      </w:r>
      <w:r>
        <w:rPr>
          <w:rFonts w:ascii="Times New Roman" w:hAnsi="Times New Roman"/>
          <w:iCs/>
          <w:sz w:val="28"/>
          <w:szCs w:val="28"/>
        </w:rPr>
        <w:t xml:space="preserve">основних фондів власникам господарюючих суб’єктів слід визначитись з напрямками їх ефективного використання. </w:t>
      </w:r>
      <w:r>
        <w:rPr>
          <w:rFonts w:ascii="Times New Roman" w:hAnsi="Times New Roman"/>
          <w:color w:val="000000" w:themeColor="text1"/>
          <w:sz w:val="28"/>
          <w:szCs w:val="28"/>
          <w:shd w:fill="FFFFFF" w:val="clear"/>
        </w:rPr>
        <w:t xml:space="preserve">Ці напрямки потребують розробки системи заходів практичного спрямування, які дозволять використати існуючі на підприємстві резерви щодо кращого використання </w:t>
      </w:r>
      <w:r>
        <w:rPr>
          <w:rFonts w:ascii="Times New Roman" w:hAnsi="Times New Roman"/>
          <w:iCs/>
          <w:sz w:val="28"/>
          <w:szCs w:val="28"/>
        </w:rPr>
        <w:t xml:space="preserve">основних фондів </w:t>
      </w:r>
      <w:r>
        <w:rPr>
          <w:rFonts w:ascii="Times New Roman" w:hAnsi="Times New Roman"/>
          <w:sz w:val="28"/>
          <w:szCs w:val="28"/>
        </w:rPr>
        <w:t>(рисунок 1.1)</w:t>
      </w:r>
      <w:r>
        <w:rPr>
          <w:rFonts w:ascii="Times New Roman" w:hAnsi="Times New Roman"/>
          <w:iCs/>
          <w:sz w:val="28"/>
          <w:szCs w:val="28"/>
        </w:rPr>
        <w:t xml:space="preserve"> [12, </w:t>
      </w:r>
      <w:r>
        <w:rPr>
          <w:rFonts w:ascii="Times New Roman" w:hAnsi="Times New Roman"/>
          <w:sz w:val="28"/>
          <w:szCs w:val="28"/>
        </w:rPr>
        <w:t xml:space="preserve">10, </w:t>
      </w:r>
      <w:r>
        <w:rPr>
          <w:rFonts w:ascii="Times New Roman" w:hAnsi="Times New Roman"/>
          <w:iCs/>
          <w:sz w:val="28"/>
          <w:szCs w:val="28"/>
        </w:rPr>
        <w:t xml:space="preserve">24, 27, 30, 32]. </w:t>
      </w:r>
    </w:p>
    <w:p>
      <w:pPr>
        <w:pStyle w:val="Normal"/>
        <w:spacing w:lineRule="auto" w:line="360"/>
        <w:ind w:firstLine="709"/>
        <w:rPr>
          <w:rFonts w:ascii="Times New Roman" w:hAnsi="Times New Roman"/>
          <w:sz w:val="28"/>
          <w:szCs w:val="28"/>
        </w:rPr>
      </w:pPr>
      <w:r>
        <w:rPr>
          <w:rFonts w:ascii="Times New Roman" w:hAnsi="Times New Roman"/>
          <w:iCs/>
          <w:sz w:val="28"/>
          <w:szCs w:val="28"/>
        </w:rPr>
        <w:t xml:space="preserve">Виявлені резерви дозволяють сформувати напрямки покращення ефективності використання основних фондів. </w:t>
      </w:r>
      <w:r>
        <w:rPr>
          <w:rFonts w:ascii="Times New Roman" w:hAnsi="Times New Roman"/>
          <w:sz w:val="28"/>
          <w:szCs w:val="28"/>
        </w:rPr>
        <w:t>Загалом для покращення ефективності використання засобів праці варто домогтися зростання обсягів виробництва (реалізації) продукції (виконання робіт чи надання послуг). В економічній літературі ґрунтовно описані інтенсивні та екстенсивні шляхи підвищення рівня ефективного їх використання на підприємстві [9, 49, 50, 52] (рисунок 1.2).</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iCs/>
          <w:sz w:val="28"/>
          <w:szCs w:val="28"/>
        </w:rPr>
      </w:pPr>
      <w:r>
        <w:rPr>
          <w:rFonts w:ascii="Times New Roman" w:hAnsi="Times New Roman"/>
          <w:sz w:val="28"/>
          <w:szCs w:val="28"/>
        </w:rPr>
        <w:t xml:space="preserve">Рисунок 1.1 – Резерви покращення </w:t>
      </w:r>
      <w:r>
        <w:rPr>
          <w:rFonts w:ascii="Times New Roman" w:hAnsi="Times New Roman"/>
          <w:iCs/>
          <w:sz w:val="28"/>
          <w:szCs w:val="28"/>
        </w:rPr>
        <w:t xml:space="preserve">ефективності використання основних фондів </w:t>
      </w:r>
    </w:p>
    <w:p>
      <w:pPr>
        <w:pStyle w:val="Normal"/>
        <w:spacing w:lineRule="auto" w:line="360"/>
        <w:jc w:val="center"/>
        <w:rPr>
          <w:rFonts w:ascii="Times New Roman" w:hAnsi="Times New Roman"/>
          <w:iCs/>
          <w:sz w:val="28"/>
          <w:szCs w:val="28"/>
        </w:rPr>
      </w:pPr>
      <w:r>
        <w:rPr>
          <w:rFonts w:ascii="Times New Roman" w:hAnsi="Times New Roman"/>
          <w:iCs/>
          <w:sz w:val="28"/>
          <w:szCs w:val="28"/>
        </w:rPr>
      </w:r>
    </w:p>
    <w:p>
      <w:pPr>
        <w:pStyle w:val="Normal"/>
        <w:spacing w:lineRule="auto" w:line="360"/>
        <w:jc w:val="center"/>
        <w:rPr>
          <w:rFonts w:ascii="Times New Roman" w:hAnsi="Times New Roman"/>
          <w:sz w:val="28"/>
          <w:szCs w:val="28"/>
        </w:rPr>
      </w:pPr>
      <w:r>
        <w:rPr/>
        <mc:AlternateContent>
          <mc:Choice Requires="wpg">
            <w:drawing>
              <wp:inline distT="0" distB="0" distL="0" distR="0" wp14:anchorId="12B1234F">
                <wp:extent cx="3239135" cy="5582285"/>
                <wp:effectExtent l="0" t="0" r="19050" b="19050"/>
                <wp:docPr id="1" name=""/>
                <a:graphic xmlns:a="http://schemas.openxmlformats.org/drawingml/2006/main">
                  <a:graphicData uri="http://schemas.microsoft.com/office/word/2010/wordprocessingGroup">
                    <wpg:wgp>
                      <wpg:cNvGrpSpPr/>
                      <wpg:grpSpPr>
                        <a:xfrm>
                          <a:off x="0" y="0"/>
                          <a:ext cx="3238560" cy="5581800"/>
                        </a:xfrm>
                      </wpg:grpSpPr>
                      <wps:wsp>
                        <wps:cNvSpPr/>
                        <wps:spPr>
                          <a:xfrm flipV="1">
                            <a:off x="2653200" y="3146400"/>
                            <a:ext cx="0" cy="278640"/>
                          </a:xfrm>
                          <a:prstGeom prst="line">
                            <a:avLst/>
                          </a:prstGeom>
                          <a:ln w="6480">
                            <a:solidFill>
                              <a:schemeClr val="tx1">
                                <a:lumMod val="100000"/>
                                <a:lumOff val="0"/>
                              </a:schemeClr>
                            </a:solidFill>
                            <a:miter/>
                          </a:ln>
                        </wps:spPr>
                        <wps:style>
                          <a:lnRef idx="0"/>
                          <a:fillRef idx="0"/>
                          <a:effectRef idx="0"/>
                          <a:fontRef idx="minor"/>
                        </wps:style>
                        <wps:bodyPr/>
                      </wps:wsp>
                      <wps:wsp>
                        <wps:cNvSpPr/>
                        <wps:spPr>
                          <a:xfrm flipV="1">
                            <a:off x="1740600" y="3184560"/>
                            <a:ext cx="0" cy="221040"/>
                          </a:xfrm>
                          <a:prstGeom prst="line">
                            <a:avLst/>
                          </a:prstGeom>
                          <a:ln w="6480">
                            <a:solidFill>
                              <a:schemeClr val="tx1">
                                <a:lumMod val="100000"/>
                                <a:lumOff val="0"/>
                              </a:schemeClr>
                            </a:solidFill>
                            <a:miter/>
                          </a:ln>
                        </wps:spPr>
                        <wps:style>
                          <a:lnRef idx="0"/>
                          <a:fillRef idx="0"/>
                          <a:effectRef idx="0"/>
                          <a:fontRef idx="minor"/>
                        </wps:style>
                        <wps:bodyPr/>
                      </wps:wsp>
                      <wps:wsp>
                        <wps:cNvSpPr/>
                        <wps:spPr>
                          <a:xfrm rot="10800000">
                            <a:off x="0" y="4098960"/>
                            <a:ext cx="3238560" cy="374040"/>
                          </a:xfrm>
                          <a:prstGeom prst="rect">
                            <a:avLst/>
                          </a:prstGeom>
                          <a:solidFill>
                            <a:schemeClr val="lt1">
                              <a:lumMod val="100000"/>
                              <a:lumOff val="0"/>
                            </a:schemeClr>
                          </a:solidFill>
                          <a:ln w="6480">
                            <a:solidFill>
                              <a:srgbClr val="000000"/>
                            </a:solidFill>
                            <a:miter/>
                          </a:ln>
                        </wps:spPr>
                        <wps:style>
                          <a:lnRef idx="0"/>
                          <a:fillRef idx="0"/>
                          <a:effectRef idx="0"/>
                          <a:fontRef idx="minor"/>
                        </wps:style>
                        <wps:txbx>
                          <w:txbxContent>
                            <w:p>
                              <w:pPr>
                                <w:overflowPunct w:val="false"/>
                                <w:spacing w:before="0" w:after="0" w:lineRule="auto" w:line="240"/>
                                <w:jc w:val="center"/>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lang w:eastAsia="uk-UA"/>
                                </w:rPr>
                                <w:t>Основні резерви покращення ефективності використання основних фондів</w:t>
                              </w:r>
                            </w:p>
                          </w:txbxContent>
                        </wps:txbx>
                        <wps:bodyPr>
                          <a:noAutofit/>
                        </wps:bodyPr>
                      </wps:wsp>
                      <wps:wsp>
                        <wps:cNvSpPr/>
                        <wps:spPr>
                          <a:xfrm rot="10800000">
                            <a:off x="2365200" y="3392640"/>
                            <a:ext cx="873000" cy="442080"/>
                          </a:xfrm>
                          <a:prstGeom prst="rect">
                            <a:avLst/>
                          </a:prstGeom>
                          <a:solidFill>
                            <a:schemeClr val="lt1">
                              <a:lumMod val="100000"/>
                              <a:lumOff val="0"/>
                            </a:schemeClr>
                          </a:solidFill>
                          <a:ln w="6480">
                            <a:solidFill>
                              <a:srgbClr val="000000"/>
                            </a:solidFill>
                            <a:miter/>
                          </a:ln>
                        </wps:spPr>
                        <wps:style>
                          <a:lnRef idx="0"/>
                          <a:fillRef idx="0"/>
                          <a:effectRef idx="0"/>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Технічне вдосконалення фондів:</w:t>
                              </w:r>
                            </w:p>
                          </w:txbxContent>
                        </wps:txbx>
                        <wps:bodyPr>
                          <a:noAutofit/>
                        </wps:bodyPr>
                      </wps:wsp>
                      <wps:wsp>
                        <wps:cNvSpPr/>
                        <wps:spPr>
                          <a:xfrm rot="10800000">
                            <a:off x="1116360" y="3392640"/>
                            <a:ext cx="1193760" cy="442080"/>
                          </a:xfrm>
                          <a:prstGeom prst="rect">
                            <a:avLst/>
                          </a:prstGeom>
                          <a:solidFill>
                            <a:schemeClr val="lt1">
                              <a:lumMod val="100000"/>
                              <a:lumOff val="0"/>
                            </a:schemeClr>
                          </a:solidFill>
                          <a:ln w="6480">
                            <a:solidFill>
                              <a:srgbClr val="000000"/>
                            </a:solidFill>
                            <a:miter/>
                          </a:ln>
                        </wps:spPr>
                        <wps:style>
                          <a:lnRef idx="0"/>
                          <a:fillRef idx="0"/>
                          <a:effectRef idx="0"/>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Зростання тривалості роботи машин та обладнання за рахунок:</w:t>
                              </w:r>
                            </w:p>
                          </w:txbxContent>
                        </wps:txbx>
                        <wps:bodyPr>
                          <a:noAutofit/>
                        </wps:bodyPr>
                      </wps:wsp>
                      <wps:wsp>
                        <wps:cNvSpPr/>
                        <wps:spPr>
                          <a:xfrm flipH="1" rot="10800000">
                            <a:off x="2122920" y="3832920"/>
                            <a:ext cx="469440" cy="268560"/>
                          </a:xfrm>
                          <a:custGeom>
                            <a:avLst/>
                            <a:gdLst/>
                            <a:ahLst/>
                            <a:rect l="l" t="t" r="r" b="b"/>
                            <a:pathLst>
                              <a:path w="21600" h="21600">
                                <a:moveTo>
                                  <a:pt x="0" y="0"/>
                                </a:moveTo>
                                <a:lnTo>
                                  <a:pt x="21600" y="21600"/>
                                </a:lnTo>
                              </a:path>
                            </a:pathLst>
                          </a:custGeom>
                          <a:noFill/>
                          <a:ln w="6480">
                            <a:solidFill>
                              <a:schemeClr val="tx1">
                                <a:lumMod val="100000"/>
                                <a:lumOff val="0"/>
                              </a:schemeClr>
                            </a:solidFill>
                            <a:miter/>
                            <a:tailEnd len="med" type="triangle" w="med"/>
                          </a:ln>
                        </wps:spPr>
                        <wps:style>
                          <a:lnRef idx="0"/>
                          <a:fillRef idx="0"/>
                          <a:effectRef idx="0"/>
                          <a:fontRef idx="minor"/>
                        </wps:style>
                        <wps:bodyPr/>
                      </wps:wsp>
                      <wps:wsp>
                        <wps:cNvSpPr/>
                        <wps:spPr>
                          <a:xfrm rot="10800000">
                            <a:off x="663120" y="3832200"/>
                            <a:ext cx="452880" cy="269280"/>
                          </a:xfrm>
                          <a:custGeom>
                            <a:avLst/>
                            <a:gdLst/>
                            <a:ahLst/>
                            <a:rect l="l" t="t" r="r" b="b"/>
                            <a:pathLst>
                              <a:path w="21600" h="21600">
                                <a:moveTo>
                                  <a:pt x="0" y="0"/>
                                </a:moveTo>
                                <a:lnTo>
                                  <a:pt x="21600" y="21600"/>
                                </a:lnTo>
                              </a:path>
                            </a:pathLst>
                          </a:custGeom>
                          <a:noFill/>
                          <a:ln w="6480">
                            <a:solidFill>
                              <a:schemeClr val="tx1">
                                <a:lumMod val="100000"/>
                                <a:lumOff val="0"/>
                              </a:schemeClr>
                            </a:solidFill>
                            <a:miter/>
                            <a:tailEnd len="med" type="triangle" w="med"/>
                          </a:ln>
                        </wps:spPr>
                        <wps:style>
                          <a:lnRef idx="0"/>
                          <a:fillRef idx="0"/>
                          <a:effectRef idx="0"/>
                          <a:fontRef idx="minor"/>
                        </wps:style>
                        <wps:bodyPr/>
                      </wps:wsp>
                      <wps:wsp>
                        <wps:cNvSpPr/>
                        <wps:spPr>
                          <a:xfrm rot="10800000">
                            <a:off x="1254600" y="1109520"/>
                            <a:ext cx="867240" cy="2087280"/>
                          </a:xfrm>
                          <a:prstGeom prst="rect">
                            <a:avLst/>
                          </a:prstGeom>
                          <a:solidFill>
                            <a:schemeClr val="lt1">
                              <a:lumMod val="100000"/>
                              <a:lumOff val="0"/>
                            </a:schemeClr>
                          </a:solidFill>
                          <a:ln w="6480">
                            <a:solidFill>
                              <a:srgbClr val="000000"/>
                            </a:solidFill>
                            <a:miter/>
                          </a:ln>
                        </wps:spPr>
                        <wps:style>
                          <a:lnRef idx="0"/>
                          <a:fillRef idx="0"/>
                          <a:effectRef idx="0"/>
                          <a:fontRef idx="minor"/>
                        </wps:style>
                        <wps:txb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ліквідації незадіяного обладнання (оренда, лізинг, реалізація);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скорочення термінів ремонту обладнання;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зниження простоїв: цілозмінних та всередині змін.</w:t>
                              </w:r>
                            </w:p>
                          </w:txbxContent>
                        </wps:txbx>
                        <wps:bodyPr>
                          <a:noAutofit/>
                        </wps:bodyPr>
                      </wps:wsp>
                      <wps:wsp>
                        <wps:cNvSpPr/>
                        <wps:spPr>
                          <a:xfrm rot="10800000">
                            <a:off x="2205360" y="1108800"/>
                            <a:ext cx="1033200" cy="2135520"/>
                          </a:xfrm>
                          <a:prstGeom prst="rect">
                            <a:avLst/>
                          </a:prstGeom>
                          <a:solidFill>
                            <a:schemeClr val="lt1">
                              <a:lumMod val="100000"/>
                              <a:lumOff val="0"/>
                            </a:schemeClr>
                          </a:solidFill>
                          <a:ln w="6480">
                            <a:solidFill>
                              <a:srgbClr val="000000"/>
                            </a:solidFill>
                            <a:miter/>
                          </a:ln>
                        </wps:spPr>
                        <wps:style>
                          <a:lnRef idx="0"/>
                          <a:fillRef idx="0"/>
                          <a:effectRef idx="0"/>
                          <a:fontRef idx="minor"/>
                        </wps:style>
                        <wps:txb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технічне переозброєння на базі комплексної автоматизації та впровадження гнучких виробничих систем;</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заміну застарілої техніки, модернізацію обладнання;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механізацію допоміжних та обслуговуючих виробництв;</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розвиток винахідництва та раціоналізаторства.</w:t>
                              </w:r>
                            </w:p>
                          </w:txbxContent>
                        </wps:txbx>
                        <wps:bodyPr>
                          <a:noAutofit/>
                        </wps:bodyPr>
                      </wps:wsp>
                      <wps:wsp>
                        <wps:cNvSpPr/>
                        <wps:spPr>
                          <a:xfrm flipH="1" rot="10800000">
                            <a:off x="1691640" y="3832920"/>
                            <a:ext cx="10800" cy="268560"/>
                          </a:xfrm>
                          <a:custGeom>
                            <a:avLst/>
                            <a:gdLst/>
                            <a:ahLst/>
                            <a:rect l="l" t="t" r="r" b="b"/>
                            <a:pathLst>
                              <a:path w="21600" h="21600">
                                <a:moveTo>
                                  <a:pt x="0" y="0"/>
                                </a:moveTo>
                                <a:lnTo>
                                  <a:pt x="21600" y="21600"/>
                                </a:lnTo>
                              </a:path>
                            </a:pathLst>
                          </a:custGeom>
                          <a:noFill/>
                          <a:ln>
                            <a:solidFill>
                              <a:schemeClr val="tx1"/>
                            </a:solidFill>
                            <a:tailEnd len="med" type="triangle" w="med"/>
                          </a:ln>
                        </wps:spPr>
                        <wps:style>
                          <a:lnRef idx="1">
                            <a:schemeClr val="accent1"/>
                          </a:lnRef>
                          <a:fillRef idx="0">
                            <a:schemeClr val="accent1"/>
                          </a:fillRef>
                          <a:effectRef idx="0">
                            <a:schemeClr val="accent1"/>
                          </a:effectRef>
                          <a:fontRef idx="minor"/>
                        </wps:style>
                        <wps:bodyPr/>
                      </wps:wsp>
                      <wps:wsp>
                        <wps:cNvSpPr/>
                        <wps:spPr>
                          <a:xfrm rot="10800000">
                            <a:off x="0" y="3402360"/>
                            <a:ext cx="1021680" cy="43236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Покращення організації та управління виробництвом:</w:t>
                              </w:r>
                            </w:p>
                          </w:txbxContent>
                        </wps:txbx>
                        <wps:bodyPr>
                          <a:noAutofit/>
                        </wps:bodyPr>
                      </wps:wsp>
                      <wps:wsp>
                        <wps:cNvSpPr/>
                        <wps:spPr>
                          <a:xfrm rot="10800000">
                            <a:off x="0" y="1108800"/>
                            <a:ext cx="1215360" cy="212616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досягнення проектної продуктивності введених в експлуатацію основних фондів;</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впровадження наукової організації праці та виробництва;</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покращення матеріально-технічного забезпечення;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вдосконалення</w:t>
                              </w:r>
                              <w:r>
                                <w:rPr>
                                  <w:b w:val="false"/>
                                  <w:u w:val="none"/>
                                  <w:dstrike w:val="false"/>
                                  <w:strike w:val="false"/>
                                  <w:i w:val="false"/>
                                  <w:vertAlign w:val="baseline"/>
                                  <w:position w:val="0"/>
                                  <w:sz w:val="28"/>
                                  <w:spacing w:val="0"/>
                                  <w:bCs w:val="false"/>
                                  <w:iCs w:val="false"/>
                                  <w:smallCaps w:val="false"/>
                                  <w:caps w:val="false"/>
                                  <w:sz w:val="28"/>
                                  <w:szCs w:val="28"/>
                                  <w:lang w:eastAsia="uk-UA"/>
                                </w:rPr>
                                <w:t xml:space="preserve"> </w:t>
                              </w:r>
                              <w:r>
                                <w:rPr>
                                  <w:b w:val="false"/>
                                  <w:u w:val="none"/>
                                  <w:dstrike w:val="false"/>
                                  <w:strike w:val="false"/>
                                  <w:i w:val="false"/>
                                  <w:vertAlign w:val="baseline"/>
                                  <w:position w:val="0"/>
                                  <w:sz w:val="20"/>
                                  <w:spacing w:val="0"/>
                                  <w:bCs w:val="false"/>
                                  <w:iCs w:val="false"/>
                                  <w:smallCaps w:val="false"/>
                                  <w:caps w:val="false"/>
                                  <w:sz w:val="20"/>
                                  <w:szCs w:val="20"/>
                                  <w:lang w:eastAsia="uk-UA"/>
                                </w:rPr>
                                <w:t>управління виробництвом на базі сучасної комп’ютерної</w:t>
                              </w:r>
                              <w:r>
                                <w:rPr>
                                  <w:b w:val="false"/>
                                  <w:u w:val="none"/>
                                  <w:dstrike w:val="false"/>
                                  <w:strike w:val="false"/>
                                  <w:i w:val="false"/>
                                  <w:vertAlign w:val="baseline"/>
                                  <w:position w:val="0"/>
                                  <w:sz w:val="28"/>
                                  <w:spacing w:val="0"/>
                                  <w:bCs w:val="false"/>
                                  <w:iCs w:val="false"/>
                                  <w:smallCaps w:val="false"/>
                                  <w:caps w:val="false"/>
                                  <w:sz w:val="28"/>
                                  <w:szCs w:val="28"/>
                                  <w:lang w:eastAsia="uk-UA"/>
                                </w:rPr>
                                <w:t xml:space="preserve"> </w:t>
                              </w:r>
                              <w:r>
                                <w:rPr>
                                  <w:b w:val="false"/>
                                  <w:u w:val="none"/>
                                  <w:dstrike w:val="false"/>
                                  <w:strike w:val="false"/>
                                  <w:i w:val="false"/>
                                  <w:vertAlign w:val="baseline"/>
                                  <w:position w:val="0"/>
                                  <w:sz w:val="20"/>
                                  <w:spacing w:val="0"/>
                                  <w:bCs w:val="false"/>
                                  <w:iCs w:val="false"/>
                                  <w:smallCaps w:val="false"/>
                                  <w:caps w:val="false"/>
                                  <w:sz w:val="20"/>
                                  <w:szCs w:val="20"/>
                                  <w:lang w:eastAsia="uk-UA"/>
                                </w:rPr>
                                <w:t>техніки</w:t>
                              </w:r>
                              <w:r>
                                <w:rPr>
                                  <w:b w:val="false"/>
                                  <w:u w:val="none"/>
                                  <w:dstrike w:val="false"/>
                                  <w:strike w:val="false"/>
                                  <w:i w:val="false"/>
                                  <w:vertAlign w:val="baseline"/>
                                  <w:position w:val="0"/>
                                  <w:sz w:val="28"/>
                                  <w:spacing w:val="0"/>
                                  <w:bCs w:val="false"/>
                                  <w:iCs w:val="false"/>
                                  <w:smallCaps w:val="false"/>
                                  <w:caps w:val="false"/>
                                  <w:sz w:val="28"/>
                                  <w:szCs w:val="28"/>
                                  <w:lang w:eastAsia="uk-UA"/>
                                </w:rPr>
                                <w:t>.</w:t>
                              </w:r>
                            </w:p>
                          </w:txbxContent>
                        </wps:txbx>
                        <wps:bodyPr>
                          <a:noAutofit/>
                        </wps:bodyPr>
                      </wps:wsp>
                      <wps:wsp>
                        <wps:cNvSpPr/>
                        <wps:spPr>
                          <a:xfrm flipV="1">
                            <a:off x="624240" y="3216240"/>
                            <a:ext cx="0" cy="170280"/>
                          </a:xfrm>
                          <a:prstGeom prst="line">
                            <a:avLst/>
                          </a:prstGeom>
                          <a:ln>
                            <a:solidFill>
                              <a:schemeClr val="tx1"/>
                            </a:solidFill>
                          </a:ln>
                        </wps:spPr>
                        <wps:style>
                          <a:lnRef idx="1">
                            <a:schemeClr val="accent1"/>
                          </a:lnRef>
                          <a:fillRef idx="0">
                            <a:schemeClr val="accent1"/>
                          </a:fillRef>
                          <a:effectRef idx="0">
                            <a:schemeClr val="accent1"/>
                          </a:effectRef>
                          <a:fontRef idx="minor"/>
                        </wps:style>
                        <wps:bodyPr/>
                      </wps:wsp>
                      <wps:wsp>
                        <wps:cNvSpPr/>
                        <wps:spPr>
                          <a:xfrm flipH="1">
                            <a:off x="1870560" y="1324080"/>
                            <a:ext cx="160560" cy="0"/>
                          </a:xfrm>
                          <a:prstGeom prst="line">
                            <a:avLst/>
                          </a:prstGeom>
                          <a:ln>
                            <a:solidFill>
                              <a:schemeClr val="tx1"/>
                            </a:solidFill>
                          </a:ln>
                        </wps:spPr>
                        <wps:style>
                          <a:lnRef idx="1">
                            <a:schemeClr val="accent1"/>
                          </a:lnRef>
                          <a:fillRef idx="0">
                            <a:schemeClr val="accent1"/>
                          </a:fillRef>
                          <a:effectRef idx="0">
                            <a:schemeClr val="accent1"/>
                          </a:effectRef>
                          <a:fontRef idx="minor"/>
                        </wps:style>
                        <wps:bodyPr/>
                      </wps:wsp>
                      <wps:wsp>
                        <wps:cNvSpPr/>
                        <wps:spPr>
                          <a:xfrm flipH="1">
                            <a:off x="1870560" y="4648320"/>
                            <a:ext cx="160560" cy="0"/>
                          </a:xfrm>
                          <a:prstGeom prst="line">
                            <a:avLst/>
                          </a:prstGeom>
                          <a:ln>
                            <a:solidFill>
                              <a:schemeClr val="tx1"/>
                            </a:solidFill>
                          </a:ln>
                        </wps:spPr>
                        <wps:style>
                          <a:lnRef idx="1">
                            <a:schemeClr val="accent1"/>
                          </a:lnRef>
                          <a:fillRef idx="0">
                            <a:schemeClr val="accent1"/>
                          </a:fillRef>
                          <a:effectRef idx="0">
                            <a:schemeClr val="accent1"/>
                          </a:effectRef>
                          <a:fontRef idx="minor"/>
                        </wps:style>
                        <wps:bodyPr/>
                      </wps:wsp>
                      <wps:wsp>
                        <wps:cNvSpPr/>
                        <wps:spPr>
                          <a:xfrm rot="5400000">
                            <a:off x="2379960" y="0"/>
                            <a:ext cx="5581800" cy="214560"/>
                          </a:xfrm>
                          <a:prstGeom prst="rect">
                            <a:avLst/>
                          </a:prstGeom>
                          <a:solidFill>
                            <a:schemeClr val="lt1"/>
                          </a:solidFill>
                          <a:ln>
                            <a:solidFill>
                              <a:schemeClr val="tx1"/>
                            </a:solidFill>
                          </a:ln>
                        </wps:spPr>
                        <wps:style>
                          <a:lnRef idx="1">
                            <a:schemeClr val="accent1"/>
                          </a:lnRef>
                          <a:fillRef idx="0">
                            <a:schemeClr val="accent1"/>
                          </a:fillRef>
                          <a:effectRef idx="0">
                            <a:schemeClr val="accent1"/>
                          </a:effectRef>
                          <a:fontRef idx="minor"/>
                        </wps:style>
                        <wps:txb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Основні напрями підвищення ефективності використання основних фондів</w:t>
                              </w:r>
                            </w:p>
                          </w:txbxContent>
                        </wps:txbx>
                        <wps:bodyPr>
                          <a:noAutofit/>
                        </wps:bodyPr>
                      </wps:wsp>
                      <wps:wsp>
                        <wps:cNvSpPr/>
                        <wps:spPr>
                          <a:xfrm rot="5400000">
                            <a:off x="2037240" y="0"/>
                            <a:ext cx="2656800" cy="18720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Прийоми інтенсивних напрямів:</w:t>
                              </w:r>
                            </w:p>
                          </w:txbxContent>
                        </wps:txbx>
                        <wps:bodyPr>
                          <a:noAutofit/>
                        </wps:bodyPr>
                      </wps:wsp>
                      <wps:wsp>
                        <wps:cNvSpPr/>
                        <wps:spPr>
                          <a:xfrm rot="5400000">
                            <a:off x="2037240" y="2924640"/>
                            <a:ext cx="2656800" cy="18720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Прийоми екстенсивних напрямів:</w:t>
                              </w:r>
                            </w:p>
                          </w:txbxContent>
                        </wps:txbx>
                        <wps:bodyPr>
                          <a:noAutofit/>
                        </wps:bodyPr>
                      </wps:wsp>
                      <wps:wsp>
                        <wps:cNvSpPr/>
                        <wps:spPr>
                          <a:xfrm flipH="1" rot="5400000">
                            <a:off x="2225160" y="1114560"/>
                            <a:ext cx="808920" cy="154440"/>
                          </a:xfrm>
                          <a:custGeom>
                            <a:avLst/>
                            <a:gdLst/>
                            <a:ahLst/>
                            <a:rect l="l" t="t" r="r" b="b"/>
                            <a:pathLst>
                              <a:path w="21600" h="21600">
                                <a:moveTo>
                                  <a:pt x="0" y="0"/>
                                </a:moveTo>
                                <a:lnTo>
                                  <a:pt x="21600" y="21600"/>
                                </a:lnTo>
                              </a:path>
                            </a:pathLst>
                          </a:custGeom>
                          <a:noFill/>
                          <a:ln>
                            <a:solidFill>
                              <a:schemeClr val="tx1"/>
                            </a:solidFill>
                            <a:tailEnd len="med" type="triangle" w="med"/>
                          </a:ln>
                        </wps:spPr>
                        <wps:style>
                          <a:lnRef idx="1">
                            <a:schemeClr val="accent1"/>
                          </a:lnRef>
                          <a:fillRef idx="0">
                            <a:schemeClr val="accent1"/>
                          </a:fillRef>
                          <a:effectRef idx="0">
                            <a:schemeClr val="accent1"/>
                          </a:effectRef>
                          <a:fontRef idx="minor"/>
                        </wps:style>
                        <wps:bodyPr/>
                      </wps:wsp>
                      <wps:wsp>
                        <wps:cNvSpPr/>
                        <wps:spPr>
                          <a:xfrm rot="5400000">
                            <a:off x="2225160" y="3610440"/>
                            <a:ext cx="828000" cy="154440"/>
                          </a:xfrm>
                          <a:custGeom>
                            <a:avLst/>
                            <a:gdLst/>
                            <a:ahLst/>
                            <a:rect l="l" t="t" r="r" b="b"/>
                            <a:pathLst>
                              <a:path w="21600" h="21600">
                                <a:moveTo>
                                  <a:pt x="0" y="0"/>
                                </a:moveTo>
                                <a:lnTo>
                                  <a:pt x="21600" y="21600"/>
                                </a:lnTo>
                              </a:path>
                            </a:pathLst>
                          </a:custGeom>
                          <a:noFill/>
                          <a:ln>
                            <a:solidFill>
                              <a:schemeClr val="tx1"/>
                            </a:solidFill>
                            <a:tailEnd len="med" type="triangle" w="med"/>
                          </a:ln>
                        </wps:spPr>
                        <wps:style>
                          <a:lnRef idx="1">
                            <a:schemeClr val="accent1"/>
                          </a:lnRef>
                          <a:fillRef idx="0">
                            <a:schemeClr val="accent1"/>
                          </a:fillRef>
                          <a:effectRef idx="0">
                            <a:schemeClr val="accent1"/>
                          </a:effectRef>
                          <a:fontRef idx="minor"/>
                        </wps:style>
                        <wps:bodyPr/>
                      </wps:wsp>
                      <wps:wsp>
                        <wps:cNvSpPr/>
                        <wps:spPr>
                          <a:xfrm rot="5400000">
                            <a:off x="716400" y="3105720"/>
                            <a:ext cx="2475720" cy="115452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скорочення простоїв обладнання;</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підвищення якості ремонтів та обслуговування обладнання;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збільшення кількості машино-змін роботи обладнання;</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зменшення кількості устаткування, яке виведено з ладу;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придбання та введення в експлуатацію додаткового обладнання.</w:t>
                              </w:r>
                            </w:p>
                          </w:txbxContent>
                        </wps:txbx>
                        <wps:bodyPr>
                          <a:noAutofit/>
                        </wps:bodyPr>
                      </wps:wsp>
                      <wps:wsp>
                        <wps:cNvSpPr/>
                        <wps:spPr>
                          <a:xfrm rot="5400000">
                            <a:off x="716400" y="0"/>
                            <a:ext cx="2924280" cy="1160280"/>
                          </a:xfrm>
                          <a:prstGeom prst="rect">
                            <a:avLst/>
                          </a:prstGeom>
                          <a:solidFill>
                            <a:schemeClr val="lt1"/>
                          </a:solidFill>
                          <a:ln w="6480">
                            <a:solidFill>
                              <a:srgbClr val="000000"/>
                            </a:solidFill>
                            <a:round/>
                          </a:ln>
                        </wps:spPr>
                        <wps:style>
                          <a:lnRef idx="0"/>
                          <a:fillRef idx="0"/>
                          <a:effectRef idx="0"/>
                          <a:fontRef idx="minor"/>
                        </wps:style>
                        <wps:txbx>
                          <w:txbxContent>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механізація, автоматизація та технічне переозброєння і модернізація виробничого процесу;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удосконалення технологічних процесів підприємства;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скорочення тривалості операційного циклу виробництва;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застосування прогресивних форм організації та управління виробництвом; </w:t>
                              </w:r>
                            </w:p>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cs="Times New Roman" w:ascii="Times New Roman" w:hAnsi="Times New Roman"/>
                                  <w:color w:val="00000A"/>
                                  <w:lang w:eastAsia="uk-UA"/>
                                </w:rPr>
                                <w:t>покращення освітньо-кваліфікаційного рівня персоналу.</w:t>
                              </w:r>
                            </w:p>
                          </w:txbxContent>
                        </wps:txbx>
                        <wps:bodyPr>
                          <a:noAutofit/>
                        </wps:bodyPr>
                      </wps:wsp>
                    </wpg:wgp>
                  </a:graphicData>
                </a:graphic>
              </wp:inline>
            </w:drawing>
          </mc:Choice>
          <mc:Fallback>
            <w:pict>
              <v:group id="shape_0" style="position:absolute;margin-left:-23.95pt;margin-top:-370.1pt;width:439.5pt;height:318.05pt" coordorigin="-479,-7402" coordsize="8790,6361">
                <v:line id="shape_0" from="4178,-3836" to="4178,-3398" ID="Прямая соединительная линия 8" stroked="t" style="position:absolute;flip:y;mso-position-vertical:top">
                  <v:stroke color="black" weight="6480" joinstyle="miter" endcap="flat"/>
                  <v:fill o:detectmouseclick="t" on="false"/>
                </v:line>
                <v:line id="shape_0" from="2741,-3776" to="2741,-3429" ID="Прямая соединительная линия 12" stroked="t" style="position:absolute;flip:y;mso-position-vertical:top">
                  <v:stroke color="black" weight="6480" joinstyle="miter" endcap="flat"/>
                  <v:fill o:detectmouseclick="t" on="false"/>
                </v:line>
                <v:rect id="shape_0" ID="Надпись 4" fillcolor="white" stroked="t" style="position:absolute;left:0;top:-2336;width:5099;height:588;rotation:180;mso-position-vertical:top">
                  <v:textbox>
                    <w:txbxContent>
                      <w:p>
                        <w:pPr>
                          <w:overflowPunct w:val="false"/>
                          <w:spacing w:before="0" w:after="0" w:lineRule="auto" w:line="240"/>
                          <w:jc w:val="center"/>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lang w:eastAsia="uk-UA"/>
                          </w:rPr>
                          <w:t>Основні резерви покращення ефективності використання основних фондів</w:t>
                        </w:r>
                      </w:p>
                    </w:txbxContent>
                  </v:textbox>
                  <w10:wrap type="square"/>
                  <v:fill o:detectmouseclick="t" type="solid" color2="black"/>
                  <v:stroke color="black" weight="6480" joinstyle="miter" endcap="flat"/>
                </v:rect>
                <v:rect id="shape_0" ID="Надпись 5" fillcolor="white" stroked="t" style="position:absolute;left:3725;top:-3448;width:1374;height:695;rotation:180;mso-position-vertical:top">
                  <v:textbo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Технічне вдосконалення фондів:</w:t>
                        </w:r>
                      </w:p>
                    </w:txbxContent>
                  </v:textbox>
                  <w10:wrap type="square"/>
                  <v:fill o:detectmouseclick="t" type="solid" color2="black"/>
                  <v:stroke color="black" weight="6480" joinstyle="miter" endcap="flat"/>
                </v:rect>
                <v:rect id="shape_0" ID="Надпись 6" fillcolor="white" stroked="t" style="position:absolute;left:1758;top:-3448;width:1879;height:695;rotation:180;mso-position-vertical:top">
                  <v:textbo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Зростання тривалості роботи машин та обладнання за рахунок:</w:t>
                        </w:r>
                      </w:p>
                    </w:txbxContent>
                  </v:textbox>
                  <w10:wrap type="square"/>
                  <v:fill o:detectmouseclick="t" type="solid" color2="black"/>
                  <v:stroke color="black" weight="6480" joinstyle="miter" endcap="flat"/>
                </v:rect>
                <v:shapetype id="shapetype_32" coordsize="21600,21600" o:spt="32" path="m,l21600,21600nfe">
                  <v:stroke joinstyle="miter"/>
                  <v:path gradientshapeok="t" o:connecttype="rect" textboxrect="0,0,21600,21600"/>
                </v:shapetype>
                <v:shape id="shape_0" ID="Прямая со стрелкой 9" stroked="t" style="position:absolute;left:3343;top:-2755;width:738;height:422;flip:x;rotation:180;mso-position-vertical:top" type="shapetype_32">
                  <w10:wrap type="none"/>
                  <v:fill o:detectmouseclick="t" on="false"/>
                  <v:stroke color="black" weight="6480" endarrow="block" endarrowwidth="medium" endarrowlength="medium" joinstyle="miter" endcap="flat"/>
                </v:shape>
                <v:shape id="shape_0" ID="Прямая со стрелкой 10" stroked="t" style="position:absolute;left:1044;top:-2756;width:712;height:423;rotation:180;mso-position-vertical:top" type="shapetype_32">
                  <w10:wrap type="none"/>
                  <v:fill o:detectmouseclick="t" on="false"/>
                  <v:stroke color="black" weight="6480" endarrow="block" endarrowwidth="medium" endarrowlength="medium" joinstyle="miter" endcap="flat"/>
                </v:shape>
                <v:rect id="shape_0" ID="Надпись 11" fillcolor="white" stroked="t" style="position:absolute;left:1976;top:-7044;width:1365;height:3286;rotation:180;mso-position-vertical:top">
                  <v:textbo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ліквідації незадіяного обладнання (оренда, лізинг, реалізація);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скорочення термінів ремонту обладнання;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зниження простоїв: цілозмінних та всередині змін.</w:t>
                        </w:r>
                      </w:p>
                    </w:txbxContent>
                  </v:textbox>
                  <w10:wrap type="square"/>
                  <v:fill o:detectmouseclick="t" type="solid" color2="black"/>
                  <v:stroke color="black" weight="6480" joinstyle="miter" endcap="flat"/>
                </v:rect>
                <v:rect id="shape_0" ID="Надпись 7" fillcolor="white" stroked="t" style="position:absolute;left:3473;top:-7045;width:1626;height:3362;rotation:180;mso-position-vertical:top">
                  <v:textbo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технічне переозброєння на базі комплексної автоматизації та впровадження гнучких виробничих систем;</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заміну застарілої техніки, модернізацію обладнання;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механізацію допоміжних та обслуговуючих виробництв;</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розвиток винахідництва та раціоналізаторства.</w:t>
                        </w:r>
                      </w:p>
                    </w:txbxContent>
                  </v:textbox>
                  <w10:wrap type="square"/>
                  <v:fill o:detectmouseclick="t" type="solid" color2="black"/>
                  <v:stroke color="black" weight="6480" joinstyle="miter" endcap="flat"/>
                </v:rect>
                <v:shape id="shape_0" ID="Прямая со стрелкой 26" stroked="t" style="position:absolute;left:2664;top:-2755;width:16;height:422;flip:x;rotation:180;mso-position-vertical:top" type="shapetype_32">
                  <w10:wrap type="none"/>
                  <v:fill o:detectmouseclick="t" on="false"/>
                  <v:stroke color="black" weight="6480" endarrow="block" endarrowwidth="medium" endarrowlength="medium" joinstyle="miter" endcap="flat"/>
                </v:shape>
                <v:rect id="shape_0" ID="Надпись 27" fillcolor="white" stroked="t" style="position:absolute;left:0;top:-3433;width:1608;height:680;rotation:180;mso-position-vertical:top">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Times New Roman" w:hAnsi="Times New Roman"/>
                            <w:lang w:eastAsia="uk-UA"/>
                          </w:rPr>
                          <w:t>Покращення організації та управління виробництвом:</w:t>
                        </w:r>
                      </w:p>
                    </w:txbxContent>
                  </v:textbox>
                  <w10:wrap type="square"/>
                  <v:fill o:detectmouseclick="t" type="solid" color2="black"/>
                  <v:stroke color="black" weight="6480" joinstyle="round" endcap="flat"/>
                </v:rect>
                <v:rect id="shape_0" ID="Надпись 28" fillcolor="white" stroked="t" style="position:absolute;left:0;top:-7045;width:1913;height:3347;rotation:180;mso-position-vertical:top">
                  <v:textbox>
                    <w:txbxContent>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досягнення проектної продуктивності введених в експлуатацію основних фондів;</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впровадження наукової організації праці та виробництва;</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покращення матеріально-технічного забезпечення;</w:t>
                        </w:r>
                      </w:p>
                      <w:p>
                        <w:pPr>
                          <w:overflowPunct w:val="false"/>
                          <w:spacing w:before="0" w:after="0" w:lineRule="auto" w:line="240"/>
                          <w:jc w:val="both"/>
                          <w:rPr/>
                        </w:pPr>
                        <w:r>
                          <w:rPr>
                            <w:sz w:val="20"/>
                            <w:b w:val="false"/>
                            <w:u w:val="none"/>
                            <w:dstrike w:val="false"/>
                            <w:strike w:val="false"/>
                            <w:i w:val="false"/>
                            <w:vertAlign w:val="baseline"/>
                            <w:position w:val="0"/>
                            <w:spacing w:val="0"/>
                            <w:szCs w:val="20"/>
                            <w:bCs w:val="false"/>
                            <w:iCs w:val="false"/>
                            <w:smallCaps w:val="false"/>
                            <w:caps w:val="false"/>
                            <w:lang w:eastAsia="uk-UA"/>
                          </w:rPr>
                          <w:t>вдосконалення</w:t>
                        </w:r>
                        <w:r>
                          <w:rPr>
                            <w:b w:val="false"/>
                            <w:u w:val="none"/>
                            <w:dstrike w:val="false"/>
                            <w:strike w:val="false"/>
                            <w:i w:val="false"/>
                            <w:vertAlign w:val="baseline"/>
                            <w:position w:val="0"/>
                            <w:sz w:val="28"/>
                            <w:spacing w:val="0"/>
                            <w:bCs w:val="false"/>
                            <w:iCs w:val="false"/>
                            <w:smallCaps w:val="false"/>
                            <w:caps w:val="false"/>
                            <w:sz w:val="28"/>
                            <w:szCs w:val="28"/>
                            <w:lang w:eastAsia="uk-UA"/>
                          </w:rPr>
                          <w:t xml:space="preserve"> </w:t>
                        </w:r>
                        <w:r>
                          <w:rPr>
                            <w:b w:val="false"/>
                            <w:u w:val="none"/>
                            <w:dstrike w:val="false"/>
                            <w:strike w:val="false"/>
                            <w:i w:val="false"/>
                            <w:vertAlign w:val="baseline"/>
                            <w:position w:val="0"/>
                            <w:sz w:val="20"/>
                            <w:spacing w:val="0"/>
                            <w:bCs w:val="false"/>
                            <w:iCs w:val="false"/>
                            <w:smallCaps w:val="false"/>
                            <w:caps w:val="false"/>
                            <w:sz w:val="20"/>
                            <w:szCs w:val="20"/>
                            <w:lang w:eastAsia="uk-UA"/>
                          </w:rPr>
                          <w:t>управління виробництвом на базі сучасної комп’ютерної</w:t>
                        </w:r>
                        <w:r>
                          <w:rPr>
                            <w:b w:val="false"/>
                            <w:u w:val="none"/>
                            <w:dstrike w:val="false"/>
                            <w:strike w:val="false"/>
                            <w:i w:val="false"/>
                            <w:vertAlign w:val="baseline"/>
                            <w:position w:val="0"/>
                            <w:sz w:val="28"/>
                            <w:spacing w:val="0"/>
                            <w:bCs w:val="false"/>
                            <w:iCs w:val="false"/>
                            <w:smallCaps w:val="false"/>
                            <w:caps w:val="false"/>
                            <w:sz w:val="28"/>
                            <w:szCs w:val="28"/>
                            <w:lang w:eastAsia="uk-UA"/>
                          </w:rPr>
                          <w:t xml:space="preserve"> </w:t>
                        </w:r>
                        <w:r>
                          <w:rPr>
                            <w:b w:val="false"/>
                            <w:u w:val="none"/>
                            <w:dstrike w:val="false"/>
                            <w:strike w:val="false"/>
                            <w:i w:val="false"/>
                            <w:vertAlign w:val="baseline"/>
                            <w:position w:val="0"/>
                            <w:sz w:val="20"/>
                            <w:spacing w:val="0"/>
                            <w:bCs w:val="false"/>
                            <w:iCs w:val="false"/>
                            <w:smallCaps w:val="false"/>
                            <w:caps w:val="false"/>
                            <w:sz w:val="20"/>
                            <w:szCs w:val="20"/>
                            <w:lang w:eastAsia="uk-UA"/>
                          </w:rPr>
                          <w:t>техніки</w:t>
                        </w:r>
                        <w:r>
                          <w:rPr>
                            <w:b w:val="false"/>
                            <w:u w:val="none"/>
                            <w:dstrike w:val="false"/>
                            <w:strike w:val="false"/>
                            <w:i w:val="false"/>
                            <w:vertAlign w:val="baseline"/>
                            <w:position w:val="0"/>
                            <w:sz w:val="28"/>
                            <w:spacing w:val="0"/>
                            <w:bCs w:val="false"/>
                            <w:iCs w:val="false"/>
                            <w:smallCaps w:val="false"/>
                            <w:caps w:val="false"/>
                            <w:sz w:val="28"/>
                            <w:szCs w:val="28"/>
                            <w:lang w:eastAsia="uk-UA"/>
                          </w:rPr>
                          <w:t>.</w:t>
                        </w:r>
                      </w:p>
                    </w:txbxContent>
                  </v:textbox>
                  <w10:wrap type="square"/>
                  <v:fill o:detectmouseclick="t" type="solid" color2="black"/>
                  <v:stroke color="black" weight="6480" joinstyle="round" endcap="flat"/>
                </v:rect>
                <v:line id="shape_0" from="983,-3726" to="983,-3459" ID="Прямая соединительная линия 29" stroked="t" style="position:absolute;flip:y;mso-position-vertical:top">
                  <v:stroke color="black" weight="6480" joinstyle="miter" endcap="flat"/>
                  <v:fill o:detectmouseclick="t" on="false"/>
                </v:line>
                <v:line id="shape_0" from="2946,-6706" to="3198,-6706" ID="Прямая соединительная линия 8" stroked="t" style="position:absolute;flip:x;mso-position-vertical:top">
                  <v:stroke color="black" weight="6480" joinstyle="miter" endcap="flat"/>
                  <v:fill o:detectmouseclick="t" on="false"/>
                </v:line>
                <v:line id="shape_0" from="2946,-1471" to="3198,-1471" ID="Прямая соединительная линия 12" stroked="t" style="position:absolute;flip:x;mso-position-vertical:top">
                  <v:stroke color="black" weight="6480" joinstyle="miter" endcap="flat"/>
                  <v:fill o:detectmouseclick="t" on="false"/>
                </v:line>
                <v:rect id="shape_0" ID="Надпись 4" fillcolor="white" stroked="t" style="position:absolute;left:-477;top:-4565;width:8789;height:337;rotation:90;mso-position-vertical:top">
                  <v:textbo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Основні напрями підвищення ефективності використання основних фондів</w:t>
                        </w:r>
                      </w:p>
                    </w:txbxContent>
                  </v:textbox>
                  <w10:wrap type="square"/>
                  <v:fill o:detectmouseclick="t" type="solid" color2="black"/>
                  <v:stroke color="black" weight="6480" joinstyle="miter" endcap="flat"/>
                </v:rect>
                <v:rect id="shape_0" ID="Надпись 5" fillcolor="white" stroked="t" style="position:absolute;left:1264;top:-6847;width:4183;height:294;rotation:90;mso-position-vertical:top">
                  <v:textbox>
                    <w:txbxContent>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Прийоми інтенсивних напрямів:</w:t>
                        </w:r>
                      </w:p>
                    </w:txbxContent>
                  </v:textbox>
                  <w10:wrap type="square"/>
                  <v:fill o:detectmouseclick="t" type="solid" color2="black"/>
                  <v:stroke color="black" weight="6480" joinstyle="round" endcap="flat"/>
                </v:rect>
                <v:rect id="shape_0" ID="Надпись 6" fillcolor="white" stroked="t" style="position:absolute;left:1264;top:-2241;width:4183;height:294;rotation:90;mso-position-vertical:top">
                  <v:textbox>
                    <w:txbxContent>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ascii="Times New Roman" w:hAnsi="Times New Roman"/>
                            <w:lang w:eastAsia="uk-UA"/>
                          </w:rPr>
                          <w:t>Прийоми екстенсивних напрямів:</w:t>
                        </w:r>
                      </w:p>
                    </w:txbxContent>
                  </v:textbox>
                  <w10:wrap type="square"/>
                  <v:fill o:detectmouseclick="t" type="solid" color2="black"/>
                  <v:stroke color="black" weight="6480" joinstyle="round" endcap="flat"/>
                </v:rect>
                <v:shape id="shape_0" ID="Прямая со стрелкой 9" stroked="t" style="position:absolute;left:2989;top:-6521;width:1273;height:242;flip:x;rotation:270;mso-position-vertical:top" type="shapetype_32">
                  <w10:wrap type="none"/>
                  <v:fill o:detectmouseclick="t" on="false"/>
                  <v:stroke color="black" weight="6480" endarrow="block" endarrowwidth="medium" endarrowlength="medium" joinstyle="miter" endcap="flat"/>
                </v:shape>
                <v:shape id="shape_0" ID="Прямая со стрелкой 10" stroked="t" style="position:absolute;left:2974;top:-2575;width:1303;height:242;rotation:90;mso-position-vertical:top" type="shapetype_32">
                  <w10:wrap type="none"/>
                  <v:fill o:detectmouseclick="t" on="false"/>
                  <v:stroke color="black" weight="6480" endarrow="block" endarrowwidth="medium" endarrowlength="medium" joinstyle="miter" endcap="flat"/>
                </v:shape>
                <v:rect id="shape_0" ID="Надпись 11" fillcolor="white" stroked="t" style="position:absolute;left:88;top:-2860;width:3898;height:1817;rotation:90;mso-position-vertical:top">
                  <v:textbox>
                    <w:txbxContent>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скорочення простоїв обладнання;</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підвищення якості ремонтів та обслуговування обладнання;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збільшення кількості машино-змін роботи обладнання;</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зменшення кількості устаткування, яке виведено з ладу;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придбання та введення в експлуатацію додаткового обладнання.</w:t>
                        </w:r>
                      </w:p>
                    </w:txbxContent>
                  </v:textbox>
                  <w10:wrap type="square"/>
                  <v:fill o:detectmouseclick="t" type="solid" color2="black"/>
                  <v:stroke color="black" weight="6480" joinstyle="round" endcap="flat"/>
                </v:rect>
                <v:rect id="shape_0" ID="Надпись 7" fillcolor="white" stroked="t" style="position:absolute;left:-260;top:-7402;width:4604;height:1826;rotation:90;mso-position-vertical:top">
                  <v:textbox>
                    <w:txbxContent>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механізація, автоматизація та технічне переозброєння і модернізація виробничого процесу;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удосконалення технологічних процесів підприємства;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скорочення тривалості операційного циклу виробництва; </w:t>
                        </w:r>
                      </w:p>
                      <w:p>
                        <w:pPr>
                          <w:overflowPunct w:val="false"/>
                          <w:spacing w:before="0" w:after="0" w:lineRule="auto" w:line="240"/>
                          <w:jc w:val="both"/>
                          <w:rPr/>
                        </w:pPr>
                        <w:r>
                          <w:rPr>
                            <w:sz w:val="22"/>
                            <w:b w:val="false"/>
                            <w:u w:val="none"/>
                            <w:dstrike w:val="false"/>
                            <w:strike w:val="false"/>
                            <w:i w:val="false"/>
                            <w:vertAlign w:val="baseline"/>
                            <w:position w:val="0"/>
                            <w:spacing w:val="0"/>
                            <w:szCs w:val="22"/>
                            <w:bCs w:val="false"/>
                            <w:iCs w:val="false"/>
                            <w:smallCaps w:val="false"/>
                            <w:caps w:val="false"/>
                            <w:rFonts w:ascii="Times New Roman" w:hAnsi="Times New Roman" w:cs="Times New Roman"/>
                            <w:color w:val="00000A"/>
                            <w:lang w:eastAsia="uk-UA"/>
                          </w:rPr>
                          <w:t xml:space="preserve">застосування прогресивних форм організації та управління виробництвом; </w:t>
                        </w:r>
                      </w:p>
                      <w:p>
                        <w:pPr>
                          <w:overflowPunct w:val="false"/>
                          <w:spacing w:before="0" w:after="0" w:lineRule="auto" w:line="240"/>
                          <w:jc w:val="left"/>
                          <w:rPr/>
                        </w:pPr>
                        <w:r>
                          <w:rPr>
                            <w:sz w:val="24"/>
                            <w:b w:val="false"/>
                            <w:u w:val="none"/>
                            <w:dstrike w:val="false"/>
                            <w:strike w:val="false"/>
                            <w:i w:val="false"/>
                            <w:vertAlign w:val="baseline"/>
                            <w:position w:val="0"/>
                            <w:spacing w:val="0"/>
                            <w:szCs w:val="24"/>
                            <w:bCs w:val="false"/>
                            <w:iCs w:val="false"/>
                            <w:smallCaps w:val="false"/>
                            <w:caps w:val="false"/>
                            <w:rFonts w:cs="Times New Roman" w:ascii="Times New Roman" w:hAnsi="Times New Roman"/>
                            <w:color w:val="00000A"/>
                            <w:lang w:eastAsia="uk-UA"/>
                          </w:rPr>
                          <w:t>покращення освітньо-кваліфікаційного рівня персоналу.</w:t>
                        </w:r>
                      </w:p>
                    </w:txbxContent>
                  </v:textbox>
                  <w10:wrap type="square"/>
                  <v:fill o:detectmouseclick="t" type="solid" color2="black"/>
                  <v:stroke color="black" weight="6480" joinstyle="round" endcap="flat"/>
                </v:rect>
              </v:group>
            </w:pict>
          </mc:Fallback>
        </mc:AlternateConten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iCs/>
          <w:sz w:val="28"/>
          <w:szCs w:val="28"/>
        </w:rPr>
      </w:pPr>
      <w:r>
        <w:rPr>
          <w:rFonts w:ascii="Times New Roman" w:hAnsi="Times New Roman"/>
          <w:sz w:val="28"/>
          <w:szCs w:val="28"/>
        </w:rPr>
        <w:t xml:space="preserve">Рисунок 1.2 – Основні напрями покращення </w:t>
      </w:r>
      <w:r>
        <w:rPr>
          <w:rFonts w:ascii="Times New Roman" w:hAnsi="Times New Roman"/>
          <w:iCs/>
          <w:sz w:val="28"/>
          <w:szCs w:val="28"/>
        </w:rPr>
        <w:t xml:space="preserve">ефективності використання основних фондів </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проблема стабілізації стану та підвищення ефективності використання засобів праці є достатньо актуальною та потребує реального вирішення. Вітчизняні дослідники пропонують різні шляхи вирішення цієї проблеми. Так, О. Дробишева та С. Вініченко [12] вважають, що для підвищення ефективності використання основних фондів варто вживати таких заходів: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1) спрямовувати інвестиції переважно на фінансування активної частини засобів праці;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2) оптимізувати використання наявних виробничих потужностей;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3) максимально застосовувати календарний фонд часу за технічними характеристиками обладнання;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4) дотримуватися умов експлуатації основних фондів;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5) своєчасно здійснювати ремонт та оновлення засобів праці;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6) впроваджувати комбінований спосіб організації виробничих бізнес-процесів на підприємстві;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7) рівномірно розподіляти навантаження на основні фонди;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8) підвищувати професійно-кваліфікаційний рівень персоналу, який працює з обладнанням.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Єлькін А. В. [14] для підвищення ефективності використання основних виробничих фондів на господарюючому суб’єкті пропонує вживати таких заходів: стежити за технічним станом обладнання та залучати фахівців для проведення складних ремонтів; залучати спеціалістів маркетингового відділу для визначення справедливої вартості обладнання та його оновлення; покращувати рівень спеціалізації виробництва; застосовувати передові технології; усувати простої; поліпшувати склад, структуру й стан основних засобів; підвищувати фондовіддачу та продуктивність праці обладнання; вдосконалювати якість ремонтів основних засобів; моніторити кон’юнктуру ринку для забезпечення виробничого процесу досконалими технологіями; обґрунтовано застосовувати орендоване (лізинг) устаткування з метою підвищення ефективності виробництва якісної продукції.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Узагальнивши думки різних авторів, вважаємо, що пріоритетним завданням щодо оптимізації ефективності використання основних виробничих фондів промислового підприємства є удосконалення їх структури; своєчасна заміна та модернізація морально застарілого устаткування; оптимізація стану матеріально-технічного забезпечення суб’єктів господарювання щодо ремонту та технічного обслуговування обладнання; запровадження прогресивних форм організації виробництва і праці; застосування результативних систем матеріального стимулювання персоналу; залучення інвестиційних ресурсів для модернізації матеріально-технічної бази суб’єкта підприємництва. Одночасно, за умов обмеженості інвестиційних ресурсів, слід покращити інтенсивне використання засобів праці. Це є важливою передумовою збільшення обсягів випуску продукції суб’єкта господарювання.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Серед напрямів підвищення ефективності використання основних виробничих засобів на промислових підприємствах чільне місце повинно бути відведено заходам, спрямованим на поліпшення їх інтенсивного використання. Зокрема, важливе значення повинно надаватися насамперед таким, які спрямовані на підвищення змінності роботи устаткування, що є важливим фактором зростання обсягів виробництва продукції і підвищення ефективності використання засобів праці. </w:t>
      </w:r>
    </w:p>
    <w:p>
      <w:pPr>
        <w:pStyle w:val="Normal"/>
        <w:spacing w:lineRule="auto" w:line="360"/>
        <w:ind w:firstLine="709"/>
        <w:rPr>
          <w:rFonts w:ascii="Times New Roman" w:hAnsi="Times New Roman"/>
          <w:sz w:val="28"/>
          <w:szCs w:val="28"/>
        </w:rPr>
      </w:pPr>
      <w:r>
        <w:rPr>
          <w:rFonts w:ascii="Times New Roman" w:hAnsi="Times New Roman"/>
          <w:sz w:val="28"/>
          <w:szCs w:val="28"/>
        </w:rPr>
        <w:t>Отже, впровадження в практичну діяльність ТОВ «НЕЙЛ» окреслених заходів забезпечить вирішення проблеми підвищення ефективності управління основними засобами, що є однією з основних передумов зростання ефективності функціонування суб’єктів господарювання в цілому.</w:t>
      </w:r>
    </w:p>
    <w:p>
      <w:pPr>
        <w:sectPr>
          <w:headerReference w:type="default" r:id="rId14"/>
          <w:footerReference w:type="default" r:id="rId15"/>
          <w:type w:val="nextPage"/>
          <w:pgSz w:w="11906" w:h="16838"/>
          <w:pgMar w:left="1843" w:right="567" w:header="709" w:top="1134" w:footer="709" w:bottom="1134" w:gutter="0"/>
          <w:pgNumType w:fmt="decimal"/>
          <w:formProt w:val="false"/>
          <w:textDirection w:val="lrTb"/>
          <w:docGrid w:type="default" w:linePitch="360" w:charSpace="0"/>
        </w:sectPr>
        <w:pStyle w:val="Normal"/>
        <w:spacing w:lineRule="auto" w:line="360"/>
        <w:ind w:firstLine="709"/>
        <w:rPr>
          <w:rFonts w:ascii="Times New Roman" w:hAnsi="Times New Roman"/>
          <w:bCs/>
          <w:sz w:val="28"/>
          <w:szCs w:val="28"/>
        </w:rPr>
      </w:pPr>
      <w:r>
        <w:rPr>
          <w:rFonts w:ascii="Times New Roman" w:hAnsi="Times New Roman"/>
          <w:sz w:val="28"/>
          <w:szCs w:val="28"/>
        </w:rPr>
        <w:t>Таким чином, дослідивши сутність економічної категорії «</w:t>
      </w:r>
      <w:r>
        <w:rPr>
          <w:rFonts w:ascii="Times New Roman" w:hAnsi="Times New Roman"/>
          <w:iCs/>
          <w:sz w:val="28"/>
          <w:szCs w:val="28"/>
        </w:rPr>
        <w:t>основні фонди</w:t>
      </w:r>
      <w:r>
        <w:rPr>
          <w:rFonts w:ascii="Times New Roman" w:hAnsi="Times New Roman"/>
          <w:sz w:val="28"/>
          <w:szCs w:val="28"/>
        </w:rPr>
        <w:t>», показники ефективності їх використання та основні шляхи їх покращення, які представлено у першому розділі, ми отримали змогу перейти до практичного напрямку цього дослідження (розділ 2). У ньому буде надана загальна характеристику діяльності ТОВ «НЕЙЛ» та проаналізовано основні техніко-економічні показники і показники ефективності використання основних фондів.</w:t>
      </w:r>
    </w:p>
    <w:p>
      <w:pPr>
        <w:pStyle w:val="ListParagraph"/>
        <w:spacing w:lineRule="auto" w:line="360"/>
        <w:ind w:left="0" w:firstLine="709"/>
        <w:rPr>
          <w:rFonts w:ascii="Times New Roman" w:hAnsi="Times New Roman" w:eastAsia="Times New Roman"/>
          <w:b/>
          <w:b/>
          <w:sz w:val="28"/>
          <w:szCs w:val="28"/>
          <w:lang w:eastAsia="ru-RU"/>
        </w:rPr>
      </w:pPr>
      <w:r>
        <w:rPr>
          <w:rFonts w:ascii="Times New Roman" w:hAnsi="Times New Roman"/>
          <w:b/>
          <w:spacing w:val="3"/>
          <w:sz w:val="28"/>
          <w:szCs w:val="28"/>
        </w:rPr>
        <w:t xml:space="preserve">2 Аналіз результатів господарювання </w:t>
      </w:r>
      <w:r>
        <w:rPr>
          <w:rFonts w:eastAsia="Times New Roman" w:ascii="Times New Roman" w:hAnsi="Times New Roman"/>
          <w:b/>
          <w:sz w:val="28"/>
          <w:szCs w:val="28"/>
          <w:lang w:eastAsia="ru-RU"/>
        </w:rPr>
        <w:t>ТОВ «НЕЙЛ»</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2.1 </w:t>
      </w:r>
      <w:r>
        <w:rPr>
          <w:rFonts w:ascii="Times New Roman" w:hAnsi="Times New Roman"/>
          <w:bCs/>
          <w:sz w:val="28"/>
          <w:szCs w:val="28"/>
        </w:rPr>
        <w:t>Загальна характеристика діяльності</w:t>
      </w:r>
      <w:r>
        <w:rPr>
          <w:rFonts w:ascii="Times New Roman" w:hAnsi="Times New Roman"/>
          <w:b/>
          <w:bCs/>
          <w:sz w:val="28"/>
          <w:szCs w:val="28"/>
        </w:rPr>
        <w:t xml:space="preserve"> </w:t>
      </w:r>
      <w:r>
        <w:rPr>
          <w:rFonts w:ascii="Times New Roman" w:hAnsi="Times New Roman"/>
          <w:sz w:val="28"/>
          <w:szCs w:val="28"/>
        </w:rPr>
        <w:t>підприємства</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ind w:left="720" w:firstLine="709"/>
        <w:rPr>
          <w:rFonts w:ascii="Times New Roman" w:hAnsi="Times New Roman"/>
          <w:sz w:val="28"/>
          <w:szCs w:val="28"/>
        </w:rPr>
      </w:pPr>
      <w:r>
        <w:rPr>
          <w:rFonts w:ascii="Times New Roman" w:hAnsi="Times New Roman"/>
          <w:sz w:val="28"/>
          <w:szCs w:val="28"/>
        </w:rPr>
      </w:r>
    </w:p>
    <w:p>
      <w:pPr>
        <w:pStyle w:val="Normal"/>
        <w:spacing w:lineRule="auto" w:line="360"/>
        <w:ind w:left="720" w:firstLine="709"/>
        <w:rPr>
          <w:rFonts w:ascii="Times New Roman" w:hAnsi="Times New Roman"/>
          <w:sz w:val="28"/>
          <w:szCs w:val="28"/>
        </w:rPr>
      </w:pPr>
      <w:r>
        <w:rPr>
          <w:rFonts w:ascii="Times New Roman" w:hAnsi="Times New Roman"/>
          <w:sz w:val="28"/>
          <w:szCs w:val="28"/>
        </w:rPr>
        <w:t>Історія розвитку компанії «НЕЙЛ ЛТД» розпочата з 1994 р. У цей час фірма працювала лише на вітчизняному ринку Вона пропонує найширший асортимент цвяхів в Україні. Компанія виготовляє будівельні, столярні, покрівельні цвяхи та цвяхи для виробництва дерев’яної тари та піддонів, у бобінах та розсипні. Для виробників EUR-палет підприємством пропонуються цвяхи, сертифіковані Європейською Палетною Асоціацією EPAL. Товариством також виготовляються різні засоби кріплення: саморізи, шурупи, конфірмати, болти, гайки, шайби, стержні різьбові, анкери, свердла тощо [33].</w:t>
      </w:r>
    </w:p>
    <w:p>
      <w:pPr>
        <w:pStyle w:val="Normal"/>
        <w:spacing w:lineRule="auto" w:line="360"/>
        <w:ind w:left="720" w:firstLine="709"/>
        <w:rPr>
          <w:rFonts w:ascii="Times New Roman" w:hAnsi="Times New Roman"/>
          <w:sz w:val="28"/>
          <w:szCs w:val="28"/>
        </w:rPr>
      </w:pPr>
      <w:r>
        <w:rPr>
          <w:rFonts w:eastAsia="Times New Roman" w:ascii="Times New Roman" w:hAnsi="Times New Roman"/>
          <w:sz w:val="28"/>
          <w:szCs w:val="28"/>
          <w:lang w:eastAsia="ru-RU"/>
        </w:rPr>
        <w:t>ТОВ «НЕЙЛ» розташоване за адресою</w:t>
      </w:r>
      <w:r>
        <w:rPr>
          <w:rFonts w:ascii="Times New Roman" w:hAnsi="Times New Roman"/>
          <w:sz w:val="28"/>
          <w:szCs w:val="28"/>
        </w:rPr>
        <w:t>: м. Хмельницький, вул. Красовського, 64. Воно має сайт: https://www.nail.com.ua/about/.</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3"/>
          <w:sz w:val="28"/>
          <w:szCs w:val="28"/>
        </w:rPr>
      </w:pPr>
      <w:r>
        <w:rPr>
          <w:rFonts w:ascii="Times New Roman" w:hAnsi="Times New Roman"/>
          <w:spacing w:val="-3"/>
          <w:sz w:val="28"/>
          <w:szCs w:val="28"/>
        </w:rPr>
        <w:t xml:space="preserve">Основна номенклатура продукції підприємства подана на рисунку 2.1 </w:t>
      </w:r>
      <w:r>
        <w:rPr>
          <w:rFonts w:ascii="Times New Roman" w:hAnsi="Times New Roman"/>
          <w:sz w:val="28"/>
          <w:szCs w:val="28"/>
        </w:rPr>
        <w:t>[33]</w:t>
      </w:r>
      <w:r>
        <w:rPr>
          <w:rFonts w:ascii="Times New Roman" w:hAnsi="Times New Roman"/>
          <w:spacing w:val="-3"/>
          <w:sz w:val="28"/>
          <w:szCs w:val="28"/>
        </w:rPr>
        <w:t>.</w:t>
      </w:r>
    </w:p>
    <w:p>
      <w:pPr>
        <w:pStyle w:val="Normal"/>
        <w:shd w:val="clear" w:color="auto" w:fill="FFFFFF"/>
        <w:tabs>
          <w:tab w:val="clear" w:pos="708"/>
          <w:tab w:val="left" w:pos="10458" w:leader="none"/>
        </w:tabs>
        <w:suppressAutoHyphens w:val="true"/>
        <w:spacing w:lineRule="auto" w:line="360"/>
        <w:jc w:val="center"/>
        <w:rPr>
          <w:rFonts w:ascii="Times New Roman" w:hAnsi="Times New Roman"/>
          <w:spacing w:val="-3"/>
          <w:sz w:val="28"/>
          <w:szCs w:val="28"/>
        </w:rPr>
      </w:pPr>
      <w:r>
        <w:rPr>
          <w:rFonts w:ascii="Times New Roman" w:hAnsi="Times New Roman"/>
          <w:spacing w:val="-3"/>
          <w:sz w:val="28"/>
          <w:szCs w:val="28"/>
        </w:rPr>
      </w:r>
    </w:p>
    <w:p>
      <w:pPr>
        <w:pStyle w:val="Normal"/>
        <w:shd w:val="clear" w:color="auto" w:fill="FFFFFF"/>
        <w:tabs>
          <w:tab w:val="clear" w:pos="708"/>
          <w:tab w:val="left" w:pos="10458" w:leader="none"/>
        </w:tabs>
        <w:suppressAutoHyphens w:val="true"/>
        <w:spacing w:lineRule="auto" w:line="360"/>
        <w:jc w:val="center"/>
        <w:rPr>
          <w:rFonts w:ascii="Times New Roman" w:hAnsi="Times New Roman"/>
          <w:spacing w:val="-3"/>
          <w:sz w:val="28"/>
          <w:szCs w:val="28"/>
        </w:rPr>
      </w:pPr>
      <w:r>
        <w:rPr/>
        <w:drawing>
          <wp:inline distT="0" distB="0" distL="0" distR="0">
            <wp:extent cx="5553075" cy="3171825"/>
            <wp:effectExtent l="0" t="0" r="0" b="0"/>
            <wp:docPr id="2" name="Рисунок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1" descr=""/>
                    <pic:cNvPicPr>
                      <a:picLocks noChangeAspect="1" noChangeArrowheads="1"/>
                    </pic:cNvPicPr>
                  </pic:nvPicPr>
                  <pic:blipFill>
                    <a:blip r:embed="rId16"/>
                    <a:stretch>
                      <a:fillRect/>
                    </a:stretch>
                  </pic:blipFill>
                  <pic:spPr bwMode="auto">
                    <a:xfrm>
                      <a:off x="0" y="0"/>
                      <a:ext cx="5553075" cy="3171825"/>
                    </a:xfrm>
                    <a:prstGeom prst="rect">
                      <a:avLst/>
                    </a:prstGeom>
                  </pic:spPr>
                </pic:pic>
              </a:graphicData>
            </a:graphic>
          </wp:inline>
        </w:drawing>
      </w:r>
    </w:p>
    <w:p>
      <w:pPr>
        <w:pStyle w:val="Normal"/>
        <w:shd w:val="clear" w:color="auto" w:fill="FFFFFF"/>
        <w:tabs>
          <w:tab w:val="clear" w:pos="708"/>
          <w:tab w:val="left" w:pos="10458" w:leader="none"/>
        </w:tabs>
        <w:suppressAutoHyphens w:val="true"/>
        <w:spacing w:lineRule="auto" w:line="360"/>
        <w:jc w:val="center"/>
        <w:rPr>
          <w:rFonts w:ascii="Times New Roman" w:hAnsi="Times New Roman"/>
          <w:spacing w:val="-3"/>
          <w:sz w:val="28"/>
          <w:szCs w:val="28"/>
        </w:rPr>
      </w:pPr>
      <w:r>
        <w:rPr>
          <w:rFonts w:ascii="Times New Roman" w:hAnsi="Times New Roman"/>
          <w:spacing w:val="-3"/>
          <w:sz w:val="28"/>
          <w:szCs w:val="28"/>
        </w:rPr>
      </w:r>
    </w:p>
    <w:p>
      <w:pPr>
        <w:pStyle w:val="Normal"/>
        <w:shd w:val="clear" w:color="auto" w:fill="FFFFFF"/>
        <w:tabs>
          <w:tab w:val="clear" w:pos="708"/>
          <w:tab w:val="left" w:pos="10458" w:leader="none"/>
        </w:tabs>
        <w:suppressAutoHyphens w:val="true"/>
        <w:spacing w:lineRule="auto" w:line="360"/>
        <w:jc w:val="center"/>
        <w:rPr>
          <w:rFonts w:ascii="Times New Roman" w:hAnsi="Times New Roman"/>
          <w:spacing w:val="-3"/>
          <w:sz w:val="28"/>
          <w:szCs w:val="28"/>
        </w:rPr>
      </w:pPr>
      <w:r>
        <w:rPr>
          <w:rFonts w:ascii="Times New Roman" w:hAnsi="Times New Roman"/>
          <w:spacing w:val="-3"/>
          <w:sz w:val="28"/>
          <w:szCs w:val="28"/>
        </w:rPr>
        <w:t>Рисунок 2.1 – Основні види продукції ТОВ «НЕЙЛ»</w:t>
      </w:r>
    </w:p>
    <w:p>
      <w:pPr>
        <w:pStyle w:val="Normal"/>
        <w:shd w:val="clear" w:color="auto" w:fill="FFFFFF"/>
        <w:tabs>
          <w:tab w:val="clear" w:pos="708"/>
          <w:tab w:val="left" w:pos="10458" w:leader="none"/>
        </w:tabs>
        <w:suppressAutoHyphens w:val="true"/>
        <w:spacing w:lineRule="auto" w:line="360"/>
        <w:jc w:val="center"/>
        <w:rPr>
          <w:rFonts w:ascii="Times New Roman" w:hAnsi="Times New Roman"/>
          <w:spacing w:val="-3"/>
          <w:sz w:val="28"/>
          <w:szCs w:val="28"/>
        </w:rPr>
      </w:pPr>
      <w:r>
        <w:rPr>
          <w:rFonts w:ascii="Times New Roman" w:hAnsi="Times New Roman"/>
          <w:spacing w:val="-3"/>
          <w:sz w:val="28"/>
          <w:szCs w:val="28"/>
        </w:rPr>
      </w:r>
    </w:p>
    <w:p>
      <w:pPr>
        <w:pStyle w:val="Normal"/>
        <w:shd w:val="clear" w:color="auto" w:fill="FFFFFF"/>
        <w:spacing w:lineRule="auto" w:line="360"/>
        <w:ind w:left="720" w:firstLine="709"/>
        <w:rPr>
          <w:rFonts w:ascii="Times New Roman" w:hAnsi="Times New Roman"/>
          <w:spacing w:val="-3"/>
          <w:sz w:val="28"/>
          <w:szCs w:val="28"/>
        </w:rPr>
      </w:pPr>
      <w:r>
        <w:rPr>
          <w:rFonts w:ascii="Times New Roman" w:hAnsi="Times New Roman"/>
          <w:spacing w:val="-3"/>
          <w:sz w:val="28"/>
          <w:szCs w:val="28"/>
        </w:rPr>
        <w:t xml:space="preserve">За статутом ТОВ «НЕЙЛ» – це  підприємство що </w:t>
      </w:r>
      <w:r>
        <w:rPr>
          <w:rFonts w:ascii="Times New Roman" w:hAnsi="Times New Roman"/>
          <w:sz w:val="28"/>
          <w:szCs w:val="28"/>
        </w:rPr>
        <w:t>[33]</w:t>
      </w:r>
      <w:r>
        <w:rPr>
          <w:rFonts w:ascii="Times New Roman" w:hAnsi="Times New Roman"/>
          <w:spacing w:val="-3"/>
          <w:sz w:val="28"/>
          <w:szCs w:val="28"/>
        </w:rPr>
        <w:t>:</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2"/>
          <w:sz w:val="28"/>
          <w:szCs w:val="28"/>
        </w:rPr>
      </w:pPr>
      <w:r>
        <w:rPr>
          <w:rFonts w:ascii="Times New Roman" w:hAnsi="Times New Roman"/>
          <w:spacing w:val="2"/>
          <w:sz w:val="28"/>
          <w:szCs w:val="28"/>
        </w:rPr>
        <w:t>1) виробляє та постачає цвяхи на вітчизняний та європейський ринки;</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2"/>
          <w:sz w:val="28"/>
          <w:szCs w:val="28"/>
        </w:rPr>
      </w:pPr>
      <w:r>
        <w:rPr>
          <w:rFonts w:ascii="Times New Roman" w:hAnsi="Times New Roman"/>
          <w:spacing w:val="2"/>
          <w:sz w:val="28"/>
          <w:szCs w:val="28"/>
        </w:rPr>
        <w:t>2) реалізовує метизну продукцію, інструмент, металопрокат та господарські товари;</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2"/>
          <w:sz w:val="28"/>
          <w:szCs w:val="28"/>
        </w:rPr>
      </w:pPr>
      <w:r>
        <w:rPr>
          <w:rFonts w:ascii="Times New Roman" w:hAnsi="Times New Roman"/>
          <w:spacing w:val="2"/>
          <w:sz w:val="28"/>
          <w:szCs w:val="28"/>
        </w:rPr>
        <w:t>3) надає транспортні послуги.</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2"/>
          <w:sz w:val="28"/>
          <w:szCs w:val="28"/>
        </w:rPr>
      </w:pPr>
      <w:r>
        <w:rPr>
          <w:rFonts w:ascii="Times New Roman" w:hAnsi="Times New Roman"/>
          <w:spacing w:val="-3"/>
          <w:sz w:val="28"/>
          <w:szCs w:val="28"/>
        </w:rPr>
        <w:t>На сьогоднішній день, юридичним статусом компанії є товариство</w:t>
      </w:r>
      <w:r>
        <w:rPr>
          <w:rFonts w:ascii="Times New Roman" w:hAnsi="Times New Roman"/>
          <w:spacing w:val="1"/>
          <w:sz w:val="28"/>
          <w:szCs w:val="28"/>
        </w:rPr>
        <w:t xml:space="preserve"> з обмеженою відповідальністю. </w:t>
      </w:r>
      <w:r>
        <w:rPr>
          <w:rFonts w:ascii="Times New Roman" w:hAnsi="Times New Roman"/>
          <w:spacing w:val="-4"/>
          <w:sz w:val="28"/>
          <w:szCs w:val="28"/>
        </w:rPr>
        <w:t>Форма власності – приватна.</w:t>
      </w:r>
      <w:r>
        <w:rPr>
          <w:rFonts w:ascii="Times New Roman" w:hAnsi="Times New Roman"/>
          <w:spacing w:val="2"/>
          <w:sz w:val="28"/>
          <w:szCs w:val="28"/>
        </w:rPr>
        <w:t xml:space="preserve"> </w:t>
      </w:r>
      <w:r>
        <w:rPr>
          <w:rFonts w:ascii="Times New Roman" w:hAnsi="Times New Roman"/>
          <w:spacing w:val="-4"/>
          <w:sz w:val="28"/>
          <w:szCs w:val="28"/>
        </w:rPr>
        <w:t xml:space="preserve">Організаційна структура </w:t>
      </w:r>
      <w:r>
        <w:rPr>
          <w:rFonts w:ascii="Times New Roman" w:hAnsi="Times New Roman"/>
          <w:spacing w:val="2"/>
          <w:sz w:val="28"/>
          <w:szCs w:val="28"/>
        </w:rPr>
        <w:t>ТОВ «НЕЙЛ</w:t>
      </w:r>
      <w:r>
        <w:rPr>
          <w:rFonts w:ascii="Times New Roman" w:hAnsi="Times New Roman"/>
          <w:sz w:val="28"/>
          <w:szCs w:val="28"/>
        </w:rPr>
        <w:t>» подана у додатку А.</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Виробничі потужності та головний офіс підприємства знаходяться у місті Хмельницькому. Одночасно, вдало функціонують відділи продажу по усій країні </w:t>
      </w:r>
      <w:r>
        <w:rPr>
          <w:rFonts w:ascii="Times New Roman" w:hAnsi="Times New Roman"/>
          <w:spacing w:val="-3"/>
          <w:sz w:val="28"/>
          <w:szCs w:val="28"/>
        </w:rPr>
        <w:t xml:space="preserve">– </w:t>
      </w:r>
      <w:r>
        <w:rPr>
          <w:rFonts w:ascii="Times New Roman" w:hAnsi="Times New Roman"/>
          <w:spacing w:val="-4"/>
          <w:sz w:val="28"/>
          <w:szCs w:val="28"/>
        </w:rPr>
        <w:t xml:space="preserve">у м. Києві, м. Львові, м. Івано-Франківську, м. Мукачево, м. Вінниці, м. Житомирі та м. Кропивницькому. Об’єднавшись у 2018 р. з ТОВ «Авісметиз» товариство відкрило у столиці відділ для обслуговування промислових споживачів різних галузей виробництва </w:t>
      </w:r>
      <w:r>
        <w:rPr>
          <w:rFonts w:ascii="Times New Roman" w:hAnsi="Times New Roman"/>
          <w:sz w:val="28"/>
          <w:szCs w:val="28"/>
        </w:rPr>
        <w:t>[33]</w:t>
      </w:r>
      <w:r>
        <w:rPr>
          <w:rFonts w:ascii="Times New Roman" w:hAnsi="Times New Roman"/>
          <w:spacing w:val="-4"/>
          <w:sz w:val="28"/>
          <w:szCs w:val="28"/>
        </w:rPr>
        <w:t>.</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Головними ознаками діяльності підприємства є якість і відповідальність. Одночасно передові технології та високий рівень обслуговування забезпечують задоволення потреб найвимогливіших клієнтів як на вітчизняному так і європейському ринках. </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Переваги функціонування і співпраці з </w:t>
      </w:r>
      <w:r>
        <w:rPr>
          <w:rFonts w:ascii="Times New Roman" w:hAnsi="Times New Roman"/>
          <w:spacing w:val="2"/>
          <w:sz w:val="28"/>
          <w:szCs w:val="28"/>
        </w:rPr>
        <w:t>ТОВ «НЕЙЛ</w:t>
      </w:r>
      <w:r>
        <w:rPr>
          <w:rFonts w:ascii="Times New Roman" w:hAnsi="Times New Roman"/>
          <w:sz w:val="28"/>
          <w:szCs w:val="28"/>
        </w:rPr>
        <w:t>» [33] є:</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1) багаторічний досвід – майже тридцять років підприємство успішно працює на ринку промислових товарів для задоволення потреб вітчизняних та закордонних споживачів;</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2) перевірена якість – уся продукція компанії сертифікована і має високі показники якості, які підтверджено в міжнародних організаціях EPAL та UIC;</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3) сучасне обладнання – впроваджуючи передові технології </w:t>
      </w:r>
      <w:r>
        <w:rPr>
          <w:rFonts w:ascii="Times New Roman" w:hAnsi="Times New Roman"/>
          <w:sz w:val="28"/>
          <w:szCs w:val="28"/>
        </w:rPr>
        <w:t>підприємство</w:t>
      </w:r>
      <w:r>
        <w:rPr>
          <w:rFonts w:ascii="Times New Roman" w:hAnsi="Times New Roman"/>
          <w:spacing w:val="-4"/>
          <w:sz w:val="28"/>
          <w:szCs w:val="28"/>
        </w:rPr>
        <w:t xml:space="preserve"> намагаються їх запровадити для удосконалення виробничого процесу;</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4) територіальне покриття – розгалуженість відділів продажу у різних містах України: Хмельницькому, Києві, Вінниці, Івано-Франківську, Мукачеве, Львові, Житомирі та Кропивницькому;</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5) гнучка цінова політика – товари реалізовуються за найпривабливішою ціною на ринку;</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6) індивідуальний підхід до клієнта – особливе ставлення до кожного споживача забезпечує гнучкість у діяльності </w:t>
      </w:r>
      <w:r>
        <w:rPr>
          <w:rFonts w:ascii="Times New Roman" w:hAnsi="Times New Roman"/>
          <w:sz w:val="28"/>
          <w:szCs w:val="28"/>
        </w:rPr>
        <w:t>підприємства</w:t>
      </w:r>
      <w:r>
        <w:rPr>
          <w:rFonts w:ascii="Times New Roman" w:hAnsi="Times New Roman"/>
          <w:spacing w:val="-4"/>
          <w:sz w:val="28"/>
          <w:szCs w:val="28"/>
        </w:rPr>
        <w:t xml:space="preserve"> для задоволення їх потреб та додаткових побажань.</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Основна діяльність підприємства зосереджена у таких напрямках:</w:t>
      </w:r>
    </w:p>
    <w:p>
      <w:pPr>
        <w:pStyle w:val="ListParagraph"/>
        <w:numPr>
          <w:ilvl w:val="0"/>
          <w:numId w:val="7"/>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виробництво виробів з дроту;</w:t>
      </w:r>
    </w:p>
    <w:p>
      <w:pPr>
        <w:pStyle w:val="ListParagraph"/>
        <w:numPr>
          <w:ilvl w:val="0"/>
          <w:numId w:val="7"/>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оптова торгівля непродовольчими споживчими товарами;</w:t>
      </w:r>
    </w:p>
    <w:p>
      <w:pPr>
        <w:pStyle w:val="ListParagraph"/>
        <w:numPr>
          <w:ilvl w:val="0"/>
          <w:numId w:val="7"/>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діяльність автомобільного вантажного транспорту;</w:t>
      </w:r>
    </w:p>
    <w:p>
      <w:pPr>
        <w:pStyle w:val="ListParagraph"/>
        <w:numPr>
          <w:ilvl w:val="0"/>
          <w:numId w:val="7"/>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операції з нерухомим майном.</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Номенклатура продукції </w:t>
      </w:r>
      <w:r>
        <w:rPr>
          <w:rFonts w:ascii="Times New Roman" w:hAnsi="Times New Roman"/>
          <w:spacing w:val="2"/>
          <w:sz w:val="28"/>
          <w:szCs w:val="28"/>
        </w:rPr>
        <w:t>ТОВ «НЕЙЛ</w:t>
      </w:r>
      <w:r>
        <w:rPr>
          <w:rFonts w:ascii="Times New Roman" w:hAnsi="Times New Roman"/>
          <w:sz w:val="28"/>
          <w:szCs w:val="28"/>
        </w:rPr>
        <w:t xml:space="preserve">»: </w:t>
      </w:r>
      <w:r>
        <w:rPr>
          <w:rFonts w:ascii="Times New Roman" w:hAnsi="Times New Roman"/>
          <w:spacing w:val="-4"/>
          <w:sz w:val="28"/>
          <w:szCs w:val="28"/>
        </w:rPr>
        <w:t xml:space="preserve">будівельні цвяхи; засоби кріплення; ручний інструмент </w:t>
      </w:r>
      <w:r>
        <w:rPr>
          <w:rFonts w:ascii="Times New Roman" w:hAnsi="Times New Roman"/>
          <w:sz w:val="28"/>
          <w:szCs w:val="28"/>
        </w:rPr>
        <w:t>[33]</w:t>
      </w:r>
      <w:r>
        <w:rPr>
          <w:rFonts w:ascii="Times New Roman" w:hAnsi="Times New Roman"/>
          <w:spacing w:val="-4"/>
          <w:sz w:val="28"/>
          <w:szCs w:val="28"/>
        </w:rPr>
        <w:t>.</w:t>
      </w:r>
    </w:p>
    <w:p>
      <w:pPr>
        <w:pStyle w:val="Normal"/>
        <w:shd w:val="clear" w:color="auto" w:fill="FFFFFF"/>
        <w:tabs>
          <w:tab w:val="clear" w:pos="708"/>
          <w:tab w:val="left" w:pos="10458" w:leader="none"/>
        </w:tabs>
        <w:suppressAutoHyphens w:val="true"/>
        <w:spacing w:lineRule="auto" w:line="360"/>
        <w:ind w:left="720" w:firstLine="709"/>
        <w:rPr>
          <w:rFonts w:ascii="Times New Roman" w:hAnsi="Times New Roman"/>
          <w:spacing w:val="-4"/>
          <w:sz w:val="28"/>
          <w:szCs w:val="28"/>
        </w:rPr>
      </w:pPr>
      <w:r>
        <w:rPr>
          <w:rFonts w:ascii="Times New Roman" w:hAnsi="Times New Roman"/>
          <w:spacing w:val="-4"/>
          <w:sz w:val="28"/>
          <w:szCs w:val="28"/>
        </w:rPr>
        <w:t xml:space="preserve">Згідно КВЕД </w:t>
      </w:r>
      <w:r>
        <w:rPr>
          <w:rFonts w:ascii="Times New Roman" w:hAnsi="Times New Roman"/>
          <w:spacing w:val="2"/>
          <w:sz w:val="28"/>
          <w:szCs w:val="28"/>
        </w:rPr>
        <w:t>ТОВ «НЕЙЛ</w:t>
      </w:r>
      <w:r>
        <w:rPr>
          <w:rFonts w:ascii="Times New Roman" w:hAnsi="Times New Roman"/>
          <w:sz w:val="28"/>
          <w:szCs w:val="28"/>
        </w:rPr>
        <w:t>» властиві такі в</w:t>
      </w:r>
      <w:r>
        <w:rPr>
          <w:rFonts w:ascii="Times New Roman" w:hAnsi="Times New Roman"/>
          <w:spacing w:val="-4"/>
          <w:sz w:val="28"/>
          <w:szCs w:val="28"/>
        </w:rPr>
        <w:t xml:space="preserve">иди діяльності </w:t>
      </w:r>
      <w:r>
        <w:rPr>
          <w:rFonts w:ascii="Times New Roman" w:hAnsi="Times New Roman"/>
          <w:sz w:val="28"/>
          <w:szCs w:val="28"/>
        </w:rPr>
        <w:t>[33]</w:t>
      </w:r>
      <w:r>
        <w:rPr>
          <w:rFonts w:ascii="Times New Roman" w:hAnsi="Times New Roman"/>
          <w:spacing w:val="-4"/>
          <w:sz w:val="28"/>
          <w:szCs w:val="28"/>
        </w:rPr>
        <w:t>:</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25.93 — виробництво виробів із дроту, ланцюгів і пружин;</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24.34 — холодне волочіння дроту;</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46.90 — неспеціалізована оптова торгівля;</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47.19 — інші види роздрібної торгівлі в неспеціалізованих магазинах;</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47.89 — роздрібна торгівля з лотків і на ринках іншими товарами;</w:t>
      </w:r>
    </w:p>
    <w:p>
      <w:pPr>
        <w:pStyle w:val="Normal"/>
        <w:numPr>
          <w:ilvl w:val="0"/>
          <w:numId w:val="8"/>
        </w:numPr>
        <w:shd w:val="clear" w:color="auto" w:fill="FFFFFF"/>
        <w:tabs>
          <w:tab w:val="clear" w:pos="708"/>
          <w:tab w:val="left" w:pos="1134" w:leader="none"/>
          <w:tab w:val="left" w:pos="10458" w:leader="none"/>
        </w:tabs>
        <w:suppressAutoHyphens w:val="true"/>
        <w:spacing w:lineRule="auto" w:line="360"/>
        <w:ind w:left="0" w:firstLine="709"/>
        <w:rPr>
          <w:rFonts w:ascii="Times New Roman" w:hAnsi="Times New Roman"/>
          <w:spacing w:val="-4"/>
          <w:sz w:val="28"/>
          <w:szCs w:val="28"/>
        </w:rPr>
      </w:pPr>
      <w:r>
        <w:rPr>
          <w:rFonts w:ascii="Times New Roman" w:hAnsi="Times New Roman"/>
          <w:spacing w:val="-4"/>
          <w:sz w:val="28"/>
          <w:szCs w:val="28"/>
        </w:rPr>
        <w:t>52.29 — інша допоміжна діяльність у сфері транспорту.</w:t>
      </w:r>
    </w:p>
    <w:p>
      <w:pPr>
        <w:pStyle w:val="Normal"/>
        <w:shd w:val="clear" w:color="auto" w:fill="FFFFFF"/>
        <w:spacing w:lineRule="auto" w:line="360"/>
        <w:ind w:left="720" w:firstLine="709"/>
        <w:rPr>
          <w:rFonts w:ascii="Times New Roman" w:hAnsi="Times New Roman"/>
          <w:sz w:val="28"/>
          <w:szCs w:val="28"/>
        </w:rPr>
      </w:pPr>
      <w:r>
        <w:rPr>
          <w:rFonts w:ascii="Times New Roman" w:hAnsi="Times New Roman"/>
          <w:color w:val="000000"/>
          <w:spacing w:val="2"/>
          <w:sz w:val="28"/>
          <w:szCs w:val="28"/>
        </w:rPr>
        <w:t xml:space="preserve">ТОВ «НЕЙЛ» експортує свою продукцію в Молдову, Угорщину, Польщу, Німеччину, </w:t>
      </w:r>
      <w:r>
        <w:rPr>
          <w:rFonts w:ascii="Times New Roman" w:hAnsi="Times New Roman"/>
          <w:color w:val="000000"/>
          <w:spacing w:val="-1"/>
          <w:sz w:val="28"/>
          <w:szCs w:val="28"/>
        </w:rPr>
        <w:t xml:space="preserve">Голландію, Бельгію, Францію, Болгарію, Румунію. Воно має ринки збуту у 14 областях </w:t>
      </w:r>
      <w:r>
        <w:rPr>
          <w:rFonts w:ascii="Times New Roman" w:hAnsi="Times New Roman"/>
          <w:color w:val="000000"/>
          <w:sz w:val="28"/>
          <w:szCs w:val="28"/>
        </w:rPr>
        <w:t xml:space="preserve">України: </w:t>
      </w:r>
      <w:r>
        <w:rPr>
          <w:rFonts w:ascii="Times New Roman" w:hAnsi="Times New Roman"/>
          <w:color w:val="000000"/>
          <w:spacing w:val="3"/>
          <w:sz w:val="28"/>
          <w:szCs w:val="28"/>
        </w:rPr>
        <w:t xml:space="preserve">від гуртових торговельних фірм, фермерських господарств </w:t>
      </w:r>
      <w:r>
        <w:rPr>
          <w:rFonts w:ascii="Times New Roman" w:hAnsi="Times New Roman"/>
          <w:color w:val="000000"/>
          <w:spacing w:val="-4"/>
          <w:sz w:val="28"/>
          <w:szCs w:val="28"/>
        </w:rPr>
        <w:t xml:space="preserve">до роздрібних підприємств. Одночасно менеджери товариства шукають нових партнерів як в Європі так і на внутрішньому ринку </w:t>
      </w:r>
      <w:r>
        <w:rPr>
          <w:rFonts w:ascii="Times New Roman" w:hAnsi="Times New Roman"/>
          <w:sz w:val="28"/>
          <w:szCs w:val="28"/>
        </w:rPr>
        <w:t>[33]</w:t>
      </w:r>
      <w:r>
        <w:rPr>
          <w:rFonts w:ascii="Times New Roman" w:hAnsi="Times New Roman"/>
          <w:color w:val="000000"/>
          <w:spacing w:val="-4"/>
          <w:sz w:val="28"/>
          <w:szCs w:val="28"/>
        </w:rPr>
        <w:t>.</w:t>
      </w:r>
    </w:p>
    <w:p>
      <w:pPr>
        <w:pStyle w:val="Normal"/>
        <w:shd w:val="clear" w:color="auto" w:fill="FFFFFF"/>
        <w:spacing w:lineRule="auto" w:line="360"/>
        <w:ind w:left="720" w:firstLine="709"/>
        <w:rPr>
          <w:rFonts w:ascii="Times New Roman" w:hAnsi="Times New Roman"/>
          <w:spacing w:val="-2"/>
          <w:sz w:val="28"/>
          <w:szCs w:val="28"/>
        </w:rPr>
      </w:pPr>
      <w:r>
        <w:rPr>
          <w:rFonts w:ascii="Times New Roman" w:hAnsi="Times New Roman"/>
          <w:spacing w:val="-2"/>
          <w:sz w:val="28"/>
          <w:szCs w:val="28"/>
        </w:rPr>
        <w:t xml:space="preserve">До основних видів виробничого устаткування на якому виготовляється основна продукція підприємства відносяться </w:t>
      </w:r>
      <w:r>
        <w:rPr>
          <w:rFonts w:ascii="Times New Roman" w:hAnsi="Times New Roman"/>
          <w:sz w:val="28"/>
          <w:szCs w:val="28"/>
        </w:rPr>
        <w:t>[33]</w:t>
      </w:r>
      <w:r>
        <w:rPr>
          <w:rFonts w:ascii="Times New Roman" w:hAnsi="Times New Roman"/>
          <w:spacing w:val="-2"/>
          <w:sz w:val="28"/>
          <w:szCs w:val="28"/>
        </w:rPr>
        <w:t>:</w:t>
      </w:r>
    </w:p>
    <w:p>
      <w:pPr>
        <w:pStyle w:val="Normal"/>
        <w:shd w:val="clear" w:color="auto" w:fill="FFFFFF"/>
        <w:spacing w:lineRule="auto" w:line="360"/>
        <w:ind w:left="720" w:firstLine="709"/>
        <w:rPr>
          <w:rFonts w:ascii="Times New Roman" w:hAnsi="Times New Roman"/>
          <w:spacing w:val="-1"/>
          <w:sz w:val="28"/>
          <w:szCs w:val="28"/>
        </w:rPr>
      </w:pPr>
      <w:r>
        <w:rPr>
          <w:rFonts w:ascii="Times New Roman" w:hAnsi="Times New Roman"/>
          <w:spacing w:val="-2"/>
          <w:sz w:val="28"/>
          <w:szCs w:val="28"/>
        </w:rPr>
        <w:t>1) волочильний стан «</w:t>
      </w:r>
      <w:r>
        <w:rPr>
          <w:rFonts w:ascii="Times New Roman" w:hAnsi="Times New Roman"/>
          <w:spacing w:val="-2"/>
          <w:sz w:val="28"/>
          <w:szCs w:val="28"/>
          <w:lang w:val="en-US"/>
        </w:rPr>
        <w:t>RUBIN</w:t>
      </w:r>
      <w:r>
        <w:rPr>
          <w:rFonts w:ascii="Times New Roman" w:hAnsi="Times New Roman"/>
          <w:spacing w:val="-2"/>
          <w:sz w:val="28"/>
          <w:szCs w:val="28"/>
        </w:rPr>
        <w:t xml:space="preserve">» 16\6 німецької фірми </w:t>
      </w:r>
      <w:r>
        <w:rPr>
          <w:rFonts w:ascii="Times New Roman" w:hAnsi="Times New Roman"/>
          <w:spacing w:val="-1"/>
          <w:sz w:val="28"/>
          <w:szCs w:val="28"/>
        </w:rPr>
        <w:t>«</w:t>
      </w:r>
      <w:r>
        <w:rPr>
          <w:rFonts w:ascii="Times New Roman" w:hAnsi="Times New Roman"/>
          <w:spacing w:val="-1"/>
          <w:sz w:val="28"/>
          <w:szCs w:val="28"/>
          <w:lang w:val="en-US"/>
        </w:rPr>
        <w:t>HERBORN</w:t>
      </w:r>
      <w:r>
        <w:rPr>
          <w:rFonts w:ascii="Times New Roman" w:hAnsi="Times New Roman"/>
          <w:spacing w:val="-1"/>
          <w:sz w:val="28"/>
          <w:szCs w:val="28"/>
        </w:rPr>
        <w:t>+</w:t>
      </w:r>
      <w:r>
        <w:rPr>
          <w:rFonts w:ascii="Times New Roman" w:hAnsi="Times New Roman"/>
          <w:spacing w:val="-1"/>
          <w:sz w:val="28"/>
          <w:szCs w:val="28"/>
          <w:lang w:val="en-US"/>
        </w:rPr>
        <w:t>BREITENBAN</w:t>
      </w:r>
      <w:r>
        <w:rPr>
          <w:rFonts w:ascii="Times New Roman" w:hAnsi="Times New Roman"/>
          <w:spacing w:val="-1"/>
          <w:sz w:val="28"/>
          <w:szCs w:val="28"/>
        </w:rPr>
        <w:t xml:space="preserve">» </w:t>
      </w:r>
      <w:r>
        <w:rPr>
          <w:rFonts w:ascii="Times New Roman" w:hAnsi="Times New Roman"/>
          <w:spacing w:val="-3"/>
          <w:sz w:val="28"/>
          <w:szCs w:val="28"/>
        </w:rPr>
        <w:t>–</w:t>
      </w:r>
      <w:r>
        <w:rPr>
          <w:rFonts w:ascii="Times New Roman" w:hAnsi="Times New Roman"/>
          <w:spacing w:val="-2"/>
          <w:sz w:val="28"/>
          <w:szCs w:val="28"/>
        </w:rPr>
        <w:t xml:space="preserve"> застосовують для виробництва дроту;</w:t>
      </w:r>
    </w:p>
    <w:p>
      <w:pPr>
        <w:pStyle w:val="Normal"/>
        <w:shd w:val="clear" w:color="auto" w:fill="FFFFFF"/>
        <w:spacing w:lineRule="auto" w:line="360"/>
        <w:ind w:left="720" w:firstLine="709"/>
        <w:rPr>
          <w:rFonts w:ascii="Times New Roman" w:hAnsi="Times New Roman"/>
          <w:spacing w:val="-1"/>
          <w:sz w:val="28"/>
          <w:szCs w:val="28"/>
        </w:rPr>
      </w:pPr>
      <w:r>
        <w:rPr>
          <w:rFonts w:ascii="Times New Roman" w:hAnsi="Times New Roman"/>
          <w:color w:val="000000"/>
          <w:spacing w:val="5"/>
          <w:sz w:val="28"/>
          <w:szCs w:val="28"/>
        </w:rPr>
        <w:t xml:space="preserve">2) </w:t>
      </w:r>
      <w:r>
        <w:rPr>
          <w:rFonts w:ascii="Times New Roman" w:hAnsi="Times New Roman"/>
          <w:color w:val="000000"/>
          <w:spacing w:val="-3"/>
          <w:sz w:val="28"/>
          <w:szCs w:val="28"/>
        </w:rPr>
        <w:t>цвяхові автомати</w:t>
      </w:r>
      <w:r>
        <w:rPr>
          <w:rFonts w:ascii="Times New Roman" w:hAnsi="Times New Roman"/>
          <w:spacing w:val="1"/>
          <w:sz w:val="28"/>
          <w:szCs w:val="28"/>
        </w:rPr>
        <w:t xml:space="preserve"> </w:t>
      </w:r>
      <w:r>
        <w:rPr>
          <w:rFonts w:ascii="Times New Roman" w:hAnsi="Times New Roman"/>
          <w:color w:val="000000"/>
          <w:spacing w:val="1"/>
          <w:sz w:val="28"/>
          <w:szCs w:val="28"/>
        </w:rPr>
        <w:t>вітчизняного виробництва</w:t>
      </w:r>
      <w:r>
        <w:rPr>
          <w:rFonts w:ascii="Times New Roman" w:hAnsi="Times New Roman"/>
          <w:spacing w:val="1"/>
          <w:sz w:val="28"/>
          <w:szCs w:val="28"/>
        </w:rPr>
        <w:t xml:space="preserve"> АБ 4411 А, АВ 4113, АВ 411БА, АВ 4116А, АГ 4117, АВ </w:t>
      </w:r>
      <w:r>
        <w:rPr>
          <w:rFonts w:ascii="Times New Roman" w:hAnsi="Times New Roman"/>
          <w:spacing w:val="-1"/>
          <w:sz w:val="28"/>
          <w:szCs w:val="28"/>
        </w:rPr>
        <w:t>4118, А 4215 та сучасне обладнання провідних європейських фірм таких як «</w:t>
      </w:r>
      <w:r>
        <w:rPr>
          <w:rFonts w:ascii="Times New Roman" w:hAnsi="Times New Roman"/>
          <w:spacing w:val="-1"/>
          <w:sz w:val="28"/>
          <w:szCs w:val="28"/>
          <w:lang w:val="en-US"/>
        </w:rPr>
        <w:t>WAFIOS</w:t>
      </w:r>
      <w:r>
        <w:rPr>
          <w:rFonts w:ascii="Times New Roman" w:hAnsi="Times New Roman"/>
          <w:spacing w:val="-1"/>
          <w:sz w:val="28"/>
          <w:szCs w:val="28"/>
        </w:rPr>
        <w:t>», «</w:t>
      </w:r>
      <w:r>
        <w:rPr>
          <w:rFonts w:ascii="Times New Roman" w:hAnsi="Times New Roman"/>
          <w:spacing w:val="-1"/>
          <w:sz w:val="28"/>
          <w:szCs w:val="28"/>
          <w:lang w:val="en-US"/>
        </w:rPr>
        <w:t>ALTRIMEX</w:t>
      </w:r>
      <w:r>
        <w:rPr>
          <w:rFonts w:ascii="Times New Roman" w:hAnsi="Times New Roman"/>
          <w:spacing w:val="-1"/>
          <w:sz w:val="28"/>
          <w:szCs w:val="28"/>
        </w:rPr>
        <w:t xml:space="preserve">» </w:t>
      </w:r>
      <w:r>
        <w:rPr>
          <w:rFonts w:ascii="Times New Roman" w:hAnsi="Times New Roman"/>
          <w:spacing w:val="-3"/>
          <w:sz w:val="28"/>
          <w:szCs w:val="28"/>
        </w:rPr>
        <w:t xml:space="preserve">– </w:t>
      </w:r>
      <w:r>
        <w:rPr>
          <w:rFonts w:ascii="Times New Roman" w:hAnsi="Times New Roman"/>
          <w:color w:val="000000"/>
          <w:spacing w:val="-3"/>
          <w:sz w:val="28"/>
          <w:szCs w:val="28"/>
        </w:rPr>
        <w:t>для виробництва цвяхів;</w:t>
      </w:r>
    </w:p>
    <w:p>
      <w:pPr>
        <w:pStyle w:val="Normal"/>
        <w:shd w:val="clear" w:color="auto" w:fill="FFFFFF"/>
        <w:spacing w:lineRule="auto" w:line="360"/>
        <w:ind w:left="720" w:firstLine="709"/>
        <w:rPr>
          <w:rFonts w:ascii="Times New Roman" w:hAnsi="Times New Roman"/>
          <w:color w:val="000000"/>
          <w:spacing w:val="5"/>
          <w:sz w:val="28"/>
          <w:szCs w:val="28"/>
        </w:rPr>
      </w:pPr>
      <w:r>
        <w:rPr>
          <w:rFonts w:ascii="Times New Roman" w:hAnsi="Times New Roman"/>
          <w:color w:val="000000"/>
          <w:spacing w:val="-1"/>
          <w:sz w:val="28"/>
          <w:szCs w:val="28"/>
        </w:rPr>
        <w:t xml:space="preserve">3) верстат </w:t>
      </w:r>
      <w:r>
        <w:rPr>
          <w:rFonts w:ascii="Times New Roman" w:hAnsi="Times New Roman"/>
          <w:color w:val="000000"/>
          <w:spacing w:val="5"/>
          <w:sz w:val="28"/>
          <w:szCs w:val="28"/>
          <w:lang w:val="en-US"/>
        </w:rPr>
        <w:t>GW</w:t>
      </w:r>
      <w:r>
        <w:rPr>
          <w:rFonts w:ascii="Times New Roman" w:hAnsi="Times New Roman"/>
          <w:color w:val="000000"/>
          <w:spacing w:val="5"/>
          <w:sz w:val="28"/>
          <w:szCs w:val="28"/>
        </w:rPr>
        <w:t xml:space="preserve"> 92 </w:t>
      </w:r>
      <w:r>
        <w:rPr>
          <w:rFonts w:ascii="Times New Roman" w:hAnsi="Times New Roman"/>
          <w:color w:val="000000"/>
          <w:spacing w:val="5"/>
          <w:sz w:val="28"/>
          <w:szCs w:val="28"/>
          <w:lang w:val="en-US"/>
        </w:rPr>
        <w:t>S</w:t>
      </w:r>
      <w:r>
        <w:rPr>
          <w:rFonts w:ascii="Times New Roman" w:hAnsi="Times New Roman"/>
          <w:color w:val="000000"/>
          <w:spacing w:val="-1"/>
          <w:sz w:val="28"/>
          <w:szCs w:val="28"/>
        </w:rPr>
        <w:t xml:space="preserve"> </w:t>
      </w:r>
      <w:r>
        <w:rPr>
          <w:rFonts w:ascii="Times New Roman" w:hAnsi="Times New Roman"/>
          <w:spacing w:val="-3"/>
          <w:sz w:val="28"/>
          <w:szCs w:val="28"/>
        </w:rPr>
        <w:t>–</w:t>
      </w:r>
      <w:r>
        <w:rPr>
          <w:rFonts w:ascii="Times New Roman" w:hAnsi="Times New Roman"/>
          <w:color w:val="000000"/>
          <w:spacing w:val="-1"/>
          <w:sz w:val="28"/>
          <w:szCs w:val="28"/>
        </w:rPr>
        <w:t xml:space="preserve"> придбано</w:t>
      </w:r>
      <w:r>
        <w:rPr>
          <w:rFonts w:ascii="Times New Roman" w:hAnsi="Times New Roman"/>
          <w:color w:val="000000"/>
          <w:spacing w:val="5"/>
          <w:sz w:val="28"/>
          <w:szCs w:val="28"/>
        </w:rPr>
        <w:t xml:space="preserve"> </w:t>
      </w:r>
      <w:r>
        <w:rPr>
          <w:rFonts w:ascii="Times New Roman" w:hAnsi="Times New Roman"/>
          <w:color w:val="000000"/>
          <w:spacing w:val="-1"/>
          <w:sz w:val="28"/>
          <w:szCs w:val="28"/>
        </w:rPr>
        <w:t>для виробництва цвяхів для євро-піддонів  та інші.</w:t>
      </w:r>
    </w:p>
    <w:p>
      <w:pPr>
        <w:pStyle w:val="Normal"/>
        <w:shd w:val="clear" w:color="auto" w:fill="FFFFFF"/>
        <w:spacing w:lineRule="auto" w:line="360"/>
        <w:ind w:left="720" w:firstLine="709"/>
        <w:rPr>
          <w:rFonts w:ascii="Times New Roman" w:hAnsi="Times New Roman"/>
          <w:color w:val="000000"/>
          <w:sz w:val="28"/>
          <w:szCs w:val="28"/>
        </w:rPr>
      </w:pPr>
      <w:r>
        <w:rPr>
          <w:rFonts w:ascii="Times New Roman" w:hAnsi="Times New Roman"/>
          <w:color w:val="000000"/>
          <w:sz w:val="28"/>
          <w:szCs w:val="28"/>
        </w:rPr>
        <w:t xml:space="preserve">З 2001 р. </w:t>
      </w:r>
      <w:r>
        <w:rPr>
          <w:rFonts w:ascii="Times New Roman" w:hAnsi="Times New Roman"/>
          <w:spacing w:val="-3"/>
          <w:sz w:val="28"/>
          <w:szCs w:val="28"/>
        </w:rPr>
        <w:t>ТОВ «НЕЙЛ»</w:t>
      </w:r>
      <w:r>
        <w:rPr>
          <w:rFonts w:ascii="Times New Roman" w:hAnsi="Times New Roman"/>
          <w:color w:val="000000"/>
          <w:sz w:val="28"/>
          <w:szCs w:val="28"/>
        </w:rPr>
        <w:t xml:space="preserve"> займається реалізацією товарів, призначених для будівництва. Це дозволило значно розширити асортимент товарів.</w:t>
      </w:r>
    </w:p>
    <w:p>
      <w:pPr>
        <w:pStyle w:val="Normal"/>
        <w:spacing w:lineRule="auto" w:line="360"/>
        <w:ind w:left="720" w:firstLine="709"/>
        <w:rPr>
          <w:rFonts w:ascii="Times New Roman" w:hAnsi="Times New Roman"/>
          <w:color w:val="000000"/>
          <w:sz w:val="28"/>
          <w:szCs w:val="28"/>
        </w:rPr>
      </w:pPr>
      <w:r>
        <w:rPr>
          <w:rFonts w:ascii="Times New Roman" w:hAnsi="Times New Roman"/>
          <w:sz w:val="28"/>
          <w:szCs w:val="28"/>
        </w:rPr>
        <w:t xml:space="preserve">Збутом продукції суб’єкта господарювання займається комерційна служба в якій працює близько 100 осіб. </w:t>
      </w:r>
      <w:r>
        <w:rPr>
          <w:rFonts w:ascii="Times New Roman" w:hAnsi="Times New Roman"/>
          <w:color w:val="000000"/>
          <w:sz w:val="28"/>
          <w:szCs w:val="28"/>
        </w:rPr>
        <w:t xml:space="preserve">Процес управління виробництвом товариства постійно удосконалюється. </w:t>
      </w:r>
    </w:p>
    <w:p>
      <w:pPr>
        <w:pStyle w:val="Normal"/>
        <w:shd w:val="clear" w:color="auto" w:fill="FFFFFF"/>
        <w:spacing w:lineRule="auto" w:line="360"/>
        <w:ind w:left="720" w:firstLine="709"/>
        <w:rPr>
          <w:rFonts w:ascii="Times New Roman" w:hAnsi="Times New Roman"/>
          <w:color w:val="000000"/>
          <w:sz w:val="28"/>
          <w:szCs w:val="28"/>
        </w:rPr>
      </w:pPr>
      <w:r>
        <w:rPr>
          <w:rFonts w:ascii="Times New Roman" w:hAnsi="Times New Roman"/>
          <w:color w:val="000000"/>
          <w:sz w:val="28"/>
          <w:szCs w:val="28"/>
        </w:rPr>
        <w:t xml:space="preserve">Одночасно з виробництвом цвяхів, </w:t>
      </w:r>
      <w:r>
        <w:rPr>
          <w:rFonts w:ascii="Times New Roman" w:hAnsi="Times New Roman"/>
          <w:spacing w:val="-3"/>
          <w:sz w:val="28"/>
          <w:szCs w:val="28"/>
        </w:rPr>
        <w:t>ТОВ «НЕЙЛ»</w:t>
      </w:r>
      <w:r>
        <w:rPr>
          <w:rFonts w:ascii="Times New Roman" w:hAnsi="Times New Roman"/>
          <w:color w:val="000000"/>
          <w:sz w:val="28"/>
          <w:szCs w:val="28"/>
        </w:rPr>
        <w:t xml:space="preserve"> проводить проектування та виготовлення нових технологічних установок, виготовляє пристосування та інструмент, що дозволяє підвищувати технологічний рівень виробництва та покращувати якість продукції.</w:t>
      </w:r>
    </w:p>
    <w:p>
      <w:pPr>
        <w:pStyle w:val="Normal"/>
        <w:shd w:val="clear" w:color="auto" w:fill="FFFFFF"/>
        <w:spacing w:lineRule="auto" w:line="360"/>
        <w:ind w:left="720" w:firstLine="709"/>
        <w:rPr>
          <w:rFonts w:ascii="Times New Roman" w:hAnsi="Times New Roman"/>
          <w:sz w:val="28"/>
          <w:szCs w:val="28"/>
        </w:rPr>
      </w:pPr>
      <w:r>
        <w:rPr>
          <w:rFonts w:ascii="Times New Roman" w:hAnsi="Times New Roman"/>
          <w:color w:val="000000"/>
          <w:spacing w:val="5"/>
          <w:sz w:val="28"/>
          <w:szCs w:val="28"/>
        </w:rPr>
        <w:t xml:space="preserve">З огляду менеджменту, </w:t>
      </w:r>
      <w:r>
        <w:rPr>
          <w:rFonts w:ascii="Times New Roman" w:hAnsi="Times New Roman"/>
          <w:spacing w:val="-3"/>
          <w:sz w:val="28"/>
          <w:szCs w:val="28"/>
        </w:rPr>
        <w:t>ТОВ «НЕЙЛ» –</w:t>
      </w:r>
      <w:r>
        <w:rPr>
          <w:rFonts w:ascii="Times New Roman" w:hAnsi="Times New Roman"/>
          <w:color w:val="000000"/>
          <w:spacing w:val="5"/>
          <w:sz w:val="28"/>
          <w:szCs w:val="28"/>
        </w:rPr>
        <w:t xml:space="preserve"> є </w:t>
      </w:r>
      <w:r>
        <w:rPr>
          <w:rFonts w:ascii="Times New Roman" w:hAnsi="Times New Roman"/>
          <w:sz w:val="28"/>
          <w:szCs w:val="28"/>
        </w:rPr>
        <w:t>компанією</w:t>
      </w:r>
      <w:r>
        <w:rPr>
          <w:rFonts w:ascii="Times New Roman" w:hAnsi="Times New Roman"/>
          <w:color w:val="000000"/>
          <w:spacing w:val="5"/>
          <w:sz w:val="28"/>
          <w:szCs w:val="28"/>
        </w:rPr>
        <w:t xml:space="preserve"> стійкою до коливань </w:t>
      </w:r>
      <w:r>
        <w:rPr>
          <w:rFonts w:ascii="Times New Roman" w:hAnsi="Times New Roman"/>
          <w:color w:val="000000"/>
          <w:sz w:val="28"/>
          <w:szCs w:val="28"/>
        </w:rPr>
        <w:t xml:space="preserve">ринку. Перевагами компанії є </w:t>
      </w:r>
      <w:r>
        <w:rPr>
          <w:rFonts w:ascii="Times New Roman" w:hAnsi="Times New Roman"/>
          <w:sz w:val="28"/>
          <w:szCs w:val="28"/>
        </w:rPr>
        <w:t>[33]</w:t>
      </w:r>
      <w:r>
        <w:rPr>
          <w:rFonts w:ascii="Times New Roman" w:hAnsi="Times New Roman"/>
          <w:color w:val="000000"/>
          <w:sz w:val="28"/>
          <w:szCs w:val="28"/>
        </w:rPr>
        <w:t xml:space="preserve">: гнучка політика з ухвалення управлінських рішень; </w:t>
      </w:r>
      <w:r>
        <w:rPr>
          <w:rFonts w:ascii="Times New Roman" w:hAnsi="Times New Roman"/>
          <w:color w:val="000000"/>
          <w:spacing w:val="-1"/>
          <w:sz w:val="28"/>
          <w:szCs w:val="28"/>
        </w:rPr>
        <w:t xml:space="preserve">достатня якість продукції; </w:t>
      </w:r>
      <w:r>
        <w:rPr>
          <w:rFonts w:ascii="Times New Roman" w:hAnsi="Times New Roman"/>
          <w:color w:val="000000"/>
          <w:sz w:val="28"/>
          <w:szCs w:val="28"/>
        </w:rPr>
        <w:t xml:space="preserve">випуск цвяхів за європейськими стандартами; упаковка, що відповідає світовим стандартам; потужна кваліфікація персоналу; </w:t>
      </w:r>
      <w:r>
        <w:rPr>
          <w:rFonts w:ascii="Times New Roman" w:hAnsi="Times New Roman"/>
          <w:color w:val="000000"/>
          <w:spacing w:val="-1"/>
          <w:sz w:val="28"/>
          <w:szCs w:val="28"/>
        </w:rPr>
        <w:t xml:space="preserve">налагоджені зв'язки з розповсюдження товару. </w:t>
      </w:r>
      <w:r>
        <w:rPr>
          <w:rFonts w:ascii="Times New Roman" w:hAnsi="Times New Roman"/>
          <w:color w:val="000000"/>
          <w:sz w:val="28"/>
          <w:szCs w:val="28"/>
        </w:rPr>
        <w:t>Проте, їй притаманні і слабкі сторони</w:t>
      </w:r>
      <w:r>
        <w:rPr>
          <w:rFonts w:ascii="Times New Roman" w:hAnsi="Times New Roman"/>
          <w:sz w:val="28"/>
          <w:szCs w:val="28"/>
        </w:rPr>
        <w:t xml:space="preserve"> [33]</w:t>
      </w:r>
      <w:r>
        <w:rPr>
          <w:rFonts w:ascii="Times New Roman" w:hAnsi="Times New Roman"/>
          <w:color w:val="000000"/>
          <w:sz w:val="28"/>
          <w:szCs w:val="28"/>
        </w:rPr>
        <w:t xml:space="preserve">: </w:t>
      </w:r>
      <w:r>
        <w:rPr>
          <w:rFonts w:ascii="Times New Roman" w:hAnsi="Times New Roman"/>
          <w:color w:val="000000"/>
          <w:spacing w:val="1"/>
          <w:sz w:val="28"/>
          <w:szCs w:val="28"/>
        </w:rPr>
        <w:t xml:space="preserve">недостатня кількість обладнання, що не дозволяє розширювати асортимент </w:t>
      </w:r>
      <w:r>
        <w:rPr>
          <w:rFonts w:ascii="Times New Roman" w:hAnsi="Times New Roman"/>
          <w:color w:val="000000"/>
          <w:sz w:val="28"/>
          <w:szCs w:val="28"/>
        </w:rPr>
        <w:t>продукції та не забезпечує повного циклу переробки сировини; недостатня кількість обігових коштів.</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Отже, </w:t>
      </w:r>
      <w:r>
        <w:rPr>
          <w:rFonts w:eastAsia="Times New Roman" w:ascii="Times New Roman" w:hAnsi="Times New Roman"/>
          <w:sz w:val="28"/>
          <w:szCs w:val="28"/>
          <w:lang w:eastAsia="ru-RU"/>
        </w:rPr>
        <w:t>ТОВ «НЕЙЛ»</w:t>
      </w:r>
      <w:r>
        <w:rPr>
          <w:rFonts w:ascii="Times New Roman" w:hAnsi="Times New Roman"/>
          <w:sz w:val="28"/>
          <w:szCs w:val="28"/>
        </w:rPr>
        <w:t xml:space="preserve"> займається </w:t>
      </w:r>
      <w:r>
        <w:rPr>
          <w:rFonts w:ascii="Times New Roman" w:hAnsi="Times New Roman"/>
          <w:sz w:val="28"/>
        </w:rPr>
        <w:t>виробництвом та реалізацією цвяхів, шурупів, саморізів, конфірматів,</w:t>
      </w:r>
      <w:r>
        <w:rPr>
          <w:rFonts w:ascii="Times New Roman" w:hAnsi="Times New Roman"/>
          <w:sz w:val="28"/>
          <w:szCs w:val="28"/>
        </w:rPr>
        <w:t xml:space="preserve"> болтів, гвинтів, стержнів різьбових, гайків, шайб, анкерів, дюбелів, засобів кріплення,</w:t>
      </w:r>
      <w:r>
        <w:rPr/>
        <w:t xml:space="preserve"> </w:t>
      </w:r>
      <w:r>
        <w:rPr>
          <w:rFonts w:ascii="Times New Roman" w:hAnsi="Times New Roman"/>
          <w:sz w:val="28"/>
          <w:szCs w:val="28"/>
        </w:rPr>
        <w:t>заклепок, скоб, шплінтів, свердл, кругів, насадок, лісків, гаків, хомутів, такелажів, дротів, електродів достатньо високої якості продукції, як на вітчизняному ринку так і в країнами СНД та Європи [33].</w:t>
      </w:r>
    </w:p>
    <w:p>
      <w:pPr>
        <w:pStyle w:val="Normal"/>
        <w:spacing w:lineRule="auto" w:line="36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left="720" w:firstLine="709"/>
        <w:rPr>
          <w:rFonts w:ascii="Times New Roman" w:hAnsi="Times New Roman"/>
          <w:sz w:val="28"/>
          <w:szCs w:val="28"/>
        </w:rPr>
      </w:pPr>
      <w:r>
        <w:rPr>
          <w:rFonts w:ascii="Times New Roman" w:hAnsi="Times New Roman"/>
          <w:sz w:val="28"/>
          <w:szCs w:val="28"/>
        </w:rPr>
        <w:t>2.2 Аналіз основних техніко-економічних показників роботи підприємства</w:t>
      </w:r>
    </w:p>
    <w:p>
      <w:pPr>
        <w:pStyle w:val="Normal"/>
        <w:spacing w:lineRule="auto" w:line="360"/>
        <w:ind w:left="720" w:firstLine="709"/>
        <w:rPr>
          <w:rFonts w:ascii="Times New Roman" w:hAnsi="Times New Roman"/>
          <w:sz w:val="28"/>
          <w:szCs w:val="28"/>
        </w:rPr>
      </w:pPr>
      <w:r>
        <w:rPr>
          <w:rFonts w:ascii="Times New Roman" w:hAnsi="Times New Roman"/>
          <w:sz w:val="28"/>
          <w:szCs w:val="28"/>
        </w:rPr>
      </w:r>
    </w:p>
    <w:p>
      <w:pPr>
        <w:pStyle w:val="Normal"/>
        <w:spacing w:lineRule="auto" w:line="360"/>
        <w:ind w:left="720" w:firstLine="709"/>
        <w:rPr>
          <w:rFonts w:ascii="Times New Roman" w:hAnsi="Times New Roman"/>
          <w:sz w:val="28"/>
          <w:szCs w:val="28"/>
        </w:rPr>
      </w:pPr>
      <w:r>
        <w:rPr>
          <w:rFonts w:ascii="Times New Roman" w:hAnsi="Times New Roman"/>
          <w:sz w:val="28"/>
          <w:szCs w:val="28"/>
        </w:rPr>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Аналіз основних техніко-економічних показників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проведено за даними річної фінансової звітності – баланс та звіт про фінансові результати з 2010 р. по 2020 р. (додатки Б та В). Вихідна інформація для проведення аналізу узагальнена у таблицях з 2.1 до 2.4.</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За даними цих таблиць, на </w:t>
      </w:r>
      <w:r>
        <w:rPr>
          <w:rFonts w:eastAsia="Times New Roman" w:ascii="Times New Roman" w:hAnsi="Times New Roman"/>
          <w:sz w:val="28"/>
          <w:szCs w:val="28"/>
          <w:lang w:eastAsia="ru-RU"/>
        </w:rPr>
        <w:t>ТОВ «НЕЙЛ»</w:t>
      </w:r>
      <w:r>
        <w:rPr>
          <w:rFonts w:ascii="Times New Roman" w:hAnsi="Times New Roman"/>
          <w:sz w:val="28"/>
          <w:szCs w:val="28"/>
        </w:rPr>
        <w:t>, за досліджуваний період, спостерігаємо зростання усіх кількісних та якісних показників. На значні темпи зростання безумовно впливає і інфляційний чинник, проте результати господарювання є вдалими. Зменшення відбулося лише щодо витрат на гривню реалізованої продукції, чисельності персоналу та матеріаловіддачі. Це вказує на скорочення витрат пов’язаних зі збутом продукції, штату працівників та погіршення ефективності використання матеріалів, що негативно позначається на діяльності підприємства.</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Позитивним моментом у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є отримання чистого прибутку з 2011 р. по 2020 р. Однак у 2010 р. компанія отримала збиток у розмірі 779 тис. грн. Негативним моментом є стрімке зменшення чистого прибутку у 2012 р. на 395 тис. грн, у 2016 р.  на 3215 тис. грн. У подальшому розмір кінцевого фінансового результату з року в рік скорочується і становить 2470,8 тис. грн у звітному році.</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За даними таблиць з 2.1 до 2.4, 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помітним є коливання кількісних показників виробничо-збутової діяльності. Це стосується зміни обсягів товарної та реалізованої продукції, що наочно простежується за допомогою рисунку 2.2. </w:t>
      </w:r>
    </w:p>
    <w:p>
      <w:pPr>
        <w:sectPr>
          <w:headerReference w:type="default" r:id="rId17"/>
          <w:footerReference w:type="default" r:id="rId18"/>
          <w:type w:val="nextPage"/>
          <w:pgSz w:w="11906" w:h="16838"/>
          <w:pgMar w:left="1701" w:right="567" w:header="709" w:top="1134" w:footer="709" w:bottom="1134" w:gutter="0"/>
          <w:pgNumType w:fmt="decimal"/>
          <w:formProt w:val="false"/>
          <w:textDirection w:val="lrTb"/>
          <w:docGrid w:type="default" w:linePitch="360" w:charSpace="0"/>
        </w:sectPr>
        <w:pStyle w:val="Normal"/>
        <w:spacing w:lineRule="auto" w:line="360"/>
        <w:ind w:left="720" w:firstLine="709"/>
        <w:rPr>
          <w:rFonts w:ascii="Times New Roman" w:hAnsi="Times New Roman"/>
          <w:sz w:val="28"/>
          <w:szCs w:val="28"/>
        </w:rPr>
      </w:pPr>
      <w:r>
        <w:rPr>
          <w:rFonts w:ascii="Times New Roman" w:hAnsi="Times New Roman"/>
          <w:sz w:val="28"/>
          <w:szCs w:val="28"/>
        </w:rPr>
        <w:t>За рисунком 2.2 спостерігається загальна тенденція до поступового нарощування виробничих потужностей і зростання обсягів реалізації цвяхів. Однак їх обсяг скоротився: у 2013 р. на 38,74 % та 9,03 % відповідно; у 2019 р. на 0,38 % та 1,82 % відповідно та у звітному році на 1,54 % та 13,16 % відповідно.</w:t>
      </w:r>
    </w:p>
    <w:p>
      <w:pPr>
        <w:pStyle w:val="Normal"/>
        <w:spacing w:lineRule="auto" w:line="360"/>
        <w:ind w:left="720" w:firstLine="709"/>
        <w:rPr>
          <w:rFonts w:ascii="Times New Roman" w:hAnsi="Times New Roman"/>
          <w:sz w:val="28"/>
          <w:szCs w:val="28"/>
        </w:rPr>
      </w:pPr>
      <w:r>
        <w:rPr>
          <w:rFonts w:ascii="Times New Roman" w:hAnsi="Times New Roman"/>
          <w:sz w:val="28"/>
          <w:szCs w:val="28"/>
        </w:rPr>
        <w:t xml:space="preserve">Таблиця 2.1 – Основні техніко-економічні показники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tbl>
      <w:tblPr>
        <w:tblW w:w="15582" w:type="dxa"/>
        <w:jc w:val="left"/>
        <w:tblInd w:w="113" w:type="dxa"/>
        <w:tblCellMar>
          <w:top w:w="0" w:type="dxa"/>
          <w:left w:w="108" w:type="dxa"/>
          <w:bottom w:w="0" w:type="dxa"/>
          <w:right w:w="108" w:type="dxa"/>
        </w:tblCellMar>
        <w:tblLook w:firstRow="1" w:noVBand="1" w:lastRow="0" w:firstColumn="1" w:lastColumn="0" w:noHBand="0" w:val="04a0"/>
      </w:tblPr>
      <w:tblGrid>
        <w:gridCol w:w="475"/>
        <w:gridCol w:w="2953"/>
        <w:gridCol w:w="1000"/>
        <w:gridCol w:w="1021"/>
        <w:gridCol w:w="1020"/>
        <w:gridCol w:w="1021"/>
        <w:gridCol w:w="1020"/>
        <w:gridCol w:w="1021"/>
        <w:gridCol w:w="1021"/>
        <w:gridCol w:w="1020"/>
        <w:gridCol w:w="1021"/>
        <w:gridCol w:w="1041"/>
        <w:gridCol w:w="964"/>
        <w:gridCol w:w="983"/>
      </w:tblGrid>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з/п</w:t>
            </w:r>
          </w:p>
        </w:tc>
        <w:tc>
          <w:tcPr>
            <w:tcW w:w="2953"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Показник </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Один. вим.</w:t>
            </w:r>
          </w:p>
        </w:tc>
        <w:tc>
          <w:tcPr>
            <w:tcW w:w="11153" w:type="dxa"/>
            <w:gridSpan w:val="11"/>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Рік</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964"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9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10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964"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c>
          <w:tcPr>
            <w:tcW w:w="9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Обсяг товарної продукції</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45678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46789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48978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30005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41170,5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64737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89606,7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94589,3</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132399</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lang w:eastAsia="uk-UA"/>
              </w:rPr>
            </w:pPr>
            <w:r>
              <w:rPr>
                <w:rFonts w:ascii="Times New Roman" w:hAnsi="Times New Roman"/>
                <w:color w:val="000000"/>
                <w:sz w:val="20"/>
                <w:szCs w:val="20"/>
              </w:rPr>
              <w:t>131897</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129870</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Обсяг реалізованої продукції </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50690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55023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54395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49483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66146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96243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109915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129924</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177270</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174043</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151133</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Собівартість товарної продукції</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36383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36854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34113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33192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45805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64515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75212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96462</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134094</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124390</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116128</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Собівартість реалізованої продукції</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40946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42894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42949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37431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50188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69240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82130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100391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142460</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140483</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119559,7</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Валовий прибуток </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9744</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12129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11446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12052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15958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27003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27785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29533</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34810</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33560</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31573,2</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Витрати на гривню товарної продукції</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0,7965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0,7877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0,6965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1,1062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1,1126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0,9966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0,8394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1,0198</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1,0128</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0,9431</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0,8942</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Витрати на гривню реалізованої продукції</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0,8078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0,7796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0,7896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0,7564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0,7587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0,7194</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0,7472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0,7727</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0,8036</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0,8072</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0,7911</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Вартість ОВФ, у т. ч.: </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6907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8249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8179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7380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7323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7250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11290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9871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14004</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11380</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11532</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активної частини ОФ</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7987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7265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7236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7091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7002</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8987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9871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10150</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8517</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8843</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11,59</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11,26</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Машиновіддача</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7,76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6,74</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13,04</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15,49</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14,69</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Середньооблікова чисельність працівників</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осіб</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244</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246</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240</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239</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робітників</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212</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233</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232</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Середньорічний виробіток одного працівника</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 / особу</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164,90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174,59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184,82</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112,38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176,70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269,74</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368,75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387,66</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538,21</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549,57</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543,39</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Середньорічний виробіток одного робітника</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215,46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209,82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226,75</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138,27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188,86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295,60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422,67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450,43</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655,44</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566,08</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559,78</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Середньомісячний виробіток одного працівника</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 / особу</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13741,88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14548,82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15401,89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9 364,86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14724,79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22478,13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30729,32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32305,09</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44850,61</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45797,57</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45282,43</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Середньомісячний виробіток одного робітника</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17955,19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17484,68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18895,83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11522,66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15737,96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24633,56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35222,76</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37535,44</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54620,05</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47173,46</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46648,71</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 оплати праці працівників</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6541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6822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6069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5829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6594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7801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10952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11731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15621</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17878</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20109</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 оплати праці робітників</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4740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4970</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4417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4258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4844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5907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9071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9716</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12856</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14690</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15789</w:t>
            </w:r>
          </w:p>
        </w:tc>
      </w:tr>
      <w:tr>
        <w:trPr>
          <w:trHeight w:val="20" w:hRule="atLeast"/>
        </w:trPr>
        <w:tc>
          <w:tcPr>
            <w:tcW w:w="47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Середньомісячна зарплата одного працівника</w:t>
            </w:r>
          </w:p>
        </w:tc>
        <w:tc>
          <w:tcPr>
            <w:tcW w:w="100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1 967,81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2 121,27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1 908,49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1 819,29</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2 358,37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2 708,68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3 755,83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4 006,49</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5 291,67</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6 207,64</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7 011,51</w:t>
            </w:r>
          </w:p>
        </w:tc>
      </w:tr>
      <w:tr>
        <w:trPr>
          <w:trHeight w:val="20" w:hRule="atLeast"/>
        </w:trPr>
        <w:tc>
          <w:tcPr>
            <w:tcW w:w="47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Середньомісячна зарплата одного робітника</w:t>
            </w:r>
          </w:p>
        </w:tc>
        <w:tc>
          <w:tcPr>
            <w:tcW w:w="100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1 863,21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1 857,25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1 704,09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1 635,18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1 851,68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2 247,72</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3 565,64</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3 855,56</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5 303,63</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5 253,93</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5 671,34</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Сума матеріальних витрат</w:t>
            </w:r>
          </w:p>
        </w:tc>
        <w:tc>
          <w:tcPr>
            <w:tcW w:w="10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26026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25491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22003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20438</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30133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43236</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48871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68739</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98388</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87143</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89560</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Матеріаловіддача</w:t>
            </w:r>
          </w:p>
        </w:tc>
        <w:tc>
          <w:tcPr>
            <w:tcW w:w="10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1,7551</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1,8355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2,2260</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1,4681</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1,3663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1,4973</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1,8335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1,3761</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1,3457</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1,5136</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1,4501</w:t>
            </w:r>
          </w:p>
        </w:tc>
      </w:tr>
      <w:tr>
        <w:trPr>
          <w:trHeight w:val="20" w:hRule="atLeast"/>
        </w:trPr>
        <w:tc>
          <w:tcPr>
            <w:tcW w:w="47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w:t>
            </w:r>
          </w:p>
        </w:tc>
        <w:tc>
          <w:tcPr>
            <w:tcW w:w="295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137"/>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Чистий: прибуток (+), збиток (-)</w:t>
            </w:r>
          </w:p>
        </w:tc>
        <w:tc>
          <w:tcPr>
            <w:tcW w:w="10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-779</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413</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1025</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7197</w:t>
            </w:r>
          </w:p>
        </w:tc>
        <w:tc>
          <w:tcPr>
            <w:tcW w:w="10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3982</w:t>
            </w:r>
          </w:p>
        </w:tc>
        <w:tc>
          <w:tcPr>
            <w:tcW w:w="10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3654</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2971</w:t>
            </w:r>
          </w:p>
        </w:tc>
        <w:tc>
          <w:tcPr>
            <w:tcW w:w="96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2701</w:t>
            </w:r>
          </w:p>
        </w:tc>
        <w:tc>
          <w:tcPr>
            <w:tcW w:w="98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2470,8</w:t>
            </w:r>
          </w:p>
        </w:tc>
      </w:tr>
    </w:tbl>
    <w:p>
      <w:pPr>
        <w:sectPr>
          <w:headerReference w:type="default" r:id="rId19"/>
          <w:footerReference w:type="default" r:id="rId20"/>
          <w:type w:val="nextPage"/>
          <w:pgSz w:orient="landscape" w:w="16838" w:h="11906"/>
          <w:pgMar w:left="567" w:right="567" w:header="709" w:top="1701" w:footer="709" w:bottom="766" w:gutter="0"/>
          <w:pgNumType w:fmt="decimal"/>
          <w:formProt w:val="false"/>
          <w:textDirection w:val="lrTb"/>
          <w:docGrid w:type="default" w:linePitch="360" w:charSpace="0"/>
        </w:sectPr>
      </w:pP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Таблиця 2.2 – Динаміка основних техніко-економічних показників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tbl>
      <w:tblPr>
        <w:tblW w:w="15582" w:type="dxa"/>
        <w:jc w:val="left"/>
        <w:tblInd w:w="113" w:type="dxa"/>
        <w:tblCellMar>
          <w:top w:w="0" w:type="dxa"/>
          <w:left w:w="108" w:type="dxa"/>
          <w:bottom w:w="0" w:type="dxa"/>
          <w:right w:w="108" w:type="dxa"/>
        </w:tblCellMar>
        <w:tblLook w:firstRow="1" w:noVBand="1" w:lastRow="0" w:firstColumn="1" w:lastColumn="0" w:noHBand="0" w:val="04a0"/>
      </w:tblPr>
      <w:tblGrid>
        <w:gridCol w:w="588"/>
        <w:gridCol w:w="3199"/>
        <w:gridCol w:w="1073"/>
        <w:gridCol w:w="1072"/>
        <w:gridCol w:w="1072"/>
        <w:gridCol w:w="1072"/>
        <w:gridCol w:w="1072"/>
        <w:gridCol w:w="1072"/>
        <w:gridCol w:w="1072"/>
        <w:gridCol w:w="1072"/>
        <w:gridCol w:w="1072"/>
        <w:gridCol w:w="1072"/>
        <w:gridCol w:w="1073"/>
      </w:tblGrid>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з/п</w:t>
            </w:r>
          </w:p>
        </w:tc>
        <w:tc>
          <w:tcPr>
            <w:tcW w:w="319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Показник </w:t>
            </w:r>
          </w:p>
        </w:tc>
        <w:tc>
          <w:tcPr>
            <w:tcW w:w="11794" w:type="dxa"/>
            <w:gridSpan w:val="11"/>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Темпи росту за роками,%</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2011/2010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2012/2011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2013/2012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2014/2013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2015/2014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2016/2015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2017/2016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2018/2017</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2019/2018</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2020/2010</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Обсяг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104,68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61,26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157,24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138,42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105,56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139,97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lang w:eastAsia="uk-UA"/>
              </w:rPr>
            </w:pPr>
            <w:r>
              <w:rPr>
                <w:rFonts w:ascii="Times New Roman" w:hAnsi="Times New Roman"/>
                <w:color w:val="000000"/>
                <w:sz w:val="20"/>
                <w:szCs w:val="20"/>
              </w:rPr>
              <w:t>139,97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99,62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98,46</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Обсяг реалізованої продукції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108,55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90,97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133,67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145,50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114,21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118,20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136,44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136,44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98,18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86,84</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Собівартість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92,56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139,01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139,01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92,76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93,36</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Собівартість реалізованої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104,76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134,08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137,96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118,62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141,91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141,91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98,61</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85,11</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Валовий: прибуток (+), збиток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124,48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94,37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132,41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169,21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102,90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117,87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117,87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96,41</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94,08</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Витрати на гривню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98,89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158,83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84,22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121,50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99,31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99,31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93,12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94,82</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Витрати на гривню реалізованої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96,51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101,28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94,82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104,00</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104,00</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100,44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98,01</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Вартість ОВФ, у т.ч.: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155,72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141,87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81,26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101,34</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активної частини ОФ</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135,60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90,96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99,60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98,74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128,35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154,25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81,39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103,83</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85,77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67,89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138,28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158,82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88,89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120,74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98,66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98,66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122,59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97,16</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75,54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115,08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61,51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140,02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159,24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136,12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90,75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122,39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94,83</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Середньооблікова чисельність працівників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96,75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98,88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100,75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87,27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100,82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104,92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93,75</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99,58</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робітників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105,19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99,06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96,19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104,00</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99,57</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99,57</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Середньорічний виробіток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105,87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157,23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152,66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136,71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133,41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106,26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98,88</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Середньорічний виробіток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97,38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108,07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60,98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156,52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142,99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145,52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134,59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100,05</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98,89</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Середньомісячний виробіток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105,87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157,23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152,66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136,71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133,41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106,26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98,88</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Середньомісячний виробіток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97,38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108,07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60,98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156,52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142,99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145,52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134,59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100,05</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98,89</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 оплати праці працівників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88,96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96,05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113,12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118,30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140,39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133,16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133,16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114,45</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112,48</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 оплати праці робітників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88,87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96,40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113,76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121,94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153,56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132,32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132,32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114,27</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107,48</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Середньомісячна зарплата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89,97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95,33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129,63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114,85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132,08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126,92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122,08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112,95</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Середньомісячна зарплата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99,68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91,75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95,96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121,39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158,63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137,56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127,23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114,76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107,94</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Сума матеріальних витрат</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97,94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86,32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92,89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147,44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143,48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113,03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140,65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143,13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143,13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88,57</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102,77</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Матеріаловіддача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121,27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65,95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93,07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109,59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75,05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97,79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97,79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112,48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95,81</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Чистий: прибуток (+), збиток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4,36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2261,11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251,84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702,15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55,33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91,76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81,31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81,31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90,91</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w:t>
            </w:r>
            <w:bookmarkStart w:id="2" w:name="_Hlk21790206"/>
            <w:bookmarkEnd w:id="2"/>
          </w:p>
        </w:tc>
      </w:tr>
    </w:tbl>
    <w:p>
      <w:pPr>
        <w:sectPr>
          <w:headerReference w:type="default" r:id="rId21"/>
          <w:footerReference w:type="default" r:id="rId22"/>
          <w:type w:val="nextPage"/>
          <w:pgSz w:orient="landscape" w:w="16838" w:h="11906"/>
          <w:pgMar w:left="567" w:right="567" w:header="709" w:top="1701" w:footer="709" w:bottom="766" w:gutter="0"/>
          <w:pgNumType w:fmt="decimal"/>
          <w:formProt w:val="false"/>
          <w:textDirection w:val="lrTb"/>
          <w:docGrid w:type="default" w:linePitch="360" w:charSpace="0"/>
        </w:sectPr>
      </w:pPr>
    </w:p>
    <w:p>
      <w:pPr>
        <w:pStyle w:val="Normal"/>
        <w:spacing w:lineRule="auto" w:line="360"/>
        <w:ind w:firstLine="851"/>
        <w:rPr>
          <w:rFonts w:ascii="Times New Roman" w:hAnsi="Times New Roman"/>
          <w:sz w:val="28"/>
          <w:szCs w:val="28"/>
        </w:rPr>
      </w:pPr>
      <w:r>
        <w:rPr>
          <w:rFonts w:ascii="Times New Roman" w:hAnsi="Times New Roman"/>
          <w:sz w:val="28"/>
          <w:szCs w:val="28"/>
        </w:rPr>
        <w:t xml:space="preserve">Таблиця 2.3 – Абсолютне відхилення за основними показниками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tbl>
      <w:tblPr>
        <w:tblW w:w="15579" w:type="dxa"/>
        <w:jc w:val="left"/>
        <w:tblInd w:w="113" w:type="dxa"/>
        <w:tblCellMar>
          <w:top w:w="0" w:type="dxa"/>
          <w:left w:w="108" w:type="dxa"/>
          <w:bottom w:w="0" w:type="dxa"/>
          <w:right w:w="108" w:type="dxa"/>
        </w:tblCellMar>
        <w:tblLook w:firstRow="1" w:noVBand="1" w:lastRow="0" w:firstColumn="1" w:lastColumn="0" w:noHBand="0" w:val="04a0"/>
      </w:tblPr>
      <w:tblGrid>
        <w:gridCol w:w="542"/>
        <w:gridCol w:w="2762"/>
        <w:gridCol w:w="1069"/>
        <w:gridCol w:w="1039"/>
        <w:gridCol w:w="1039"/>
        <w:gridCol w:w="1039"/>
        <w:gridCol w:w="1039"/>
        <w:gridCol w:w="1039"/>
        <w:gridCol w:w="1039"/>
        <w:gridCol w:w="1039"/>
        <w:gridCol w:w="1039"/>
        <w:gridCol w:w="921"/>
        <w:gridCol w:w="922"/>
        <w:gridCol w:w="1050"/>
      </w:tblGrid>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 </w:t>
            </w:r>
            <w:r>
              <w:rPr>
                <w:rFonts w:eastAsia="Times New Roman" w:ascii="Times New Roman" w:hAnsi="Times New Roman"/>
                <w:color w:val="000000"/>
                <w:sz w:val="19"/>
                <w:szCs w:val="19"/>
                <w:lang w:eastAsia="uk-UA"/>
              </w:rPr>
              <w:t>з/п</w:t>
            </w:r>
          </w:p>
        </w:tc>
        <w:tc>
          <w:tcPr>
            <w:tcW w:w="276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Показник </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Один. виміру</w:t>
            </w:r>
          </w:p>
        </w:tc>
        <w:tc>
          <w:tcPr>
            <w:tcW w:w="11205" w:type="dxa"/>
            <w:gridSpan w:val="11"/>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Абсолютне відхилення за роками</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2011-2010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2012-2011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2013-2012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2014-2013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2015-2014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2016-2015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2017-2016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2018-2017</w:t>
            </w:r>
          </w:p>
        </w:tc>
        <w:tc>
          <w:tcPr>
            <w:tcW w:w="921" w:type="dxa"/>
            <w:tcBorders>
              <w:top w:val="single" w:sz="4" w:space="0" w:color="000000"/>
              <w:left w:val="single" w:sz="4" w:space="0" w:color="000000"/>
              <w:bottom w:val="single" w:sz="4" w:space="0" w:color="000000"/>
              <w:right w:val="single" w:sz="4" w:space="0" w:color="000000"/>
            </w:tcBorders>
            <w:shd w:fill="auto" w:val="clear"/>
          </w:tcPr>
          <w:p>
            <w:pPr>
              <w:pStyle w:val="Normal"/>
              <w:ind w:right="-130" w:hanging="0"/>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2019-2018</w:t>
            </w:r>
          </w:p>
        </w:tc>
        <w:tc>
          <w:tcPr>
            <w:tcW w:w="922" w:type="dxa"/>
            <w:tcBorders>
              <w:top w:val="single" w:sz="4" w:space="0" w:color="000000"/>
              <w:left w:val="single" w:sz="4" w:space="0" w:color="000000"/>
              <w:bottom w:val="single" w:sz="4" w:space="0" w:color="000000"/>
              <w:right w:val="single" w:sz="4" w:space="0" w:color="000000"/>
            </w:tcBorders>
            <w:shd w:fill="auto" w:val="clear"/>
          </w:tcPr>
          <w:p>
            <w:pPr>
              <w:pStyle w:val="Normal"/>
              <w:ind w:right="-51" w:hanging="94"/>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2020-2019</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2020-2010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27</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29</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33</w:t>
            </w:r>
          </w:p>
        </w:tc>
        <w:tc>
          <w:tcPr>
            <w:tcW w:w="921"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34</w:t>
            </w:r>
          </w:p>
        </w:tc>
        <w:tc>
          <w:tcPr>
            <w:tcW w:w="92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35</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36</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Обсяг товарної продукції</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1111,00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2189,00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-18973,00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11165,50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23566,50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24869,70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4982,60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37809,70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lang w:eastAsia="uk-UA"/>
              </w:rPr>
            </w:pPr>
            <w:r>
              <w:rPr>
                <w:rFonts w:ascii="Times New Roman" w:hAnsi="Times New Roman"/>
                <w:color w:val="000000"/>
                <w:sz w:val="19"/>
                <w:szCs w:val="19"/>
              </w:rPr>
              <w:t>-502,00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-2027,00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84192,00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Обсяг реалізованої продукції </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4333,00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-628,00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-4912,00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16663,00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30097,00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13672,00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20009,00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47346,00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-3227,0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-22910,1</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100442,90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Собівартість товарної продукції</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471,00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-2741,00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- 921,00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12613,00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18710,00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10697,00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21250,00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37632,00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-9704,0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-8262,00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79745,00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Собівартість реалізованої продукції</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1948,00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-5518,00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12757,00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19052,00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12890,00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18261,00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42069,00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-1977,0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-20923,3</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78613,70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Валовий: прибуток </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2385,00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-683,00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606,00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3906,00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11045,00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782,00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1748,00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5 277,00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-1250,0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-1986,80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21829,20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Витрати на гривню товарної продукції</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-0,0088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-0,0912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0,4097</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0,0064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-0,1160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-0,1572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0,1804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-0,0070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-0,0697</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-0,0489</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0,10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Витрати на гривню реалізованої продукції</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-0,0282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-0,0331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0,0023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-0,0393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0,0278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0,0255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0,0309</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0,0035</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-0,0161</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-0,02</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Вартість ОВФ, у т.ч.: </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1342,00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-799,00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4 040,00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-1419,00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4133,00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-2624,0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152,20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4625,20</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xml:space="preserve">– </w:t>
            </w:r>
            <w:r>
              <w:rPr>
                <w:rFonts w:eastAsia="Times New Roman" w:ascii="Times New Roman" w:hAnsi="Times New Roman"/>
                <w:color w:val="000000"/>
                <w:sz w:val="19"/>
                <w:szCs w:val="19"/>
                <w:lang w:eastAsia="uk-UA"/>
              </w:rPr>
              <w:t>активної частини ОФ</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2097,00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-722,00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-145,00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1 985,00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884,00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279,00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-1947,0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326,00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3 734,00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Фондовіддача</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-0,94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0,32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-1,92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3,31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-0,99</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1,65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-0,13</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2,14</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-0,33</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4,65</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Машиновіддача</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-1,90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0,88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-2,60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1,66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3,44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0,73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-0,39</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3,46</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2,83</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-0,80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5,75</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Середньооблікова чисельність працівників</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осіб</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-34,00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-16,00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-38,00</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Середньооблікова чисельність робітників</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- 8,00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20,00</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Середньорічний виробіток одного працівника</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 / особу</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9,68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10,24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-72,44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64,32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93,04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99,01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18,91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150,55</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32,39</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-6,18</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378,49</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Середньорічний виробіток одного робітника</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-5,65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16,93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-88,48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50,58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106,75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127,07</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27,75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205,02</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0,27</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-6,30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344,32</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13</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Середньомісячний виробіток одного працівника</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грн / особу</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806,94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853,07</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-6037,03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5 359,93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7753,34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8251,20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1575,77</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12545,52</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2698,94</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-515,14</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31540,55</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Середньомісячний виробіток одного робітника</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-470,51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1411,15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-7373,18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4215,30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8895,60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10589,20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2312,68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17084,61</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22,82</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-524,76</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28 693,52</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14</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Фонд оплати праці працівників</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281,00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-753,00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-240,00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765,00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1207,00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3 151,00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779,00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3890,00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2257,00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2231,00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13568,00</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Фонд оплати праці робітників</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230,00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-553,00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586,00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1063,00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3164,00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645,00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3140,00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1834,00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1099,00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11049,00</w:t>
            </w:r>
          </w:p>
        </w:tc>
      </w:tr>
      <w:tr>
        <w:trPr>
          <w:trHeight w:val="20" w:hRule="atLeast"/>
        </w:trPr>
        <w:tc>
          <w:tcPr>
            <w:tcW w:w="542"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Середньомісячна зарплата одного працівника</w:t>
            </w:r>
          </w:p>
        </w:tc>
        <w:tc>
          <w:tcPr>
            <w:tcW w:w="106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153,46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-212,78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-89,20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539,08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350,31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1 47,15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250,66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1285,18</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1122,68</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803,87</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5043,70</w:t>
            </w:r>
          </w:p>
        </w:tc>
      </w:tr>
      <w:tr>
        <w:trPr>
          <w:trHeight w:val="20" w:hRule="atLeast"/>
        </w:trPr>
        <w:tc>
          <w:tcPr>
            <w:tcW w:w="5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Середньомісячна зарплата одного робітника</w:t>
            </w:r>
          </w:p>
        </w:tc>
        <w:tc>
          <w:tcPr>
            <w:tcW w:w="10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-5,96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-153,16</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-68,91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216,51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396,03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1 317,93</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289,91</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1448,07</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675,59</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417,40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3808,13</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16</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Сума матеріальних витрат</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-535,00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-3488,00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-1565,00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9695,00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13103,00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5635,00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19868,00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29649,00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hanging="171"/>
              <w:jc w:val="center"/>
              <w:rPr>
                <w:rFonts w:ascii="Times New Roman" w:hAnsi="Times New Roman"/>
                <w:color w:val="000000"/>
                <w:sz w:val="19"/>
                <w:szCs w:val="19"/>
              </w:rPr>
            </w:pPr>
            <w:r>
              <w:rPr>
                <w:rFonts w:ascii="Times New Roman" w:hAnsi="Times New Roman"/>
                <w:color w:val="000000"/>
                <w:sz w:val="19"/>
                <w:szCs w:val="19"/>
              </w:rPr>
              <w:t>-11245,0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2417,00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63534,00</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17</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Матеріаловіддача</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0,0804</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0,3905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- 0,7579</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-0,1018</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0,1310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0,3362</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-0,4575</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-0,0304</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0,1679</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-0,0635</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-0,31</w:t>
            </w:r>
          </w:p>
        </w:tc>
      </w:tr>
      <w:tr>
        <w:trPr>
          <w:trHeight w:val="20" w:hRule="atLeast"/>
        </w:trPr>
        <w:tc>
          <w:tcPr>
            <w:tcW w:w="54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18</w:t>
            </w:r>
          </w:p>
        </w:tc>
        <w:tc>
          <w:tcPr>
            <w:tcW w:w="276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right="-87" w:hanging="55"/>
              <w:jc w:val="left"/>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Чистий: прибуток (+), збиток (-)</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тис. грн</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1192,00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-395,00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389,00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618,00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6172,00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-3215,00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-328,00</w:t>
            </w:r>
          </w:p>
        </w:tc>
        <w:tc>
          <w:tcPr>
            <w:tcW w:w="103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9"/>
                <w:szCs w:val="19"/>
                <w:lang w:eastAsia="uk-UA"/>
              </w:rPr>
            </w:pPr>
            <w:r>
              <w:rPr>
                <w:rFonts w:eastAsia="Times New Roman" w:ascii="Times New Roman" w:hAnsi="Times New Roman"/>
                <w:color w:val="000000"/>
                <w:sz w:val="19"/>
                <w:szCs w:val="19"/>
                <w:lang w:eastAsia="uk-UA"/>
              </w:rPr>
              <w:t>-683,00</w:t>
            </w:r>
          </w:p>
        </w:tc>
        <w:tc>
          <w:tcPr>
            <w:tcW w:w="92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-270,00</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-230,20</w:t>
            </w:r>
          </w:p>
        </w:tc>
        <w:tc>
          <w:tcPr>
            <w:tcW w:w="105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9"/>
                <w:szCs w:val="19"/>
              </w:rPr>
            </w:pPr>
            <w:r>
              <w:rPr>
                <w:rFonts w:ascii="Times New Roman" w:hAnsi="Times New Roman"/>
                <w:color w:val="000000"/>
                <w:sz w:val="19"/>
                <w:szCs w:val="19"/>
              </w:rPr>
              <w:t>-</w:t>
            </w:r>
          </w:p>
        </w:tc>
      </w:tr>
    </w:tbl>
    <w:p>
      <w:pPr>
        <w:sectPr>
          <w:headerReference w:type="default" r:id="rId23"/>
          <w:footerReference w:type="default" r:id="rId24"/>
          <w:type w:val="nextPage"/>
          <w:pgSz w:orient="landscape" w:w="16838" w:h="11906"/>
          <w:pgMar w:left="567" w:right="567" w:header="709" w:top="1701" w:footer="709" w:bottom="766" w:gutter="0"/>
          <w:pgNumType w:fmt="decimal"/>
          <w:formProt w:val="false"/>
          <w:textDirection w:val="lrTb"/>
          <w:docGrid w:type="default" w:linePitch="360" w:charSpace="0"/>
        </w:sectPr>
      </w:pPr>
    </w:p>
    <w:p>
      <w:pPr>
        <w:pStyle w:val="Normal"/>
        <w:spacing w:lineRule="auto" w:line="360"/>
        <w:ind w:firstLine="851"/>
        <w:rPr>
          <w:rFonts w:ascii="Times New Roman" w:hAnsi="Times New Roman"/>
          <w:sz w:val="28"/>
          <w:szCs w:val="28"/>
        </w:rPr>
      </w:pPr>
      <w:r>
        <w:rPr>
          <w:rFonts w:ascii="Times New Roman" w:hAnsi="Times New Roman"/>
          <w:sz w:val="28"/>
          <w:szCs w:val="28"/>
        </w:rPr>
        <w:t xml:space="preserve">Таблиця 2.4 – Відносне відхилення за основними показниками діяльності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tbl>
      <w:tblPr>
        <w:tblW w:w="15582" w:type="dxa"/>
        <w:jc w:val="left"/>
        <w:tblInd w:w="113" w:type="dxa"/>
        <w:tblCellMar>
          <w:top w:w="0" w:type="dxa"/>
          <w:left w:w="108" w:type="dxa"/>
          <w:bottom w:w="0" w:type="dxa"/>
          <w:right w:w="108" w:type="dxa"/>
        </w:tblCellMar>
        <w:tblLook w:firstRow="1" w:noVBand="1" w:lastRow="0" w:firstColumn="1" w:lastColumn="0" w:noHBand="0" w:val="04a0"/>
      </w:tblPr>
      <w:tblGrid>
        <w:gridCol w:w="588"/>
        <w:gridCol w:w="3199"/>
        <w:gridCol w:w="1073"/>
        <w:gridCol w:w="1072"/>
        <w:gridCol w:w="1072"/>
        <w:gridCol w:w="1072"/>
        <w:gridCol w:w="1072"/>
        <w:gridCol w:w="1072"/>
        <w:gridCol w:w="1072"/>
        <w:gridCol w:w="1072"/>
        <w:gridCol w:w="1072"/>
        <w:gridCol w:w="1072"/>
        <w:gridCol w:w="1073"/>
      </w:tblGrid>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xml:space="preserve">№ </w:t>
            </w:r>
            <w:r>
              <w:rPr>
                <w:rFonts w:eastAsia="Times New Roman" w:ascii="Times New Roman" w:hAnsi="Times New Roman"/>
                <w:color w:val="000000"/>
                <w:sz w:val="20"/>
                <w:lang w:eastAsia="uk-UA"/>
              </w:rPr>
              <w:t>з/п</w:t>
            </w:r>
          </w:p>
        </w:tc>
        <w:tc>
          <w:tcPr>
            <w:tcW w:w="3199"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xml:space="preserve">Показник </w:t>
            </w:r>
          </w:p>
        </w:tc>
        <w:tc>
          <w:tcPr>
            <w:tcW w:w="11794" w:type="dxa"/>
            <w:gridSpan w:val="11"/>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Відносне відхилення за роками, %</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2011/2010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2012/2011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2013/2012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2014/2013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2015/2014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2016/2015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2017/2016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2018/2017</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2019/2018</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2020/2019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2020/2010</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44</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45</w:t>
            </w:r>
          </w:p>
        </w:tc>
        <w:tc>
          <w:tcPr>
            <w:tcW w:w="1072"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47</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Обсяг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4,68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-38,74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37,21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57,24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38,42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5,56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39,97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-0,38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-1,54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184,32</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xml:space="preserve">Обсяг реалізованої продукції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8,55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-9,03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33,67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45,50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14,21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18,20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36,44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-13,16</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198,15</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Собівартість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-7,44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- 2,70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28,25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39,01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-7,24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-6,64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219,18</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Собівартість реалізованої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4,76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34,08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37,96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18,62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22,23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41,91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-1,39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-14,89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191,99</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Валовий: прибуток (+), збиток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24,48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-5,63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69,21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2,90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6,29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17,87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-3,59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-5,92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224,03</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Витрати на гривню товарної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58,83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-10,43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-15,78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21,50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-0,69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-6,88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-5,18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12,26</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Витрати на гривню реалізованої продукції</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-3,49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-5,18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4,00</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0,44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-2,07</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xml:space="preserve">Вартість ОВФ, у т.ч.: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19,43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- 9,77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-0,77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55,72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41,87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-18,74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1,34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66,96</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righ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xml:space="preserve">– </w:t>
            </w:r>
            <w:r>
              <w:rPr>
                <w:rFonts w:eastAsia="Times New Roman" w:ascii="Times New Roman" w:hAnsi="Times New Roman"/>
                <w:color w:val="000000"/>
                <w:sz w:val="20"/>
                <w:lang w:eastAsia="uk-UA"/>
              </w:rPr>
              <w:t>активної частини ОФ</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35,60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-9,04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-0,40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28,35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-18,61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3,83</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73,09</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Фондовіддача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-14,23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38,28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58,82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20,74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-1,34</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22,59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-2,84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70,29</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10</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Машиновіддача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-24,46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15,08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-38,49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40,02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59,24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36,12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22,39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-5,17</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64,26</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Середньооблікова чисельність працівників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0,75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-12,73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3,00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0,41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0,82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-6,25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-0,42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-13,72</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Середньооблікова чисельність робітників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5,19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-3,14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-0,94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-0,43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-0,43</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9,43</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12</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Середньорічний виробіток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57,23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52,66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36,71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6,26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229,52</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Середньорічний виробіток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-2,62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8,07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-39,02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56,52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42,99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45,52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0,05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-1,11</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159,81</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Середньомісячний виробіток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-39,20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57,23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52,66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36,71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38,83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6,26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229,52</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Середньомісячний виробіток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-2,62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8,07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-39,02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56,52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42,99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6,57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45,52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0,05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-1,11</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159,81</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14</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Фонд оплати праці працівників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-11,04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-3,95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13,12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18,30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40,39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33,16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14,45</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12,48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207,43</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Фонд оплати праці робітників</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-11,13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-3,60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13,76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21,94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53,56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32,32</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14,27</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7,48</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233,10</w:t>
            </w:r>
          </w:p>
        </w:tc>
      </w:tr>
      <w:tr>
        <w:trPr>
          <w:trHeight w:val="20" w:hRule="atLeast"/>
        </w:trPr>
        <w:tc>
          <w:tcPr>
            <w:tcW w:w="5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15</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Середньомісячна зарплата одного працівника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7,80</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-10,03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29,63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14,85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38,66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32,08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22,08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12,95</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256,31</w:t>
            </w:r>
          </w:p>
        </w:tc>
      </w:tr>
      <w:tr>
        <w:trPr>
          <w:trHeight w:val="20" w:hRule="atLeast"/>
        </w:trPr>
        <w:tc>
          <w:tcPr>
            <w:tcW w:w="5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Середньомісячна зарплата одного робітника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-0,32</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-8,25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- 4,04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21,39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58,63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8,13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37,56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14,76</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7,94</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204,39</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16</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Сума матеріальних витрат</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-2,06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-13,68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-7,11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47,44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43,48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13,03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40,65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43,13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-11,43</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2,77</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244,12</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17</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Матеріаловіддача</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4,58</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21,27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-34,05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-6,93</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9,59</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22,46</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-24,95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-2,21</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12,48</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-4,19</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-17,38</w:t>
            </w:r>
          </w:p>
        </w:tc>
      </w:tr>
      <w:tr>
        <w:trPr>
          <w:trHeight w:val="20" w:hRule="atLeast"/>
        </w:trPr>
        <w:tc>
          <w:tcPr>
            <w:tcW w:w="5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18</w:t>
            </w:r>
          </w:p>
        </w:tc>
        <w:tc>
          <w:tcPr>
            <w:tcW w:w="319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Чистий: прибуток (+), збиток (-)</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-95,64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2 161,11</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151,84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602,15</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- 44,67</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-8,24</w:t>
            </w:r>
          </w:p>
        </w:tc>
        <w:tc>
          <w:tcPr>
            <w:tcW w:w="107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-18,69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-9,09</w:t>
            </w:r>
          </w:p>
        </w:tc>
        <w:tc>
          <w:tcPr>
            <w:tcW w:w="107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-8,52</w:t>
            </w:r>
          </w:p>
        </w:tc>
        <w:tc>
          <w:tcPr>
            <w:tcW w:w="107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w:t>
            </w:r>
          </w:p>
        </w:tc>
      </w:tr>
    </w:tbl>
    <w:p>
      <w:pPr>
        <w:sectPr>
          <w:headerReference w:type="default" r:id="rId25"/>
          <w:footerReference w:type="default" r:id="rId26"/>
          <w:type w:val="nextPage"/>
          <w:pgSz w:orient="landscape" w:w="16838" w:h="11906"/>
          <w:pgMar w:left="567" w:right="567" w:header="709" w:top="1701" w:footer="709" w:bottom="766" w:gutter="0"/>
          <w:pgNumType w:fmt="decimal"/>
          <w:formProt w:val="false"/>
          <w:textDirection w:val="lrTb"/>
          <w:docGrid w:type="default" w:linePitch="360" w:charSpace="0"/>
        </w:sectPr>
        <w:pStyle w:val="Normal"/>
        <w:ind w:firstLine="709"/>
        <w:rPr>
          <w:rFonts w:ascii="Times New Roman" w:hAnsi="Times New Roman"/>
          <w:sz w:val="10"/>
          <w:szCs w:val="28"/>
        </w:rPr>
      </w:pPr>
      <w:r>
        <w:rPr>
          <w:rFonts w:ascii="Times New Roman" w:hAnsi="Times New Roman"/>
          <w:sz w:val="10"/>
          <w:szCs w:val="28"/>
        </w:rPr>
      </w:r>
    </w:p>
    <w:p>
      <w:pPr>
        <w:pStyle w:val="Normal"/>
        <w:spacing w:lineRule="auto" w:line="360"/>
        <w:jc w:val="center"/>
        <w:rPr>
          <w:rFonts w:ascii="Times New Roman" w:hAnsi="Times New Roman"/>
          <w:sz w:val="28"/>
          <w:szCs w:val="28"/>
        </w:rPr>
      </w:pPr>
      <w:r>
        <w:rPr/>
        <w:drawing>
          <wp:inline distT="0" distB="0" distL="0" distR="0">
            <wp:extent cx="6120130" cy="2155825"/>
            <wp:effectExtent l="0" t="0" r="0" b="0"/>
            <wp:docPr id="3" name="Рисунок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4" descr=""/>
                    <pic:cNvPicPr>
                      <a:picLocks noChangeAspect="1" noChangeArrowheads="1"/>
                    </pic:cNvPicPr>
                  </pic:nvPicPr>
                  <pic:blipFill>
                    <a:blip r:embed="rId27"/>
                    <a:stretch>
                      <a:fillRect/>
                    </a:stretch>
                  </pic:blipFill>
                  <pic:spPr bwMode="auto">
                    <a:xfrm>
                      <a:off x="0" y="0"/>
                      <a:ext cx="6120130" cy="2155825"/>
                    </a:xfrm>
                    <a:prstGeom prst="rect">
                      <a:avLst/>
                    </a:prstGeom>
                  </pic:spPr>
                </pic:pic>
              </a:graphicData>
            </a:graphic>
          </wp:inline>
        </w:drawing>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2.2 – Динаміка обсягів товарної та реалізованої продукції </w:t>
      </w:r>
    </w:p>
    <w:p>
      <w:pPr>
        <w:pStyle w:val="Normal"/>
        <w:spacing w:lineRule="auto" w:line="360"/>
        <w:jc w:val="center"/>
        <w:rPr>
          <w:rFonts w:ascii="Times New Roman" w:hAnsi="Times New Roman"/>
          <w:sz w:val="28"/>
          <w:szCs w:val="28"/>
        </w:rPr>
      </w:pPr>
      <w:r>
        <w:rPr>
          <w:rFonts w:eastAsia="Times New Roman" w:ascii="Times New Roman" w:hAnsi="Times New Roman"/>
          <w:sz w:val="28"/>
          <w:szCs w:val="28"/>
          <w:lang w:eastAsia="ru-RU"/>
        </w:rPr>
        <w:t xml:space="preserve">ТОВ «НЕЙЛ» </w:t>
      </w:r>
      <w:r>
        <w:rPr>
          <w:rFonts w:ascii="Times New Roman" w:hAnsi="Times New Roman"/>
          <w:sz w:val="28"/>
          <w:szCs w:val="28"/>
        </w:rPr>
        <w:t>з 2010 р. по 2020 р.</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За рисунком 2.2 на </w:t>
      </w:r>
      <w:r>
        <w:rPr>
          <w:rFonts w:eastAsia="Times New Roman" w:ascii="Times New Roman" w:hAnsi="Times New Roman"/>
          <w:sz w:val="28"/>
          <w:szCs w:val="28"/>
          <w:lang w:eastAsia="ru-RU"/>
        </w:rPr>
        <w:t>ТОВ «НЕЙЛ»</w:t>
      </w:r>
      <w:r>
        <w:rPr>
          <w:rFonts w:ascii="Times New Roman" w:hAnsi="Times New Roman"/>
          <w:sz w:val="28"/>
          <w:szCs w:val="28"/>
        </w:rPr>
        <w:t xml:space="preserve"> відбувається коливання обсягу випуску продукції. А саме, з 2010 р. по 2012 р. помітним є його поступове зростання на 2,43 % у 2011 р. та 4,68 % у 2012 р.. Досить стрімке зростання простежується з 2014 р. по 2018 р. – на 37,23 % у 2014 р. на 57,24 % у 2015 р., далі темпи зростання уповільнились: на 38,42 % у 2016 р., на 5,56 % у 2017 р., на 39,97 % у 2018 р. За увесь досліджуваний період обсяг товарної продукції збільшився на 84192 тис. грн або на 63,59 %. Спад виробництва цвяхів був у 2013 р. порівняно з 2012  р. на 18973 тис. грн або на 38,74 %, на 0,38 % у 2019 р. та на 1,54 % у 2020 р. порівняно з попереднім роком. Тому менеджменту товариства варто дослідити фактори, які могли спричинити падіння обсягів виробництва продукції. Основними причинами можуть бути скорочення попиту, завезення на ринок більш дешевої продукції, зростання витрат самого підприємства і не можливість конкурувати на ринку [40].</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Протягом усього досліджуваного періоду відбувалось поступове зростання обсягу реалізованої продукції: на 8,55 % у 2011 р., майже однаковими темпами з 2013 р. по 2014 р. та з 2017 р. по 2018 р. </w:t>
      </w:r>
      <w:r>
        <w:rPr>
          <w:rFonts w:ascii="Times New Roman" w:hAnsi="Times New Roman"/>
          <w:spacing w:val="-3"/>
          <w:sz w:val="28"/>
          <w:szCs w:val="28"/>
        </w:rPr>
        <w:t xml:space="preserve">– </w:t>
      </w:r>
      <w:r>
        <w:rPr>
          <w:rFonts w:ascii="Times New Roman" w:hAnsi="Times New Roman"/>
          <w:sz w:val="28"/>
          <w:szCs w:val="28"/>
        </w:rPr>
        <w:t xml:space="preserve">33,67 % та 36,44 % відповідно, на 45,50 % у 2015 р., на 14,21 % та 18,20 % у 2016 р. та 2017 р. відповідно. Досить проблематичним є зменшення темпів зростання обсягів реалізації на 1,14 % у 2012 р. та на 9,03 % у 2013 р., на 1,82 % у 2019 р. Найбільше скорочення реалізації </w:t>
      </w:r>
      <w:r>
        <w:rPr>
          <w:rFonts w:ascii="Times New Roman" w:hAnsi="Times New Roman"/>
          <w:spacing w:val="-3"/>
          <w:sz w:val="28"/>
          <w:szCs w:val="28"/>
        </w:rPr>
        <w:t>–</w:t>
      </w:r>
      <w:r>
        <w:rPr>
          <w:rFonts w:ascii="Times New Roman" w:hAnsi="Times New Roman"/>
          <w:sz w:val="28"/>
          <w:szCs w:val="28"/>
        </w:rPr>
        <w:t xml:space="preserve"> на 13,16 % відбулося у 2020 р. У звітному році відбулося стрімке його скорочення на 22910,10 тис. грн або на 13,16 % щодо даних попереднього року.  В цілому обсяг реалізованої продукції виріс на 56,66 % або на 100442,90 тис. грн.</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за досліджуваний період, </w:t>
      </w:r>
      <w:r>
        <w:rPr>
          <w:rFonts w:eastAsia="Times New Roman" w:ascii="Times New Roman" w:hAnsi="Times New Roman"/>
          <w:sz w:val="28"/>
          <w:szCs w:val="28"/>
          <w:lang w:eastAsia="ru-RU"/>
        </w:rPr>
        <w:t xml:space="preserve">темпи зростання </w:t>
      </w:r>
      <w:r>
        <w:rPr>
          <w:rFonts w:ascii="Times New Roman" w:hAnsi="Times New Roman"/>
          <w:sz w:val="28"/>
          <w:szCs w:val="28"/>
        </w:rPr>
        <w:t xml:space="preserve">обсягу реалізованої продукції (198,15 %) були вищими за темпи приросту обсягу товарної продукції (184,32 %). Зокрема обсяг збуту зріс майже у три рази, а обсяг виробництва у два рази. Однак, якщо порівнювати темпи змін у щорічному розрізі, то лише у 2011 р. та 2017 р. зростання відбулося на користь реалізованої продукції. Це вказує на те, що у цей період </w:t>
      </w:r>
      <w:r>
        <w:rPr>
          <w:rFonts w:eastAsia="Times New Roman" w:ascii="Times New Roman" w:hAnsi="Times New Roman"/>
          <w:sz w:val="28"/>
          <w:szCs w:val="28"/>
          <w:lang w:eastAsia="ru-RU"/>
        </w:rPr>
        <w:t>ТОВ «НЕЙЛ»</w:t>
      </w:r>
      <w:r>
        <w:rPr>
          <w:rFonts w:ascii="Times New Roman" w:hAnsi="Times New Roman"/>
          <w:sz w:val="28"/>
          <w:szCs w:val="28"/>
        </w:rPr>
        <w:t xml:space="preserve"> вдало реалізовувало залишки випущеної продукції попередніх періодів. У наступні роки відділу збуту варто працювати наполегливіше, щоб продукція </w:t>
      </w:r>
      <w:r>
        <w:rPr>
          <w:rFonts w:eastAsia="Times New Roman" w:ascii="Times New Roman" w:hAnsi="Times New Roman"/>
          <w:sz w:val="28"/>
          <w:szCs w:val="28"/>
          <w:lang w:eastAsia="ru-RU"/>
        </w:rPr>
        <w:t xml:space="preserve">ТОВ «НЕЙЛ» знаходила свого споживача. Варто посилити рекламну компанію для залучення нових клієнтів та проаналізувати склад витрат для можливого їх скорочення, що вплине на формування ціни. Зокрема, у 2016 р. темпи зростання випуску продукції майже вдвічі виші за зростання обсягу реалізації продукції і становлять 38,42 %, а </w:t>
      </w:r>
      <w:r>
        <w:rPr>
          <w:rFonts w:ascii="Times New Roman" w:hAnsi="Times New Roman"/>
          <w:sz w:val="28"/>
          <w:szCs w:val="28"/>
        </w:rPr>
        <w:t xml:space="preserve">обсяг реалізованої продукції зріс лише на 14,21 %. Дещо вдалось стабілізувати ситуацію у 2018 р., коли темпи росту обох показників були майже однакові.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Взаємозалежність обсягу та собівартості товарної продукції на </w:t>
      </w:r>
      <w:r>
        <w:rPr>
          <w:rFonts w:eastAsia="Times New Roman" w:ascii="Times New Roman" w:hAnsi="Times New Roman"/>
          <w:sz w:val="28"/>
          <w:szCs w:val="28"/>
          <w:lang w:eastAsia="ru-RU"/>
        </w:rPr>
        <w:t xml:space="preserve">ТОВ «НЕЙЛ» ілюструє </w:t>
      </w:r>
      <w:r>
        <w:rPr>
          <w:rFonts w:ascii="Times New Roman" w:hAnsi="Times New Roman"/>
          <w:sz w:val="28"/>
          <w:szCs w:val="28"/>
        </w:rPr>
        <w:t>динаміка витрат на гривню товарної продукції. Зміна як обсягів так і собівартості товарної продукції товариства подана на рисунку 2.3.</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rPr>
          <w:rFonts w:ascii="Times New Roman" w:hAnsi="Times New Roman"/>
          <w:sz w:val="28"/>
          <w:szCs w:val="28"/>
        </w:rPr>
      </w:pPr>
      <w:r>
        <w:rPr/>
        <w:drawing>
          <wp:inline distT="0" distB="0" distL="0" distR="0">
            <wp:extent cx="6119495" cy="1819275"/>
            <wp:effectExtent l="0" t="0" r="0" b="0"/>
            <wp:docPr id="4" name="Рисунок 3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5" descr=""/>
                    <pic:cNvPicPr>
                      <a:picLocks noChangeAspect="1" noChangeArrowheads="1"/>
                    </pic:cNvPicPr>
                  </pic:nvPicPr>
                  <pic:blipFill>
                    <a:blip r:embed="rId28"/>
                    <a:stretch>
                      <a:fillRect/>
                    </a:stretch>
                  </pic:blipFill>
                  <pic:spPr bwMode="auto">
                    <a:xfrm>
                      <a:off x="0" y="0"/>
                      <a:ext cx="6119495" cy="1819275"/>
                    </a:xfrm>
                    <a:prstGeom prst="rect">
                      <a:avLst/>
                    </a:prstGeom>
                  </pic:spPr>
                </pic:pic>
              </a:graphicData>
            </a:graphic>
          </wp:inline>
        </w:drawing>
      </w:r>
    </w:p>
    <w:p>
      <w:pPr>
        <w:pStyle w:val="Normal"/>
        <w:spacing w:lineRule="auto" w:line="360"/>
        <w:rPr>
          <w:rFonts w:ascii="Times New Roman" w:hAnsi="Times New Roman"/>
          <w:sz w:val="6"/>
          <w:szCs w:val="28"/>
        </w:rPr>
      </w:pPr>
      <w:r>
        <w:rPr>
          <w:rFonts w:ascii="Times New Roman" w:hAnsi="Times New Roman"/>
          <w:sz w:val="6"/>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2.3 – </w:t>
      </w:r>
      <w:r>
        <w:rPr>
          <w:rFonts w:ascii="Times New Roman" w:hAnsi="Times New Roman"/>
          <w:sz w:val="28"/>
        </w:rPr>
        <w:t xml:space="preserve">Динаміка обсягу та собівартості товарної продукції </w:t>
      </w:r>
      <w:r>
        <w:rPr>
          <w:rFonts w:eastAsia="Times New Roman" w:ascii="Times New Roman" w:hAnsi="Times New Roman"/>
          <w:sz w:val="28"/>
          <w:szCs w:val="28"/>
          <w:lang w:eastAsia="ru-RU"/>
        </w:rPr>
        <w:t>ТОВ «НЕЙЛ»</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ТОВ «НЕЙЛ»</w:t>
      </w:r>
      <w:r>
        <w:rPr>
          <w:rFonts w:ascii="Times New Roman" w:hAnsi="Times New Roman"/>
          <w:sz w:val="28"/>
          <w:szCs w:val="28"/>
        </w:rPr>
        <w:t xml:space="preserve"> прослідковується така тенденція: з 2010 р. по 2012 р., з 2015 р. по 2016 р. та у 2019 р. і 2020 р. собівартість дещо нижча за обсяг товарної продукції. Про те це не впливає на випуск якісної продукції при досить низьких витратах. Протилежну ситуацію спостерігаємо з 2013 р. по 2015 р., у 2017 р. та 2018 р., яка призводить до неефективної роботи товариства.</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За незначного коливання витрат на гривню товарної продукції у 2012 р. та з 2010 р. по 2012 р., у 2015 р., у 2019 р. та 2020 р. їх розмір був менший за гривню. Значне зростання відбулося </w:t>
      </w:r>
      <w:r>
        <w:rPr>
          <w:rFonts w:eastAsia="Times New Roman" w:ascii="Times New Roman" w:hAnsi="Times New Roman"/>
          <w:color w:val="000000"/>
          <w:sz w:val="28"/>
          <w:lang w:val="ru-RU" w:eastAsia="ru-RU"/>
        </w:rPr>
        <w:t xml:space="preserve">у 2013 р. </w:t>
      </w:r>
      <w:r>
        <w:rPr>
          <w:rFonts w:ascii="Times New Roman" w:hAnsi="Times New Roman"/>
          <w:sz w:val="28"/>
          <w:szCs w:val="28"/>
        </w:rPr>
        <w:t xml:space="preserve">на 58,83 % або на </w:t>
      </w:r>
      <w:r>
        <w:rPr>
          <w:rFonts w:eastAsia="Times New Roman" w:ascii="Times New Roman" w:hAnsi="Times New Roman"/>
          <w:color w:val="000000"/>
          <w:sz w:val="28"/>
          <w:lang w:val="ru-RU" w:eastAsia="ru-RU"/>
        </w:rPr>
        <w:t xml:space="preserve">0,4097 грн., коли </w:t>
      </w:r>
      <w:r>
        <w:rPr>
          <w:rFonts w:eastAsia="Times New Roman" w:ascii="Times New Roman" w:hAnsi="Times New Roman"/>
          <w:color w:val="000000"/>
          <w:sz w:val="28"/>
          <w:lang w:eastAsia="ru-RU"/>
        </w:rPr>
        <w:t>витрати перевищували обсяг товарної продукції.</w:t>
      </w:r>
      <w:r>
        <w:rPr>
          <w:rFonts w:eastAsia="Times New Roman" w:ascii="Times New Roman" w:hAnsi="Times New Roman"/>
          <w:color w:val="000000"/>
          <w:sz w:val="28"/>
          <w:lang w:val="ru-RU" w:eastAsia="ru-RU"/>
        </w:rPr>
        <w:t xml:space="preserve"> У </w:t>
      </w:r>
      <w:r>
        <w:rPr>
          <w:rFonts w:eastAsia="Times New Roman" w:ascii="Times New Roman" w:hAnsi="Times New Roman"/>
          <w:color w:val="000000"/>
          <w:sz w:val="28"/>
          <w:lang w:eastAsia="ru-RU"/>
        </w:rPr>
        <w:t xml:space="preserve">подальшому їх розмір скорочувався у 2015 р., 2016 р. та з 2018 р., по 2020 р. що безперечно є позитивним явищем. Однак, у 2017 р. їх розмір збільшився на 21,50 %. За досліджуваний період витрати на гривню товарної продукції зросли лише на 12,26 %. </w:t>
      </w:r>
      <w:r>
        <w:rPr>
          <w:rFonts w:ascii="Times New Roman" w:hAnsi="Times New Roman"/>
          <w:sz w:val="28"/>
          <w:szCs w:val="28"/>
        </w:rPr>
        <w:t xml:space="preserve">У 2018 р. собівартість перевищувала обсяг товарної продукції на 1,0128 грн.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Операційні витрати </w:t>
      </w:r>
      <w:r>
        <w:rPr>
          <w:rFonts w:ascii="Times New Roman" w:hAnsi="Times New Roman"/>
          <w:spacing w:val="-3"/>
          <w:sz w:val="28"/>
          <w:szCs w:val="28"/>
        </w:rPr>
        <w:t>ТОВ «НЕЙЛ»</w:t>
      </w:r>
      <w:r>
        <w:rPr>
          <w:rFonts w:ascii="Times New Roman" w:hAnsi="Times New Roman"/>
          <w:sz w:val="28"/>
          <w:szCs w:val="28"/>
        </w:rPr>
        <w:t xml:space="preserve"> зменшились у звітному році на 6,64 % або на 8262 тис. грн щодо попереднього року та збільшилися майже у три рази або на 79745 тис. грн протягом досліджуваного періоду (рисунок 2.3). У 2013 р., 2014 р., 2017 р. та 2018 р. собівартість була вища за обсяг товарного випуску, а витрати на одну гривню товарної продукції були більші за гривню. На це могла вплинути зміна: структури асортименту виготовленої продукції (цвяхів), цінова політика, зміна питомої ваги витрат у собівартості окремих її виробів та оптових цін на спожиті матеріали, паливо, зростанням транспортних тарифів.</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На ТОВ «НЕЙЛ»</w:t>
      </w:r>
      <w:r>
        <w:rPr>
          <w:rFonts w:ascii="Times New Roman" w:hAnsi="Times New Roman"/>
          <w:sz w:val="28"/>
          <w:szCs w:val="28"/>
        </w:rPr>
        <w:t xml:space="preserve"> схожі зміни відбуваються і щодо коливання обсягу і собівартості реалізованої продукції. Це безсумнівно впливає на зміну витрат на одну гривню реалізованої продукції. Динаміка зміни обсягу та собівартості реалізованої продукції </w:t>
      </w:r>
      <w:r>
        <w:rPr>
          <w:rFonts w:eastAsia="Times New Roman" w:ascii="Times New Roman" w:hAnsi="Times New Roman"/>
          <w:sz w:val="28"/>
          <w:szCs w:val="28"/>
          <w:lang w:eastAsia="ru-RU"/>
        </w:rPr>
        <w:t>ТОВ «НЕЙЛ»</w:t>
      </w:r>
      <w:r>
        <w:rPr>
          <w:rFonts w:ascii="Times New Roman" w:hAnsi="Times New Roman"/>
          <w:sz w:val="28"/>
          <w:szCs w:val="28"/>
        </w:rPr>
        <w:t xml:space="preserve"> наведена на рисунку 2.4.</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Упродовж аналізованого періоду на </w:t>
      </w:r>
      <w:r>
        <w:rPr>
          <w:rFonts w:eastAsia="Times New Roman" w:ascii="Times New Roman" w:hAnsi="Times New Roman"/>
          <w:sz w:val="28"/>
          <w:szCs w:val="28"/>
          <w:lang w:eastAsia="ru-RU"/>
        </w:rPr>
        <w:t>ТОВ «НЕЙЛ»</w:t>
      </w:r>
      <w:r>
        <w:rPr>
          <w:rFonts w:ascii="Times New Roman" w:hAnsi="Times New Roman"/>
          <w:sz w:val="28"/>
          <w:szCs w:val="28"/>
        </w:rPr>
        <w:t xml:space="preserve">, відбувається поступове зростання як обсягу так і собівартості реалізованої продукції, що і позначилось на витратах з кожної гривні реалізованих товарів. На </w:t>
      </w:r>
      <w:r>
        <w:rPr>
          <w:rFonts w:eastAsia="Times New Roman" w:ascii="Times New Roman" w:hAnsi="Times New Roman"/>
          <w:sz w:val="28"/>
          <w:szCs w:val="28"/>
          <w:lang w:eastAsia="ru-RU"/>
        </w:rPr>
        <w:t>підприємстві</w:t>
      </w:r>
      <w:r>
        <w:rPr>
          <w:rFonts w:ascii="Times New Roman" w:hAnsi="Times New Roman"/>
          <w:sz w:val="28"/>
          <w:szCs w:val="28"/>
        </w:rPr>
        <w:t xml:space="preserve"> з виробництва цвяхів з 2010 р. по 2020 р. обсяг перевищував собівартість реалізованої продукції, що позитивно характеризує його діяльність.</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drawing>
          <wp:inline distT="0" distB="0" distL="0" distR="0">
            <wp:extent cx="6120130" cy="2386330"/>
            <wp:effectExtent l="0" t="0" r="0" b="0"/>
            <wp:docPr id="5" name="Рисунок 3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36" descr=""/>
                    <pic:cNvPicPr>
                      <a:picLocks noChangeAspect="1" noChangeArrowheads="1"/>
                    </pic:cNvPicPr>
                  </pic:nvPicPr>
                  <pic:blipFill>
                    <a:blip r:embed="rId29"/>
                    <a:stretch>
                      <a:fillRect/>
                    </a:stretch>
                  </pic:blipFill>
                  <pic:spPr bwMode="auto">
                    <a:xfrm>
                      <a:off x="0" y="0"/>
                      <a:ext cx="6120130" cy="2386330"/>
                    </a:xfrm>
                    <a:prstGeom prst="rect">
                      <a:avLst/>
                    </a:prstGeom>
                  </pic:spPr>
                </pic:pic>
              </a:graphicData>
            </a:graphic>
          </wp:inline>
        </w:drawing>
      </w:r>
    </w:p>
    <w:p>
      <w:pPr>
        <w:pStyle w:val="Normal"/>
        <w:spacing w:lineRule="auto" w:line="360"/>
        <w:jc w:val="center"/>
        <w:rPr>
          <w:rFonts w:ascii="Times New Roman" w:hAnsi="Times New Roman"/>
          <w:sz w:val="24"/>
          <w:szCs w:val="28"/>
        </w:rPr>
      </w:pPr>
      <w:r>
        <w:rPr>
          <w:rFonts w:ascii="Times New Roman" w:hAnsi="Times New Roman"/>
          <w:sz w:val="24"/>
          <w:szCs w:val="28"/>
        </w:rPr>
      </w:r>
    </w:p>
    <w:p>
      <w:pPr>
        <w:pStyle w:val="Normal"/>
        <w:spacing w:lineRule="auto" w:line="360"/>
        <w:jc w:val="center"/>
        <w:rPr>
          <w:rFonts w:ascii="Times New Roman" w:hAnsi="Times New Roman"/>
          <w:sz w:val="28"/>
        </w:rPr>
      </w:pPr>
      <w:r>
        <w:rPr>
          <w:rFonts w:ascii="Times New Roman" w:hAnsi="Times New Roman"/>
          <w:sz w:val="28"/>
          <w:szCs w:val="28"/>
        </w:rPr>
        <w:t xml:space="preserve">Рисунок 2.4 – </w:t>
      </w:r>
      <w:r>
        <w:rPr>
          <w:rFonts w:ascii="Times New Roman" w:hAnsi="Times New Roman"/>
          <w:sz w:val="28"/>
        </w:rPr>
        <w:t xml:space="preserve">Динаміка обсягу та собівартості реалізованої продукції </w:t>
      </w:r>
    </w:p>
    <w:p>
      <w:pPr>
        <w:pStyle w:val="Normal"/>
        <w:spacing w:lineRule="auto" w:line="360"/>
        <w:jc w:val="center"/>
        <w:rPr>
          <w:rFonts w:ascii="Times New Roman" w:hAnsi="Times New Roman"/>
          <w:sz w:val="28"/>
          <w:szCs w:val="28"/>
        </w:rPr>
      </w:pP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За рисунком 2.3 прослідковується переважна тенденція до нарощування витрат, які пов’язані з реалізацією цвяхів. Зокрема, за аналізований період вони зросли на 192 %. Найбільше зростання відбувалося у 2018 р. на 41,91 %, у 2015 р. на 37,96 %, у 2014 р. на 34,08 %, у 2017 р. на 22,23 %, у 2016 р. на 18,62 % та ледь помітним воно було  у 2011 р. та 2012 р. </w:t>
      </w:r>
      <w:r>
        <w:rPr>
          <w:rFonts w:ascii="Times New Roman" w:hAnsi="Times New Roman"/>
          <w:spacing w:val="-3"/>
          <w:sz w:val="28"/>
          <w:szCs w:val="28"/>
        </w:rPr>
        <w:t xml:space="preserve">– </w:t>
      </w:r>
      <w:r>
        <w:rPr>
          <w:rFonts w:ascii="Times New Roman" w:hAnsi="Times New Roman"/>
          <w:sz w:val="28"/>
          <w:szCs w:val="28"/>
        </w:rPr>
        <w:t>на 4,76 % та 0,13 %. У 2013 р., 2019 р. та 2020 р. собівартість реалізованої продукції скорочується на 12,85 %, 1,39 % та на 14,89 % відповідно. Це безперечно впливає і на розмір валового прибутку і на витрати з кожної гривні реалізованої продукції.</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Зростання витрат з кожної гривні реалізованої продукції спричинено покращенням збутової політики </w:t>
      </w:r>
      <w:r>
        <w:rPr>
          <w:rFonts w:ascii="Times New Roman" w:hAnsi="Times New Roman"/>
          <w:spacing w:val="-3"/>
          <w:sz w:val="28"/>
          <w:szCs w:val="28"/>
        </w:rPr>
        <w:t>ТОВ «НЕЙЛ»</w:t>
      </w:r>
      <w:r>
        <w:rPr>
          <w:rFonts w:ascii="Times New Roman" w:hAnsi="Times New Roman"/>
          <w:sz w:val="28"/>
          <w:szCs w:val="28"/>
        </w:rPr>
        <w:t xml:space="preserve">. Усі ці зміни позначились на зміні витрат на одну гривню товарної та реалізованої продукції. Динаміка цих показників наведена на рисунку 2.5. </w:t>
      </w:r>
    </w:p>
    <w:p>
      <w:pPr>
        <w:pStyle w:val="Normal"/>
        <w:spacing w:lineRule="auto" w:line="360"/>
        <w:ind w:firstLine="737"/>
        <w:rPr>
          <w:rFonts w:ascii="Times New Roman" w:hAnsi="Times New Roman"/>
          <w:sz w:val="28"/>
          <w:szCs w:val="48"/>
        </w:rPr>
      </w:pPr>
      <w:r>
        <w:rPr>
          <w:rFonts w:ascii="Times New Roman" w:hAnsi="Times New Roman"/>
          <w:sz w:val="28"/>
          <w:szCs w:val="48"/>
        </w:rPr>
      </w:r>
    </w:p>
    <w:p>
      <w:pPr>
        <w:pStyle w:val="Normal"/>
        <w:spacing w:lineRule="auto" w:line="360"/>
        <w:jc w:val="center"/>
        <w:rPr>
          <w:rFonts w:ascii="Times New Roman" w:hAnsi="Times New Roman"/>
          <w:sz w:val="28"/>
          <w:szCs w:val="28"/>
        </w:rPr>
      </w:pPr>
      <w:r>
        <w:rPr/>
        <w:drawing>
          <wp:inline distT="0" distB="0" distL="0" distR="0">
            <wp:extent cx="6120130" cy="2155825"/>
            <wp:effectExtent l="0" t="0" r="0" b="0"/>
            <wp:docPr id="6" name="Рисунок 3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7" descr=""/>
                    <pic:cNvPicPr>
                      <a:picLocks noChangeAspect="1" noChangeArrowheads="1"/>
                    </pic:cNvPicPr>
                  </pic:nvPicPr>
                  <pic:blipFill>
                    <a:blip r:embed="rId30"/>
                    <a:stretch>
                      <a:fillRect/>
                    </a:stretch>
                  </pic:blipFill>
                  <pic:spPr bwMode="auto">
                    <a:xfrm>
                      <a:off x="0" y="0"/>
                      <a:ext cx="6120130" cy="2155825"/>
                    </a:xfrm>
                    <a:prstGeom prst="rect">
                      <a:avLst/>
                    </a:prstGeom>
                  </pic:spPr>
                </pic:pic>
              </a:graphicData>
            </a:graphic>
          </wp:inline>
        </w:drawing>
      </w:r>
    </w:p>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Рисунок 2.5 – Динаміка витрат на гривню товарної та реалізованої продукції</w:t>
      </w:r>
    </w:p>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ind w:firstLine="737"/>
        <w:rPr>
          <w:rFonts w:ascii="Times New Roman" w:hAnsi="Times New Roman"/>
          <w:sz w:val="28"/>
          <w:szCs w:val="48"/>
        </w:rPr>
      </w:pPr>
      <w:r>
        <w:rPr>
          <w:rFonts w:ascii="Times New Roman" w:hAnsi="Times New Roman"/>
          <w:sz w:val="28"/>
          <w:szCs w:val="48"/>
        </w:rPr>
        <w:t>За рисунком 2.5 помітно, що з 2013 р. по 2020 р. розмір витрат га гривню товарної продукції був значно більшим за розмір витрат з кожної гривні реалізованої продукції. це пояснюється особливостями технологічного процесу виробництва цвяхів.</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Зменшення витрат на одну гривню товарної продукції </w:t>
      </w:r>
      <w:r>
        <w:rPr>
          <w:rFonts w:eastAsia="Times New Roman" w:ascii="Times New Roman" w:hAnsi="Times New Roman"/>
          <w:sz w:val="28"/>
          <w:szCs w:val="28"/>
          <w:lang w:eastAsia="ru-RU"/>
        </w:rPr>
        <w:t>ТОВ «НЕЙЛ»</w:t>
      </w:r>
      <w:r>
        <w:rPr>
          <w:rFonts w:ascii="Times New Roman" w:hAnsi="Times New Roman"/>
          <w:sz w:val="28"/>
          <w:szCs w:val="28"/>
        </w:rPr>
        <w:t xml:space="preserve"> у 2011 р., 2012 р., 2015 р., 2016 р., з 2018 р. по 2020 р. відносно попереднього року пов’язано з перевищенням темпів обсягу товарної продукції над темпами собівартості товарної продукції і навпаки.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ТОВ «НЕЙЛ»</w:t>
      </w:r>
      <w:r>
        <w:rPr>
          <w:rFonts w:ascii="Times New Roman" w:hAnsi="Times New Roman"/>
          <w:sz w:val="28"/>
          <w:szCs w:val="28"/>
        </w:rPr>
        <w:t xml:space="preserve"> лише у 2010 р. та  2012 р. витрати на гривню реалізованої продукції були більшими за витрати на гривню товарної продукції.</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Розмір витрат на гривню реалізованої продукції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 майже не змінювався, його скорочення становило 2,07 %. Також він скорочувався з 2010 р. по 2011 р. на 3,49 %, з 2013 р. по 2014 р. на 4,20 %, з 2016 р. по 2017 р. на 5,18 % та з 2019 р. по 2020 р. на 1,99 %. Найбільше зростання сталося з 2017 р. по 2018 р. на 4,00 % і було спричинено зростанням відпускних цін на цвяхи, покращенням структури реалізованої продукції та менш рентабельних виробів.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За аналізований період найвищий рівень витрат на гривню товарної продукції був у 2014 р. і становив 1,1126 грн, а витрат на гривню реалізованої продукції </w:t>
      </w:r>
      <w:r>
        <w:rPr>
          <w:rFonts w:ascii="Times New Roman" w:hAnsi="Times New Roman"/>
          <w:spacing w:val="-3"/>
          <w:sz w:val="28"/>
          <w:szCs w:val="28"/>
        </w:rPr>
        <w:t xml:space="preserve">– </w:t>
      </w:r>
      <w:r>
        <w:rPr>
          <w:rFonts w:ascii="Times New Roman" w:hAnsi="Times New Roman"/>
          <w:sz w:val="28"/>
          <w:szCs w:val="28"/>
        </w:rPr>
        <w:t>у 2010 р. і становив 0,8078 грн.</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Головним у діяльності суб’єкта господарювання є аналіз наявного персоналу (рисунок 2.6) та ефективності його використання у технологічному процесі </w:t>
      </w:r>
      <w:r>
        <w:rPr>
          <w:rFonts w:eastAsia="Times New Roman" w:ascii="Times New Roman" w:hAnsi="Times New Roman"/>
          <w:sz w:val="28"/>
          <w:szCs w:val="28"/>
          <w:lang w:eastAsia="ru-RU"/>
        </w:rPr>
        <w:t>ТОВ «НЕЙЛ»</w:t>
      </w:r>
      <w:r>
        <w:rPr>
          <w:rFonts w:ascii="Times New Roman" w:hAnsi="Times New Roman"/>
          <w:sz w:val="28"/>
          <w:szCs w:val="28"/>
        </w:rPr>
        <w:t xml:space="preserve"> (рисунок 2.7).</w:t>
      </w:r>
    </w:p>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drawing>
          <wp:inline distT="0" distB="0" distL="0" distR="0">
            <wp:extent cx="6120130" cy="2542540"/>
            <wp:effectExtent l="0" t="0" r="0" b="0"/>
            <wp:docPr id="7" name="Рисунок 3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38" descr=""/>
                    <pic:cNvPicPr>
                      <a:picLocks noChangeAspect="1" noChangeArrowheads="1"/>
                    </pic:cNvPicPr>
                  </pic:nvPicPr>
                  <pic:blipFill>
                    <a:blip r:embed="rId31"/>
                    <a:stretch>
                      <a:fillRect/>
                    </a:stretch>
                  </pic:blipFill>
                  <pic:spPr bwMode="auto">
                    <a:xfrm>
                      <a:off x="0" y="0"/>
                      <a:ext cx="6120130" cy="2542540"/>
                    </a:xfrm>
                    <a:prstGeom prst="rect">
                      <a:avLst/>
                    </a:prstGeom>
                  </pic:spPr>
                </pic:pic>
              </a:graphicData>
            </a:graphic>
          </wp:inline>
        </w:drawing>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ind w:hanging="142"/>
        <w:jc w:val="center"/>
        <w:rPr>
          <w:rFonts w:ascii="Times New Roman" w:hAnsi="Times New Roman"/>
          <w:sz w:val="28"/>
          <w:szCs w:val="28"/>
        </w:rPr>
      </w:pPr>
      <w:r>
        <w:rPr>
          <w:rFonts w:ascii="Times New Roman" w:hAnsi="Times New Roman"/>
          <w:sz w:val="28"/>
          <w:szCs w:val="28"/>
        </w:rPr>
        <w:t xml:space="preserve">Рисунок 2.6 – Динаміка чисельності персоналу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p>
      <w:pPr>
        <w:pStyle w:val="Normal"/>
        <w:spacing w:lineRule="auto" w:line="360"/>
        <w:jc w:val="right"/>
        <w:rPr>
          <w:rFonts w:ascii="Times New Roman" w:hAnsi="Times New Roman"/>
          <w:sz w:val="28"/>
          <w:szCs w:val="28"/>
        </w:rPr>
      </w:pPr>
      <w:r>
        <w:rPr>
          <w:rFonts w:ascii="Times New Roman" w:hAnsi="Times New Roman"/>
          <w:sz w:val="28"/>
          <w:szCs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за рисунком 2.5 з 2012 р. по 2013 р. та з 2014 р. по 2018 р. відбувається зростання, а з 2010 р. по 2012 р., з 2013 р по 2014 р. та з 2018 р. по 2020 р. </w:t>
      </w:r>
      <w:r>
        <w:rPr>
          <w:rFonts w:ascii="Times New Roman" w:hAnsi="Times New Roman"/>
          <w:spacing w:val="-3"/>
          <w:sz w:val="28"/>
          <w:szCs w:val="28"/>
        </w:rPr>
        <w:t xml:space="preserve">– </w:t>
      </w:r>
      <w:r>
        <w:rPr>
          <w:rFonts w:ascii="Times New Roman" w:hAnsi="Times New Roman"/>
          <w:sz w:val="28"/>
          <w:szCs w:val="28"/>
        </w:rPr>
        <w:t xml:space="preserve">скорочення персоналу. У 2018 р. відбувається найбільше зростанням чисельності працівників на 4,92 % або на 12 осіб. З 2010 р. по 2020 р. відбувається їх поступове скорочення на 38 осіб або на 13,72 % за одночасного зростання чисельності робітників на 20 осіб. Додаткове зростання чисельності робітників у 2011 р. на 11 осіб та на 10 осіб у 2016 р. позитивно вплинуло на діяльність </w:t>
      </w:r>
      <w:r>
        <w:rPr>
          <w:rFonts w:eastAsia="Times New Roman" w:ascii="Times New Roman" w:hAnsi="Times New Roman"/>
          <w:sz w:val="28"/>
          <w:szCs w:val="28"/>
          <w:lang w:eastAsia="ru-RU"/>
        </w:rPr>
        <w:t>ТОВ «НЕЙЛ».</w:t>
      </w:r>
      <w:r>
        <w:rPr>
          <w:rFonts w:ascii="Times New Roman" w:hAnsi="Times New Roman"/>
          <w:sz w:val="28"/>
          <w:szCs w:val="28"/>
        </w:rPr>
        <w:t xml:space="preserve">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Окреслена тенденція значно вплинула на динаміку як середньорічної так і середньомісячної продуктивності праці персоналу </w:t>
      </w:r>
      <w:r>
        <w:rPr>
          <w:rFonts w:eastAsia="Times New Roman" w:ascii="Times New Roman" w:hAnsi="Times New Roman"/>
          <w:sz w:val="28"/>
          <w:szCs w:val="28"/>
          <w:lang w:eastAsia="ru-RU"/>
        </w:rPr>
        <w:t>ТОВ «НЕЙЛ»</w:t>
      </w:r>
      <w:r>
        <w:rPr>
          <w:rFonts w:ascii="Times New Roman" w:hAnsi="Times New Roman"/>
          <w:sz w:val="28"/>
          <w:szCs w:val="28"/>
        </w:rPr>
        <w:t xml:space="preserve"> (рисунок 2.7), які характеризують ефективність застосування праці на </w:t>
      </w:r>
      <w:r>
        <w:rPr>
          <w:rFonts w:eastAsia="Times New Roman" w:ascii="Times New Roman" w:hAnsi="Times New Roman"/>
          <w:sz w:val="28"/>
          <w:szCs w:val="28"/>
          <w:lang w:eastAsia="ru-RU"/>
        </w:rPr>
        <w:t>промисловому підприємстві</w:t>
      </w:r>
      <w:r>
        <w:rPr>
          <w:rFonts w:ascii="Times New Roman" w:hAnsi="Times New Roman"/>
          <w:sz w:val="28"/>
          <w:szCs w:val="28"/>
        </w:rPr>
        <w:t xml:space="preserve">. </w:t>
      </w:r>
    </w:p>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drawing>
          <wp:inline distT="0" distB="0" distL="0" distR="0">
            <wp:extent cx="6120130" cy="2116455"/>
            <wp:effectExtent l="0" t="0" r="0" b="0"/>
            <wp:docPr id="8" name="Рисунок 3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39" descr=""/>
                    <pic:cNvPicPr>
                      <a:picLocks noChangeAspect="1" noChangeArrowheads="1"/>
                    </pic:cNvPicPr>
                  </pic:nvPicPr>
                  <pic:blipFill>
                    <a:blip r:embed="rId32"/>
                    <a:stretch>
                      <a:fillRect/>
                    </a:stretch>
                  </pic:blipFill>
                  <pic:spPr bwMode="auto">
                    <a:xfrm>
                      <a:off x="0" y="0"/>
                      <a:ext cx="6120130" cy="2116455"/>
                    </a:xfrm>
                    <a:prstGeom prst="rect">
                      <a:avLst/>
                    </a:prstGeom>
                  </pic:spPr>
                </pic:pic>
              </a:graphicData>
            </a:graphic>
          </wp:inline>
        </w:drawing>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rPr>
      </w:pPr>
      <w:r>
        <w:rPr>
          <w:rFonts w:ascii="Times New Roman" w:hAnsi="Times New Roman"/>
          <w:sz w:val="28"/>
          <w:szCs w:val="28"/>
        </w:rPr>
        <w:t xml:space="preserve">Рисунок 2.7 – </w:t>
      </w:r>
      <w:r>
        <w:rPr>
          <w:rFonts w:ascii="Times New Roman" w:hAnsi="Times New Roman"/>
          <w:sz w:val="28"/>
        </w:rPr>
        <w:t xml:space="preserve">Динаміка середньорічного виробітку одного працівника та робітника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p>
      <w:pPr>
        <w:pStyle w:val="Normal"/>
        <w:spacing w:lineRule="auto" w:line="360"/>
        <w:ind w:firstLine="851"/>
        <w:jc w:val="center"/>
        <w:rPr>
          <w:rFonts w:ascii="Times New Roman" w:hAnsi="Times New Roman"/>
          <w:sz w:val="28"/>
        </w:rPr>
      </w:pPr>
      <w:r>
        <w:rPr>
          <w:rFonts w:ascii="Times New Roman" w:hAnsi="Times New Roman"/>
          <w:sz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ТОВ «НЕЙЛ»</w:t>
      </w:r>
      <w:r>
        <w:rPr>
          <w:rFonts w:ascii="Times New Roman" w:hAnsi="Times New Roman"/>
          <w:sz w:val="28"/>
          <w:szCs w:val="28"/>
        </w:rPr>
        <w:t>, впродовж аналізованого періоду, середній розмір виробітку одного робітника переважає над середнім рівнем виробітку одного працівника. Це досить позитивно характеризує виробничий процес. Поясненням слугує домінуючий вплив робітників на зміну технологічного процесу щодо виготовлення цвяхів [36].</w:t>
      </w:r>
    </w:p>
    <w:p>
      <w:pPr>
        <w:pStyle w:val="Normal"/>
        <w:spacing w:lineRule="auto" w:line="360"/>
        <w:ind w:firstLine="709"/>
        <w:rPr>
          <w:rFonts w:ascii="Times New Roman" w:hAnsi="Times New Roman"/>
          <w:sz w:val="28"/>
          <w:szCs w:val="28"/>
        </w:rPr>
      </w:pPr>
      <w:r>
        <w:rPr>
          <w:rFonts w:ascii="Times New Roman" w:hAnsi="Times New Roman"/>
          <w:sz w:val="28"/>
          <w:szCs w:val="28"/>
        </w:rPr>
        <w:t>За рисунком 2.7, на</w:t>
      </w:r>
      <w:r>
        <w:rPr>
          <w:rFonts w:eastAsia="Times New Roman" w:ascii="Times New Roman" w:hAnsi="Times New Roman"/>
          <w:sz w:val="28"/>
          <w:szCs w:val="28"/>
          <w:lang w:eastAsia="ru-RU"/>
        </w:rPr>
        <w:t xml:space="preserve"> ТОВ «НЕЙЛ», </w:t>
      </w:r>
      <w:r>
        <w:rPr>
          <w:rFonts w:ascii="Times New Roman" w:hAnsi="Times New Roman"/>
          <w:sz w:val="28"/>
          <w:szCs w:val="28"/>
        </w:rPr>
        <w:t>зміна цих показників (збільшення з 2010 р. по 2012 р. та стрімкий спад у 2013 р, з подальшим поступовим зростанням з 2014 р. по 2019 р. та незначного скорочення у 2020 р. на 1,12 %) пов’язане зі зміною питомої ваги робітників у складі персоналу підприємства, кількістю днів, що була відпрацювала ними, з тривалістю робочого дня та середньогодинним виробітком.</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Середньорічний виробіток робітника перевищує середньорічний виробіток працівника через значну частку робітників у складі виробничого потенціалу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Динаміка зміни середньомісячної заробітної плати одного працівника та робітника </w:t>
      </w:r>
      <w:r>
        <w:rPr>
          <w:rFonts w:eastAsia="Times New Roman" w:ascii="Times New Roman" w:hAnsi="Times New Roman"/>
          <w:sz w:val="28"/>
          <w:szCs w:val="28"/>
          <w:lang w:eastAsia="ru-RU"/>
        </w:rPr>
        <w:t>ТОВ «НЕЙЛ»</w:t>
      </w:r>
      <w:r>
        <w:rPr>
          <w:rFonts w:ascii="Times New Roman" w:hAnsi="Times New Roman"/>
          <w:sz w:val="28"/>
          <w:szCs w:val="28"/>
        </w:rPr>
        <w:t xml:space="preserve"> представлена на рисунку 2.8.</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drawing>
          <wp:inline distT="0" distB="0" distL="0" distR="0">
            <wp:extent cx="5876925" cy="2382520"/>
            <wp:effectExtent l="0" t="0" r="0" b="0"/>
            <wp:docPr id="9" name="Рисунок 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40" descr=""/>
                    <pic:cNvPicPr>
                      <a:picLocks noChangeAspect="1" noChangeArrowheads="1"/>
                    </pic:cNvPicPr>
                  </pic:nvPicPr>
                  <pic:blipFill>
                    <a:blip r:embed="rId33"/>
                    <a:stretch>
                      <a:fillRect/>
                    </a:stretch>
                  </pic:blipFill>
                  <pic:spPr bwMode="auto">
                    <a:xfrm>
                      <a:off x="0" y="0"/>
                      <a:ext cx="5876925" cy="2382520"/>
                    </a:xfrm>
                    <a:prstGeom prst="rect">
                      <a:avLst/>
                    </a:prstGeom>
                  </pic:spPr>
                </pic:pic>
              </a:graphicData>
            </a:graphic>
          </wp:inline>
        </w:drawing>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Рисунок 2.8 – Динаміка середньомісячної зарплати працівника та робітника</w:t>
      </w:r>
    </w:p>
    <w:p>
      <w:pPr>
        <w:pStyle w:val="Normal"/>
        <w:spacing w:lineRule="auto" w:line="360"/>
        <w:ind w:firstLine="851"/>
        <w:rPr>
          <w:rFonts w:ascii="Times New Roman" w:hAnsi="Times New Roman"/>
          <w:sz w:val="28"/>
          <w:szCs w:val="28"/>
        </w:rPr>
      </w:pPr>
      <w:r>
        <w:rPr>
          <w:rFonts w:ascii="Times New Roman" w:hAnsi="Times New Roman"/>
          <w:sz w:val="28"/>
          <w:szCs w:val="28"/>
        </w:rPr>
      </w:r>
    </w:p>
    <w:p>
      <w:pPr>
        <w:pStyle w:val="Normal"/>
        <w:spacing w:lineRule="auto" w:line="360" w:before="240" w:after="0"/>
        <w:ind w:firstLine="737"/>
        <w:rPr>
          <w:rFonts w:ascii="Times New Roman" w:hAnsi="Times New Roman"/>
          <w:sz w:val="28"/>
          <w:szCs w:val="28"/>
        </w:rPr>
      </w:pPr>
      <w:r>
        <w:rPr>
          <w:rFonts w:eastAsia="Times New Roman" w:ascii="Times New Roman" w:hAnsi="Times New Roman"/>
          <w:sz w:val="28"/>
          <w:szCs w:val="28"/>
          <w:lang w:eastAsia="ru-RU"/>
        </w:rPr>
        <w:t>На ТОВ «НЕЙЛ»</w:t>
      </w:r>
      <w:r>
        <w:rPr>
          <w:rFonts w:ascii="Times New Roman" w:hAnsi="Times New Roman"/>
          <w:sz w:val="28"/>
          <w:szCs w:val="28"/>
        </w:rPr>
        <w:t xml:space="preserve"> з 2013 р. по 2020 р. прослідковується загальна тенденція росту середньомісячної зарплати як одного працівника так одного робітника. Це пояснюється зростанням фонду оплати праці, ефективності роботи як працівників так і робітників, оплати за відпрацьований час та збільшення доплат за понаднормовість роботи [37]. Розмір заробітної плати скорочувався лише з 2010 р. по 2013 р. Вищий рівень заробітної плати у працівників пояснюється більш складними умовами їх праці. Одночасно, 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простежується не </w:t>
      </w:r>
      <w:r>
        <w:rPr>
          <w:rFonts w:eastAsia="Times New Roman" w:ascii="Times New Roman" w:hAnsi="Times New Roman"/>
          <w:sz w:val="28"/>
          <w:szCs w:val="28"/>
          <w:lang w:eastAsia="ru-RU"/>
        </w:rPr>
        <w:t xml:space="preserve">досить високий рівень заробітної плати у досліджуваному періоді. У 2020 р. заробітна плата одного </w:t>
      </w:r>
      <w:r>
        <w:rPr>
          <w:rFonts w:eastAsia="Times New Roman" w:ascii="Times New Roman" w:hAnsi="Times New Roman"/>
          <w:color w:val="000000"/>
          <w:sz w:val="28"/>
          <w:lang w:eastAsia="ru-RU"/>
        </w:rPr>
        <w:t>працівника</w:t>
      </w:r>
      <w:r>
        <w:rPr>
          <w:rFonts w:eastAsia="Times New Roman" w:ascii="Times New Roman" w:hAnsi="Times New Roman"/>
          <w:sz w:val="28"/>
          <w:szCs w:val="28"/>
          <w:lang w:eastAsia="ru-RU"/>
        </w:rPr>
        <w:t xml:space="preserve"> </w:t>
      </w:r>
      <w:r>
        <w:rPr>
          <w:rFonts w:ascii="Times New Roman" w:hAnsi="Times New Roman"/>
          <w:spacing w:val="-3"/>
          <w:sz w:val="28"/>
          <w:szCs w:val="28"/>
        </w:rPr>
        <w:t xml:space="preserve">– </w:t>
      </w:r>
      <w:r>
        <w:rPr>
          <w:rFonts w:eastAsia="Times New Roman" w:ascii="Times New Roman" w:hAnsi="Times New Roman"/>
          <w:sz w:val="28"/>
          <w:szCs w:val="28"/>
          <w:lang w:eastAsia="ru-RU"/>
        </w:rPr>
        <w:t>7012</w:t>
      </w:r>
      <w:r>
        <w:rPr>
          <w:rFonts w:eastAsia="Times New Roman" w:ascii="Times New Roman" w:hAnsi="Times New Roman"/>
          <w:color w:val="000000"/>
          <w:sz w:val="28"/>
          <w:lang w:val="ru-RU" w:eastAsia="ru-RU"/>
        </w:rPr>
        <w:t xml:space="preserve"> грн </w:t>
      </w:r>
      <w:r>
        <w:rPr>
          <w:rFonts w:eastAsia="Times New Roman" w:ascii="Times New Roman" w:hAnsi="Times New Roman"/>
          <w:color w:val="000000"/>
          <w:sz w:val="28"/>
          <w:lang w:eastAsia="ru-RU"/>
        </w:rPr>
        <w:t xml:space="preserve">та робітника </w:t>
      </w:r>
      <w:r>
        <w:rPr>
          <w:rFonts w:ascii="Times New Roman" w:hAnsi="Times New Roman"/>
          <w:spacing w:val="-3"/>
          <w:sz w:val="28"/>
          <w:szCs w:val="28"/>
        </w:rPr>
        <w:t xml:space="preserve">– </w:t>
      </w:r>
      <w:r>
        <w:rPr>
          <w:rFonts w:eastAsia="Times New Roman" w:ascii="Times New Roman" w:hAnsi="Times New Roman"/>
          <w:color w:val="000000"/>
          <w:sz w:val="28"/>
          <w:lang w:eastAsia="ru-RU"/>
        </w:rPr>
        <w:t>5671 грн, що менший за середній її рівень в галузі. Середньомісячна заробітна плата робітників менша за мінімально встановлений її рівень. Це пояснюється роботою не повний робочий день і тиждень. Зокрема спеціалісти і фахівці товариства працюють по чотири години на підприємстві (оф лайн), а далі працюють вдома (он лайн).</w:t>
      </w:r>
    </w:p>
    <w:p>
      <w:pPr>
        <w:pStyle w:val="Normal"/>
        <w:spacing w:lineRule="auto" w:line="360"/>
        <w:ind w:firstLine="737"/>
        <w:rPr>
          <w:rFonts w:ascii="Times New Roman" w:hAnsi="Times New Roman"/>
          <w:sz w:val="28"/>
          <w:szCs w:val="28"/>
        </w:rPr>
      </w:pPr>
      <w:r>
        <w:rPr>
          <w:rFonts w:ascii="Times New Roman" w:hAnsi="Times New Roman"/>
          <w:sz w:val="28"/>
          <w:szCs w:val="28"/>
        </w:rPr>
        <w:t>Традиційно результативність роботи як працівників так і робітників суб’єкта господарювання оцінюється шляхом порівняння темпів росту середньомісячного виробітку і заробітної плати (рисунок 2.9, таблиця 2.5).</w:t>
      </w:r>
    </w:p>
    <w:p>
      <w:pPr>
        <w:pStyle w:val="Normal"/>
        <w:spacing w:lineRule="auto" w:line="360"/>
        <w:ind w:firstLine="737"/>
        <w:rPr>
          <w:rFonts w:ascii="Times New Roman" w:hAnsi="Times New Roman"/>
          <w:sz w:val="24"/>
          <w:szCs w:val="24"/>
        </w:rPr>
      </w:pPr>
      <w:r>
        <w:rPr>
          <w:rFonts w:ascii="Times New Roman" w:hAnsi="Times New Roman"/>
          <w:sz w:val="24"/>
          <w:szCs w:val="24"/>
        </w:rPr>
      </w:r>
    </w:p>
    <w:p>
      <w:pPr>
        <w:pStyle w:val="Normal"/>
        <w:spacing w:lineRule="auto" w:line="360"/>
        <w:jc w:val="center"/>
        <w:rPr>
          <w:rFonts w:ascii="Times New Roman" w:hAnsi="Times New Roman"/>
          <w:sz w:val="28"/>
          <w:szCs w:val="28"/>
        </w:rPr>
      </w:pPr>
      <w:r>
        <w:rPr/>
        <w:drawing>
          <wp:inline distT="0" distB="0" distL="0" distR="0">
            <wp:extent cx="6119495" cy="1952625"/>
            <wp:effectExtent l="0" t="0" r="0" b="0"/>
            <wp:docPr id="10" name="Рисунок 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41" descr=""/>
                    <pic:cNvPicPr>
                      <a:picLocks noChangeAspect="1" noChangeArrowheads="1"/>
                    </pic:cNvPicPr>
                  </pic:nvPicPr>
                  <pic:blipFill>
                    <a:blip r:embed="rId34"/>
                    <a:stretch>
                      <a:fillRect/>
                    </a:stretch>
                  </pic:blipFill>
                  <pic:spPr bwMode="auto">
                    <a:xfrm>
                      <a:off x="0" y="0"/>
                      <a:ext cx="6119495" cy="1952625"/>
                    </a:xfrm>
                    <a:prstGeom prst="rect">
                      <a:avLst/>
                    </a:prstGeom>
                  </pic:spPr>
                </pic:pic>
              </a:graphicData>
            </a:graphic>
          </wp:inline>
        </w:drawing>
      </w:r>
    </w:p>
    <w:p>
      <w:pPr>
        <w:pStyle w:val="Normal"/>
        <w:spacing w:lineRule="auto" w:line="336"/>
        <w:rPr>
          <w:rFonts w:ascii="Times New Roman" w:hAnsi="Times New Roman"/>
          <w:sz w:val="28"/>
          <w:szCs w:val="28"/>
        </w:rPr>
      </w:pPr>
      <w:r>
        <w:rPr>
          <w:rFonts w:ascii="Times New Roman" w:hAnsi="Times New Roman"/>
          <w:sz w:val="28"/>
          <w:szCs w:val="28"/>
        </w:rPr>
      </w:r>
    </w:p>
    <w:p>
      <w:pPr>
        <w:pStyle w:val="Normal"/>
        <w:spacing w:lineRule="auto" w:line="336"/>
        <w:jc w:val="center"/>
        <w:rPr>
          <w:rFonts w:ascii="Times New Roman" w:hAnsi="Times New Roman"/>
          <w:sz w:val="28"/>
          <w:szCs w:val="28"/>
        </w:rPr>
      </w:pPr>
      <w:r>
        <w:rPr>
          <w:rFonts w:ascii="Times New Roman" w:hAnsi="Times New Roman"/>
          <w:sz w:val="28"/>
          <w:szCs w:val="28"/>
        </w:rPr>
        <w:t xml:space="preserve">Рисунок 2.9 – Зміна темпів росту середньомісячного виробітку і заробітної плати одного працівника та робітника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Таблиця 2.5 – Динаміка середньомісячного виробітку та заробітної плати одного працівника та робітника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w:t>
      </w:r>
    </w:p>
    <w:tbl>
      <w:tblPr>
        <w:tblW w:w="5000" w:type="pct"/>
        <w:jc w:val="left"/>
        <w:tblInd w:w="0" w:type="dxa"/>
        <w:tblCellMar>
          <w:top w:w="0" w:type="dxa"/>
          <w:left w:w="5" w:type="dxa"/>
          <w:bottom w:w="0" w:type="dxa"/>
          <w:right w:w="5" w:type="dxa"/>
        </w:tblCellMar>
        <w:tblLook w:firstRow="1" w:noVBand="1" w:lastRow="0" w:firstColumn="1" w:lastColumn="0" w:noHBand="0" w:val="04a0"/>
      </w:tblPr>
      <w:tblGrid>
        <w:gridCol w:w="3565"/>
        <w:gridCol w:w="559"/>
        <w:gridCol w:w="560"/>
        <w:gridCol w:w="466"/>
        <w:gridCol w:w="560"/>
        <w:gridCol w:w="560"/>
        <w:gridCol w:w="560"/>
        <w:gridCol w:w="560"/>
        <w:gridCol w:w="560"/>
        <w:gridCol w:w="560"/>
        <w:gridCol w:w="560"/>
        <w:gridCol w:w="567"/>
      </w:tblGrid>
      <w:tr>
        <w:trPr>
          <w:trHeight w:val="20" w:hRule="atLeast"/>
        </w:trPr>
        <w:tc>
          <w:tcPr>
            <w:tcW w:w="356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Показник</w:t>
            </w:r>
          </w:p>
        </w:tc>
        <w:tc>
          <w:tcPr>
            <w:tcW w:w="6072" w:type="dxa"/>
            <w:gridSpan w:val="11"/>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color w:val="000000"/>
                <w:sz w:val="20"/>
                <w:szCs w:val="20"/>
              </w:rPr>
            </w:pPr>
            <w:r>
              <w:rPr>
                <w:rFonts w:ascii="Times New Roman" w:hAnsi="Times New Roman"/>
                <w:color w:val="000000"/>
                <w:sz w:val="20"/>
                <w:szCs w:val="20"/>
              </w:rPr>
              <w:t>Темпи росту за роками,%</w:t>
            </w:r>
          </w:p>
        </w:tc>
      </w:tr>
      <w:tr>
        <w:trPr>
          <w:trHeight w:val="20" w:hRule="atLeast"/>
        </w:trPr>
        <w:tc>
          <w:tcPr>
            <w:tcW w:w="3565"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color w:val="000000"/>
                <w:sz w:val="20"/>
                <w:szCs w:val="20"/>
              </w:rPr>
            </w:pPr>
            <w:r>
              <w:rPr>
                <w:rFonts w:ascii="Times New Roman" w:hAnsi="Times New Roman"/>
                <w:color w:val="000000"/>
                <w:sz w:val="20"/>
                <w:szCs w:val="20"/>
              </w:rPr>
            </w:r>
          </w:p>
        </w:tc>
        <w:tc>
          <w:tcPr>
            <w:tcW w:w="55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2011/</w:t>
            </w:r>
          </w:p>
          <w:p>
            <w:pPr>
              <w:pStyle w:val="Normal"/>
              <w:jc w:val="center"/>
              <w:rPr>
                <w:rFonts w:ascii="Times New Roman" w:hAnsi="Times New Roman"/>
                <w:color w:val="000000"/>
                <w:sz w:val="20"/>
                <w:szCs w:val="20"/>
                <w:lang w:eastAsia="uk-UA"/>
              </w:rPr>
            </w:pPr>
            <w:r>
              <w:rPr>
                <w:rFonts w:ascii="Times New Roman" w:hAnsi="Times New Roman"/>
                <w:color w:val="000000"/>
                <w:sz w:val="20"/>
                <w:szCs w:val="20"/>
              </w:rPr>
              <w:t>2010</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2012/</w:t>
            </w:r>
          </w:p>
          <w:p>
            <w:pPr>
              <w:pStyle w:val="Normal"/>
              <w:jc w:val="center"/>
              <w:rPr>
                <w:rFonts w:ascii="Times New Roman" w:hAnsi="Times New Roman"/>
                <w:color w:val="000000"/>
                <w:sz w:val="20"/>
                <w:szCs w:val="20"/>
              </w:rPr>
            </w:pPr>
            <w:r>
              <w:rPr>
                <w:rFonts w:ascii="Times New Roman" w:hAnsi="Times New Roman"/>
                <w:color w:val="000000"/>
                <w:sz w:val="20"/>
                <w:szCs w:val="20"/>
              </w:rPr>
              <w:t>2011</w:t>
            </w:r>
          </w:p>
        </w:tc>
        <w:tc>
          <w:tcPr>
            <w:tcW w:w="4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2013/</w:t>
            </w:r>
          </w:p>
          <w:p>
            <w:pPr>
              <w:pStyle w:val="Normal"/>
              <w:jc w:val="center"/>
              <w:rPr>
                <w:rFonts w:ascii="Times New Roman" w:hAnsi="Times New Roman"/>
                <w:color w:val="000000"/>
                <w:sz w:val="20"/>
                <w:szCs w:val="20"/>
              </w:rPr>
            </w:pPr>
            <w:r>
              <w:rPr>
                <w:rFonts w:ascii="Times New Roman" w:hAnsi="Times New Roman"/>
                <w:color w:val="000000"/>
                <w:sz w:val="20"/>
                <w:szCs w:val="20"/>
              </w:rPr>
              <w:t>2012</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2014/</w:t>
            </w:r>
          </w:p>
          <w:p>
            <w:pPr>
              <w:pStyle w:val="Normal"/>
              <w:jc w:val="center"/>
              <w:rPr>
                <w:rFonts w:ascii="Times New Roman" w:hAnsi="Times New Roman"/>
                <w:color w:val="000000"/>
                <w:sz w:val="20"/>
                <w:szCs w:val="20"/>
              </w:rPr>
            </w:pPr>
            <w:r>
              <w:rPr>
                <w:rFonts w:ascii="Times New Roman" w:hAnsi="Times New Roman"/>
                <w:color w:val="000000"/>
                <w:sz w:val="20"/>
                <w:szCs w:val="20"/>
              </w:rPr>
              <w:t>2013</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2015/</w:t>
            </w:r>
          </w:p>
          <w:p>
            <w:pPr>
              <w:pStyle w:val="Normal"/>
              <w:jc w:val="center"/>
              <w:rPr>
                <w:rFonts w:ascii="Times New Roman" w:hAnsi="Times New Roman"/>
                <w:color w:val="000000"/>
                <w:sz w:val="20"/>
                <w:szCs w:val="20"/>
              </w:rPr>
            </w:pPr>
            <w:r>
              <w:rPr>
                <w:rFonts w:ascii="Times New Roman" w:hAnsi="Times New Roman"/>
                <w:color w:val="000000"/>
                <w:sz w:val="20"/>
                <w:szCs w:val="20"/>
              </w:rPr>
              <w:t>2014</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2016/</w:t>
            </w:r>
          </w:p>
          <w:p>
            <w:pPr>
              <w:pStyle w:val="Normal"/>
              <w:jc w:val="center"/>
              <w:rPr>
                <w:rFonts w:ascii="Times New Roman" w:hAnsi="Times New Roman"/>
                <w:color w:val="000000"/>
                <w:sz w:val="20"/>
                <w:szCs w:val="20"/>
              </w:rPr>
            </w:pPr>
            <w:r>
              <w:rPr>
                <w:rFonts w:ascii="Times New Roman" w:hAnsi="Times New Roman"/>
                <w:color w:val="000000"/>
                <w:sz w:val="20"/>
                <w:szCs w:val="20"/>
              </w:rPr>
              <w:t>2015</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2017/</w:t>
            </w:r>
          </w:p>
          <w:p>
            <w:pPr>
              <w:pStyle w:val="Normal"/>
              <w:jc w:val="center"/>
              <w:rPr>
                <w:rFonts w:ascii="Times New Roman" w:hAnsi="Times New Roman"/>
                <w:color w:val="000000"/>
                <w:sz w:val="20"/>
                <w:szCs w:val="20"/>
              </w:rPr>
            </w:pPr>
            <w:r>
              <w:rPr>
                <w:rFonts w:ascii="Times New Roman" w:hAnsi="Times New Roman"/>
                <w:color w:val="000000"/>
                <w:sz w:val="20"/>
                <w:szCs w:val="20"/>
              </w:rPr>
              <w:t>2016</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2018/</w:t>
            </w:r>
          </w:p>
          <w:p>
            <w:pPr>
              <w:pStyle w:val="Normal"/>
              <w:jc w:val="center"/>
              <w:rPr>
                <w:rFonts w:ascii="Times New Roman" w:hAnsi="Times New Roman"/>
                <w:color w:val="000000"/>
                <w:sz w:val="20"/>
                <w:szCs w:val="20"/>
              </w:rPr>
            </w:pPr>
            <w:r>
              <w:rPr>
                <w:rFonts w:ascii="Times New Roman" w:hAnsi="Times New Roman"/>
                <w:color w:val="000000"/>
                <w:sz w:val="20"/>
                <w:szCs w:val="20"/>
              </w:rPr>
              <w:t>2017</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2019/</w:t>
            </w:r>
          </w:p>
          <w:p>
            <w:pPr>
              <w:pStyle w:val="Normal"/>
              <w:jc w:val="center"/>
              <w:rPr>
                <w:rFonts w:ascii="Times New Roman" w:hAnsi="Times New Roman"/>
                <w:color w:val="000000"/>
                <w:sz w:val="20"/>
                <w:szCs w:val="20"/>
              </w:rPr>
            </w:pPr>
            <w:r>
              <w:rPr>
                <w:rFonts w:ascii="Times New Roman" w:hAnsi="Times New Roman"/>
                <w:color w:val="000000"/>
                <w:sz w:val="20"/>
                <w:szCs w:val="20"/>
              </w:rPr>
              <w:t>2018</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2020/</w:t>
            </w:r>
          </w:p>
          <w:p>
            <w:pPr>
              <w:pStyle w:val="Normal"/>
              <w:jc w:val="center"/>
              <w:rPr>
                <w:rFonts w:ascii="Times New Roman" w:hAnsi="Times New Roman"/>
                <w:color w:val="000000"/>
                <w:sz w:val="20"/>
                <w:szCs w:val="20"/>
              </w:rPr>
            </w:pPr>
            <w:r>
              <w:rPr>
                <w:rFonts w:ascii="Times New Roman" w:hAnsi="Times New Roman"/>
                <w:color w:val="000000"/>
                <w:sz w:val="20"/>
                <w:szCs w:val="20"/>
              </w:rPr>
              <w:t>2019</w:t>
            </w:r>
          </w:p>
        </w:tc>
        <w:tc>
          <w:tcPr>
            <w:tcW w:w="56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2020/</w:t>
            </w:r>
          </w:p>
          <w:p>
            <w:pPr>
              <w:pStyle w:val="Normal"/>
              <w:jc w:val="center"/>
              <w:rPr>
                <w:rFonts w:ascii="Times New Roman" w:hAnsi="Times New Roman"/>
                <w:color w:val="000000"/>
                <w:sz w:val="20"/>
                <w:szCs w:val="20"/>
              </w:rPr>
            </w:pPr>
            <w:r>
              <w:rPr>
                <w:rFonts w:ascii="Times New Roman" w:hAnsi="Times New Roman"/>
                <w:color w:val="000000"/>
                <w:sz w:val="20"/>
                <w:szCs w:val="20"/>
              </w:rPr>
              <w:t>2010</w:t>
            </w:r>
          </w:p>
        </w:tc>
      </w:tr>
      <w:tr>
        <w:trPr>
          <w:trHeight w:val="20" w:hRule="atLeast"/>
        </w:trPr>
        <w:tc>
          <w:tcPr>
            <w:tcW w:w="35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color w:val="000000"/>
                <w:sz w:val="20"/>
                <w:szCs w:val="20"/>
              </w:rPr>
            </w:pPr>
            <w:r>
              <w:rPr>
                <w:rFonts w:ascii="Times New Roman" w:hAnsi="Times New Roman"/>
                <w:color w:val="000000"/>
                <w:sz w:val="20"/>
                <w:szCs w:val="20"/>
              </w:rPr>
              <w:t>Середньомісячний виробіток працівника</w:t>
            </w:r>
          </w:p>
        </w:tc>
        <w:tc>
          <w:tcPr>
            <w:tcW w:w="55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105,87</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105,86</w:t>
            </w:r>
          </w:p>
        </w:tc>
        <w:tc>
          <w:tcPr>
            <w:tcW w:w="4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60,80</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157,23</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152,66</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136,71</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105,13</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133,41</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106,26</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98,88</w:t>
            </w:r>
          </w:p>
        </w:tc>
        <w:tc>
          <w:tcPr>
            <w:tcW w:w="56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329,52</w:t>
            </w:r>
          </w:p>
        </w:tc>
      </w:tr>
      <w:tr>
        <w:trPr>
          <w:trHeight w:val="20" w:hRule="atLeast"/>
        </w:trPr>
        <w:tc>
          <w:tcPr>
            <w:tcW w:w="35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color w:val="000000"/>
                <w:sz w:val="20"/>
                <w:szCs w:val="20"/>
              </w:rPr>
            </w:pPr>
            <w:r>
              <w:rPr>
                <w:rFonts w:ascii="Times New Roman" w:hAnsi="Times New Roman"/>
                <w:color w:val="000000"/>
                <w:sz w:val="20"/>
                <w:szCs w:val="20"/>
              </w:rPr>
              <w:t>Середньомісячний виробіток робітника</w:t>
            </w:r>
          </w:p>
        </w:tc>
        <w:tc>
          <w:tcPr>
            <w:tcW w:w="55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97,38</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108,07</w:t>
            </w:r>
          </w:p>
        </w:tc>
        <w:tc>
          <w:tcPr>
            <w:tcW w:w="4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60,98</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136,58</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156,52</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132,37</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107,44</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134,59</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100,05</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98,89</w:t>
            </w:r>
          </w:p>
        </w:tc>
        <w:tc>
          <w:tcPr>
            <w:tcW w:w="56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259,81</w:t>
            </w:r>
          </w:p>
        </w:tc>
      </w:tr>
      <w:tr>
        <w:trPr>
          <w:trHeight w:val="20" w:hRule="atLeast"/>
        </w:trPr>
        <w:tc>
          <w:tcPr>
            <w:tcW w:w="35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color w:val="000000"/>
                <w:sz w:val="20"/>
                <w:szCs w:val="20"/>
              </w:rPr>
            </w:pPr>
            <w:r>
              <w:rPr>
                <w:rFonts w:ascii="Times New Roman" w:hAnsi="Times New Roman"/>
                <w:color w:val="000000"/>
                <w:sz w:val="20"/>
                <w:szCs w:val="20"/>
              </w:rPr>
              <w:t>Середньомісячна зарплата працівника</w:t>
            </w:r>
          </w:p>
        </w:tc>
        <w:tc>
          <w:tcPr>
            <w:tcW w:w="55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107,80</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89,97</w:t>
            </w:r>
          </w:p>
        </w:tc>
        <w:tc>
          <w:tcPr>
            <w:tcW w:w="4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95,33</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129,63</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114,85</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138,66</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106,67</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126,92</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122,08</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112,95</w:t>
            </w:r>
          </w:p>
        </w:tc>
        <w:tc>
          <w:tcPr>
            <w:tcW w:w="56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356,31</w:t>
            </w:r>
          </w:p>
        </w:tc>
      </w:tr>
      <w:tr>
        <w:trPr>
          <w:trHeight w:val="20" w:hRule="atLeast"/>
        </w:trPr>
        <w:tc>
          <w:tcPr>
            <w:tcW w:w="35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color w:val="000000"/>
                <w:sz w:val="20"/>
                <w:szCs w:val="20"/>
              </w:rPr>
            </w:pPr>
            <w:r>
              <w:rPr>
                <w:rFonts w:ascii="Times New Roman" w:hAnsi="Times New Roman"/>
                <w:color w:val="000000"/>
                <w:sz w:val="20"/>
                <w:szCs w:val="20"/>
              </w:rPr>
              <w:t>Середньомісячна зарплата робітника</w:t>
            </w:r>
          </w:p>
        </w:tc>
        <w:tc>
          <w:tcPr>
            <w:tcW w:w="55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99,68</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91,75</w:t>
            </w:r>
          </w:p>
        </w:tc>
        <w:tc>
          <w:tcPr>
            <w:tcW w:w="4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95,96</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113,24</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121,39</w:t>
            </w:r>
          </w:p>
        </w:tc>
        <w:tc>
          <w:tcPr>
            <w:tcW w:w="56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146,86</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109,01</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127,23</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114,76</w:t>
            </w:r>
          </w:p>
        </w:tc>
        <w:tc>
          <w:tcPr>
            <w:tcW w:w="56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107,94</w:t>
            </w:r>
          </w:p>
        </w:tc>
        <w:tc>
          <w:tcPr>
            <w:tcW w:w="56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304,39</w:t>
            </w:r>
          </w:p>
        </w:tc>
      </w:tr>
    </w:tbl>
    <w:p>
      <w:pPr>
        <w:pStyle w:val="Normal"/>
        <w:spacing w:lineRule="auto" w:line="360"/>
        <w:ind w:firstLine="737"/>
        <w:rPr>
          <w:rFonts w:ascii="Times New Roman" w:hAnsi="Times New Roman"/>
          <w:sz w:val="28"/>
          <w:szCs w:val="28"/>
        </w:rPr>
      </w:pPr>
      <w:r>
        <w:rPr>
          <w:rFonts w:ascii="Times New Roman" w:hAnsi="Times New Roman"/>
          <w:sz w:val="28"/>
          <w:szCs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За рисунком 2.9 та даними таблиці 2.5, з 2011 р. по 2012 р., з 2013 р. по 2014 р., з 2017 р. по 2018 р. темпи росту середньомісячного виробітку значно випереджали зростання заробітної плати як працівника так і робітника. Це вказує на більш продуктивну роботу персоналу </w:t>
      </w:r>
      <w:r>
        <w:rPr>
          <w:rFonts w:eastAsia="Times New Roman" w:ascii="Times New Roman" w:hAnsi="Times New Roman"/>
          <w:sz w:val="28"/>
          <w:szCs w:val="28"/>
          <w:lang w:eastAsia="ru-RU"/>
        </w:rPr>
        <w:t xml:space="preserve">ТОВ «НЕЙЛ», </w:t>
      </w:r>
      <w:r>
        <w:rPr>
          <w:rFonts w:ascii="Times New Roman" w:hAnsi="Times New Roman"/>
          <w:sz w:val="28"/>
          <w:szCs w:val="28"/>
        </w:rPr>
        <w:t>проте це може призвести до соціальних конфліктів і значної плинності кадрів</w:t>
      </w:r>
      <w:r>
        <w:rPr>
          <w:rFonts w:eastAsia="Times New Roman" w:ascii="Times New Roman" w:hAnsi="Times New Roman"/>
          <w:sz w:val="28"/>
          <w:szCs w:val="28"/>
          <w:lang w:eastAsia="ru-RU"/>
        </w:rPr>
        <w:t xml:space="preserve">. Однак </w:t>
      </w:r>
      <w:r>
        <w:rPr>
          <w:rFonts w:ascii="Times New Roman" w:hAnsi="Times New Roman"/>
          <w:sz w:val="28"/>
          <w:szCs w:val="28"/>
        </w:rPr>
        <w:t xml:space="preserve">з 2010 р. по 2011 р., з 2012 р. по 2013 р., з 2015 р. по 2017 р. та протягом останніх двох років темпи росту заробітної плати були вищі за зміну виробітку, що позитивно та характеризує діяльність персоналу </w:t>
      </w:r>
      <w:r>
        <w:rPr>
          <w:rFonts w:ascii="Times New Roman" w:hAnsi="Times New Roman"/>
          <w:spacing w:val="-3"/>
          <w:sz w:val="28"/>
          <w:szCs w:val="28"/>
        </w:rPr>
        <w:t>ТОВ «НЕЙЛ»</w:t>
      </w:r>
      <w:r>
        <w:rPr>
          <w:rFonts w:ascii="Times New Roman" w:hAnsi="Times New Roman"/>
          <w:sz w:val="28"/>
          <w:szCs w:val="28"/>
        </w:rPr>
        <w:t xml:space="preserve">.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Досить вагомою у роботі </w:t>
      </w:r>
      <w:r>
        <w:rPr>
          <w:rFonts w:eastAsia="Times New Roman" w:ascii="Times New Roman" w:hAnsi="Times New Roman"/>
          <w:sz w:val="28"/>
          <w:szCs w:val="28"/>
          <w:lang w:eastAsia="ru-RU"/>
        </w:rPr>
        <w:t>ТОВ «НЕЙЛ»</w:t>
      </w:r>
      <w:r>
        <w:rPr>
          <w:rFonts w:ascii="Times New Roman" w:hAnsi="Times New Roman"/>
          <w:sz w:val="28"/>
          <w:szCs w:val="28"/>
        </w:rPr>
        <w:t xml:space="preserve"> є його забезпеченість засобами праці, до яких відносять основні фонди. Їх зміна на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 подана на рисунку 2.10.</w:t>
      </w:r>
    </w:p>
    <w:p>
      <w:pPr>
        <w:pStyle w:val="Normal"/>
        <w:spacing w:lineRule="auto" w:line="348"/>
        <w:ind w:firstLine="737"/>
        <w:rPr>
          <w:rFonts w:ascii="Times New Roman" w:hAnsi="Times New Roman"/>
          <w:sz w:val="28"/>
          <w:szCs w:val="32"/>
        </w:rPr>
      </w:pPr>
      <w:r>
        <w:rPr>
          <w:rFonts w:ascii="Times New Roman" w:hAnsi="Times New Roman"/>
          <w:sz w:val="28"/>
          <w:szCs w:val="32"/>
        </w:rPr>
      </w:r>
    </w:p>
    <w:p>
      <w:pPr>
        <w:pStyle w:val="Normal"/>
        <w:tabs>
          <w:tab w:val="clear" w:pos="708"/>
          <w:tab w:val="left" w:pos="567" w:leader="none"/>
        </w:tabs>
        <w:spacing w:lineRule="auto" w:line="348"/>
        <w:jc w:val="center"/>
        <w:rPr>
          <w:rFonts w:ascii="Times New Roman" w:hAnsi="Times New Roman"/>
          <w:sz w:val="28"/>
          <w:szCs w:val="28"/>
        </w:rPr>
      </w:pPr>
      <w:r>
        <w:rPr/>
        <w:drawing>
          <wp:inline distT="0" distB="0" distL="0" distR="0">
            <wp:extent cx="5924550" cy="2105025"/>
            <wp:effectExtent l="0" t="0" r="0" b="0"/>
            <wp:docPr id="11" name="Рисунок 4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42" descr=""/>
                    <pic:cNvPicPr>
                      <a:picLocks noChangeAspect="1" noChangeArrowheads="1"/>
                    </pic:cNvPicPr>
                  </pic:nvPicPr>
                  <pic:blipFill>
                    <a:blip r:embed="rId35"/>
                    <a:stretch>
                      <a:fillRect/>
                    </a:stretch>
                  </pic:blipFill>
                  <pic:spPr bwMode="auto">
                    <a:xfrm>
                      <a:off x="0" y="0"/>
                      <a:ext cx="5924550" cy="2105025"/>
                    </a:xfrm>
                    <a:prstGeom prst="rect">
                      <a:avLst/>
                    </a:prstGeom>
                  </pic:spPr>
                </pic:pic>
              </a:graphicData>
            </a:graphic>
          </wp:inline>
        </w:drawing>
      </w:r>
    </w:p>
    <w:p>
      <w:pPr>
        <w:pStyle w:val="Normal"/>
        <w:spacing w:lineRule="auto" w:line="360"/>
        <w:ind w:firstLine="737"/>
        <w:rPr>
          <w:rFonts w:ascii="Times New Roman" w:hAnsi="Times New Roman"/>
          <w:sz w:val="24"/>
          <w:szCs w:val="24"/>
        </w:rPr>
      </w:pPr>
      <w:r>
        <w:rPr>
          <w:rFonts w:ascii="Times New Roman" w:hAnsi="Times New Roman"/>
          <w:sz w:val="24"/>
          <w:szCs w:val="24"/>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2.10 – Динаміка вартості основних фондів та їх активної частини </w:t>
      </w:r>
    </w:p>
    <w:p>
      <w:pPr>
        <w:pStyle w:val="Normal"/>
        <w:spacing w:lineRule="auto" w:line="360"/>
        <w:rPr>
          <w:rFonts w:ascii="Times New Roman" w:hAnsi="Times New Roman"/>
          <w:sz w:val="24"/>
          <w:szCs w:val="24"/>
        </w:rPr>
      </w:pPr>
      <w:r>
        <w:rPr>
          <w:rFonts w:ascii="Times New Roman" w:hAnsi="Times New Roman"/>
          <w:sz w:val="24"/>
          <w:szCs w:val="24"/>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На ТОВ «НЕЙЛ»</w:t>
      </w:r>
      <w:r>
        <w:rPr>
          <w:rFonts w:ascii="Times New Roman" w:hAnsi="Times New Roman"/>
          <w:sz w:val="28"/>
          <w:szCs w:val="28"/>
        </w:rPr>
        <w:t xml:space="preserve"> з 2010 р. по 2020 р. відбувається суттєве зростання вартості основних фондів, та їх частки, яка безпосередньо приймає участь у виробничому процесі (73,97 % у 2010 р. та 76,68 % у 2020 р.). Позитивним моментом є значна частка активної частини основних фондів, яка коливається від 73 % до 77 %. У 2011 р. частка активної частини основних фондів зросла на 2,71 % до 75,96 %, далі відбувалося її незначне скорочення до 2014 р., зростання до 2020 р. Впродовж аналізованого періоду відбулося зростання частки активної частини на 2,46 %.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Ефективність використання основних фондів на </w:t>
      </w:r>
      <w:r>
        <w:rPr>
          <w:rFonts w:eastAsia="Times New Roman" w:ascii="Times New Roman" w:hAnsi="Times New Roman"/>
          <w:sz w:val="28"/>
          <w:szCs w:val="28"/>
          <w:lang w:eastAsia="ru-RU"/>
        </w:rPr>
        <w:t>ТОВ «НЕЙЛ»</w:t>
      </w:r>
      <w:r>
        <w:rPr>
          <w:rFonts w:ascii="Times New Roman" w:hAnsi="Times New Roman"/>
          <w:sz w:val="28"/>
          <w:szCs w:val="28"/>
        </w:rPr>
        <w:t xml:space="preserve"> характеризує динаміка фондо- та машиновіддачі (рисунок 2.11).</w:t>
      </w:r>
    </w:p>
    <w:p>
      <w:pPr>
        <w:pStyle w:val="Normal"/>
        <w:spacing w:lineRule="auto" w:line="336"/>
        <w:ind w:firstLine="709"/>
        <w:rPr>
          <w:rFonts w:ascii="Times New Roman" w:hAnsi="Times New Roman"/>
          <w:sz w:val="20"/>
          <w:szCs w:val="24"/>
        </w:rPr>
      </w:pPr>
      <w:r>
        <w:rPr>
          <w:rFonts w:ascii="Times New Roman" w:hAnsi="Times New Roman"/>
          <w:sz w:val="20"/>
          <w:szCs w:val="24"/>
        </w:rPr>
      </w:r>
    </w:p>
    <w:p>
      <w:pPr>
        <w:pStyle w:val="Normal"/>
        <w:spacing w:lineRule="auto" w:line="336"/>
        <w:rPr>
          <w:rFonts w:ascii="Times New Roman" w:hAnsi="Times New Roman"/>
          <w:sz w:val="28"/>
          <w:szCs w:val="28"/>
        </w:rPr>
      </w:pPr>
      <w:r>
        <w:rPr/>
        <w:drawing>
          <wp:inline distT="0" distB="0" distL="0" distR="0">
            <wp:extent cx="6000750" cy="2076450"/>
            <wp:effectExtent l="0" t="0" r="0" b="0"/>
            <wp:docPr id="12" name="Рисунок 4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43" descr=""/>
                    <pic:cNvPicPr>
                      <a:picLocks noChangeAspect="1" noChangeArrowheads="1"/>
                    </pic:cNvPicPr>
                  </pic:nvPicPr>
                  <pic:blipFill>
                    <a:blip r:embed="rId36"/>
                    <a:stretch>
                      <a:fillRect/>
                    </a:stretch>
                  </pic:blipFill>
                  <pic:spPr bwMode="auto">
                    <a:xfrm>
                      <a:off x="0" y="0"/>
                      <a:ext cx="6000750" cy="2076450"/>
                    </a:xfrm>
                    <a:prstGeom prst="rect">
                      <a:avLst/>
                    </a:prstGeom>
                  </pic:spPr>
                </pic:pic>
              </a:graphicData>
            </a:graphic>
          </wp:inline>
        </w:drawing>
      </w:r>
    </w:p>
    <w:p>
      <w:pPr>
        <w:pStyle w:val="Normal"/>
        <w:spacing w:lineRule="auto" w:line="360"/>
        <w:ind w:firstLine="709"/>
        <w:rPr>
          <w:rFonts w:ascii="Times New Roman" w:hAnsi="Times New Roman"/>
          <w:sz w:val="24"/>
          <w:szCs w:val="28"/>
        </w:rPr>
      </w:pPr>
      <w:r>
        <w:rPr>
          <w:rFonts w:ascii="Times New Roman" w:hAnsi="Times New Roman"/>
          <w:sz w:val="24"/>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Рисунок 2.11 – Зміна фондо- та машиновіддачі на підприємстві</w:t>
      </w:r>
    </w:p>
    <w:p>
      <w:pPr>
        <w:pStyle w:val="Normal"/>
        <w:spacing w:lineRule="auto" w:line="360"/>
        <w:ind w:firstLine="709"/>
        <w:rPr>
          <w:rFonts w:ascii="Times New Roman" w:hAnsi="Times New Roman"/>
          <w:sz w:val="24"/>
          <w:szCs w:val="28"/>
        </w:rPr>
      </w:pPr>
      <w:r>
        <w:rPr>
          <w:rFonts w:ascii="Times New Roman" w:hAnsi="Times New Roman"/>
          <w:sz w:val="24"/>
          <w:szCs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За рисунком 2.11, на </w:t>
      </w:r>
      <w:r>
        <w:rPr>
          <w:rFonts w:eastAsia="Times New Roman" w:ascii="Times New Roman" w:hAnsi="Times New Roman"/>
          <w:sz w:val="28"/>
          <w:szCs w:val="28"/>
          <w:lang w:eastAsia="ru-RU"/>
        </w:rPr>
        <w:t>ТОВ «НЕЙЛ», попри невелику вартість засобів праці щодо обсягу випуску продукції</w:t>
      </w:r>
      <w:r>
        <w:rPr>
          <w:rFonts w:ascii="Times New Roman" w:hAnsi="Times New Roman"/>
          <w:sz w:val="28"/>
          <w:szCs w:val="28"/>
        </w:rPr>
        <w:t xml:space="preserve"> досить високий рівень фондовіддачі у 2010 р. (6,61 грн), у 2015 р. (8,93 грн), у 2017 р. (9,58 грн) у 2019 р. (11,59 грн) та у звітному році (11,26 грн). Аналогічна зміна помітна і щодо  машиновіддачі у 2010 р. (8,94 грн), 2015 р. (14,03 грн), 2017 р. (13,94 грн), у 2019 р. (15,49 грн) та у 2020 р. (14,69 грн). Продовж аналізованого періоду рівень машиновіддачі коливається та зріс на 64,26 % загалом. Зростання помітне у 2012 р. на 11,13 %, на 67,44 % у 2014 р., на 47,02 % у 2015 р., на 19,66 % у 2017 р. і на 22,39 % у 2019 р. Все це вказує на покращення ефективності використання активної частини основних фондів. Зменшення розміру як фондо- так і машиновіддачі у 2011 р., у 2013 р., 2016 р., 2018 р. та у звітному році свідчать про погіршення ефективності використання основних фондів</w:t>
      </w:r>
      <w:r>
        <w:rPr>
          <w:rFonts w:eastAsia="Times New Roman" w:ascii="Times New Roman" w:hAnsi="Times New Roman"/>
          <w:sz w:val="28"/>
          <w:szCs w:val="28"/>
          <w:lang w:eastAsia="ru-RU"/>
        </w:rPr>
        <w:t xml:space="preserve"> ТОВ «НЕЙЛ»</w:t>
      </w:r>
      <w:r>
        <w:rPr>
          <w:rFonts w:ascii="Times New Roman" w:hAnsi="Times New Roman"/>
          <w:sz w:val="28"/>
          <w:szCs w:val="28"/>
        </w:rPr>
        <w:t>.</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Для якісної організації виробничого процесу варто побудувати злагоджену політику щодо матеріально-технічного забезпечення підприємства [40]. </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Динаміка вартості матеріальних запасів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 подана на рисунку 2.12.</w:t>
      </w:r>
    </w:p>
    <w:p>
      <w:pPr>
        <w:pStyle w:val="Normal"/>
        <w:spacing w:lineRule="auto" w:line="336"/>
        <w:ind w:firstLine="737"/>
        <w:rPr>
          <w:rFonts w:ascii="Times New Roman" w:hAnsi="Times New Roman"/>
          <w:sz w:val="24"/>
          <w:szCs w:val="52"/>
        </w:rPr>
      </w:pPr>
      <w:r>
        <w:rPr>
          <w:rFonts w:ascii="Times New Roman" w:hAnsi="Times New Roman"/>
          <w:sz w:val="24"/>
          <w:szCs w:val="52"/>
        </w:rPr>
      </w:r>
    </w:p>
    <w:p>
      <w:pPr>
        <w:pStyle w:val="Normal"/>
        <w:spacing w:lineRule="auto" w:line="336"/>
        <w:jc w:val="center"/>
        <w:rPr>
          <w:rFonts w:ascii="Times New Roman" w:hAnsi="Times New Roman"/>
          <w:sz w:val="28"/>
          <w:szCs w:val="28"/>
        </w:rPr>
      </w:pPr>
      <w:r>
        <w:rPr/>
        <w:drawing>
          <wp:inline distT="0" distB="0" distL="0" distR="0">
            <wp:extent cx="6000750" cy="2181225"/>
            <wp:effectExtent l="0" t="0" r="0" b="0"/>
            <wp:docPr id="13" name="Рисунок 4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44" descr=""/>
                    <pic:cNvPicPr>
                      <a:picLocks noChangeAspect="1" noChangeArrowheads="1"/>
                    </pic:cNvPicPr>
                  </pic:nvPicPr>
                  <pic:blipFill>
                    <a:blip r:embed="rId37"/>
                    <a:stretch>
                      <a:fillRect/>
                    </a:stretch>
                  </pic:blipFill>
                  <pic:spPr bwMode="auto">
                    <a:xfrm>
                      <a:off x="0" y="0"/>
                      <a:ext cx="6000750" cy="2181225"/>
                    </a:xfrm>
                    <a:prstGeom prst="rect">
                      <a:avLst/>
                    </a:prstGeom>
                  </pic:spPr>
                </pic:pic>
              </a:graphicData>
            </a:graphic>
          </wp:inline>
        </w:drawing>
      </w:r>
    </w:p>
    <w:p>
      <w:pPr>
        <w:pStyle w:val="Normal"/>
        <w:spacing w:lineRule="auto" w:line="336"/>
        <w:jc w:val="center"/>
        <w:rPr>
          <w:rFonts w:ascii="Times New Roman" w:hAnsi="Times New Roman"/>
          <w:sz w:val="24"/>
          <w:szCs w:val="24"/>
        </w:rPr>
      </w:pPr>
      <w:r>
        <w:rPr>
          <w:rFonts w:ascii="Times New Roman" w:hAnsi="Times New Roman"/>
          <w:sz w:val="24"/>
          <w:szCs w:val="24"/>
        </w:rPr>
      </w:r>
    </w:p>
    <w:p>
      <w:pPr>
        <w:pStyle w:val="Normal"/>
        <w:spacing w:lineRule="auto" w:line="336"/>
        <w:jc w:val="center"/>
        <w:rPr>
          <w:rFonts w:ascii="Times New Roman" w:hAnsi="Times New Roman"/>
          <w:sz w:val="28"/>
          <w:szCs w:val="28"/>
        </w:rPr>
      </w:pPr>
      <w:r>
        <w:rPr>
          <w:rFonts w:ascii="Times New Roman" w:hAnsi="Times New Roman"/>
          <w:sz w:val="28"/>
          <w:szCs w:val="28"/>
        </w:rPr>
        <w:t>Рисунок 2.12 – Динаміка вартості матеріальних запасів</w:t>
      </w:r>
    </w:p>
    <w:p>
      <w:pPr>
        <w:pStyle w:val="Normal"/>
        <w:spacing w:lineRule="auto" w:line="336"/>
        <w:jc w:val="center"/>
        <w:rPr>
          <w:rFonts w:ascii="Times New Roman" w:hAnsi="Times New Roman"/>
          <w:sz w:val="24"/>
          <w:szCs w:val="24"/>
        </w:rPr>
      </w:pPr>
      <w:r>
        <w:rPr>
          <w:rFonts w:ascii="Times New Roman" w:hAnsi="Times New Roman"/>
          <w:sz w:val="24"/>
          <w:szCs w:val="24"/>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За рисунком 2.12 на </w:t>
      </w:r>
      <w:r>
        <w:rPr>
          <w:rFonts w:eastAsia="Times New Roman" w:ascii="Times New Roman" w:hAnsi="Times New Roman"/>
          <w:sz w:val="28"/>
          <w:szCs w:val="28"/>
          <w:lang w:eastAsia="ru-RU"/>
        </w:rPr>
        <w:t>ТОВ «НЕЙЛ»</w:t>
      </w:r>
      <w:r>
        <w:rPr>
          <w:rFonts w:ascii="Times New Roman" w:hAnsi="Times New Roman"/>
          <w:sz w:val="28"/>
          <w:szCs w:val="28"/>
        </w:rPr>
        <w:t xml:space="preserve"> скорочення вартості матеріальних ресурсів відбувається з 2010 р. (на 2,06 % у 2011 р., 13,68 % у 2012 р., 7,11 % у 2013 р.) по 2013 р. та на 11,43 % у 2019 р.. Зростання вартості матеріалів відбулося майже однаковими темпами у 2014 р., 2015 р, 2017 р. та 2018 р. – на 43,13 %. За увесь досліджуваний період вартість матеріальних запасів збільшилась на 63534 тис. грн, що позначилося на зміні показника ефективності їх використання (рисунок 2.13).</w:t>
      </w:r>
    </w:p>
    <w:p>
      <w:pPr>
        <w:pStyle w:val="Normal"/>
        <w:spacing w:lineRule="auto" w:line="336"/>
        <w:ind w:firstLine="709"/>
        <w:rPr>
          <w:rFonts w:ascii="Times New Roman" w:hAnsi="Times New Roman"/>
          <w:sz w:val="24"/>
          <w:szCs w:val="24"/>
        </w:rPr>
      </w:pPr>
      <w:r>
        <w:rPr>
          <w:rFonts w:ascii="Times New Roman" w:hAnsi="Times New Roman"/>
          <w:sz w:val="24"/>
          <w:szCs w:val="24"/>
        </w:rPr>
      </w:r>
    </w:p>
    <w:p>
      <w:pPr>
        <w:pStyle w:val="Normal"/>
        <w:spacing w:lineRule="auto" w:line="336"/>
        <w:jc w:val="center"/>
        <w:rPr>
          <w:rFonts w:ascii="Times New Roman" w:hAnsi="Times New Roman"/>
          <w:sz w:val="28"/>
          <w:szCs w:val="28"/>
        </w:rPr>
      </w:pPr>
      <w:r>
        <w:rPr/>
        <w:drawing>
          <wp:inline distT="0" distB="0" distL="0" distR="0">
            <wp:extent cx="5991225" cy="2133600"/>
            <wp:effectExtent l="0" t="0" r="0" b="0"/>
            <wp:docPr id="14" name="Рисунок 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33" descr=""/>
                    <pic:cNvPicPr>
                      <a:picLocks noChangeAspect="1" noChangeArrowheads="1"/>
                    </pic:cNvPicPr>
                  </pic:nvPicPr>
                  <pic:blipFill>
                    <a:blip r:embed="rId38"/>
                    <a:stretch>
                      <a:fillRect/>
                    </a:stretch>
                  </pic:blipFill>
                  <pic:spPr bwMode="auto">
                    <a:xfrm>
                      <a:off x="0" y="0"/>
                      <a:ext cx="5991225" cy="2133600"/>
                    </a:xfrm>
                    <a:prstGeom prst="rect">
                      <a:avLst/>
                    </a:prstGeom>
                  </pic:spPr>
                </pic:pic>
              </a:graphicData>
            </a:graphic>
          </wp:inline>
        </w:drawing>
      </w:r>
    </w:p>
    <w:p>
      <w:pPr>
        <w:pStyle w:val="Normal"/>
        <w:spacing w:lineRule="auto" w:line="360"/>
        <w:rPr>
          <w:rFonts w:ascii="Times New Roman" w:hAnsi="Times New Roman"/>
          <w:sz w:val="24"/>
          <w:szCs w:val="28"/>
        </w:rPr>
      </w:pPr>
      <w:r>
        <w:rPr>
          <w:rFonts w:ascii="Times New Roman" w:hAnsi="Times New Roman"/>
          <w:sz w:val="24"/>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2.13 – Динаміка матеріаловіддачі </w:t>
      </w:r>
      <w:r>
        <w:rPr>
          <w:rFonts w:eastAsia="Times New Roman" w:ascii="Times New Roman" w:hAnsi="Times New Roman"/>
          <w:sz w:val="28"/>
          <w:szCs w:val="28"/>
          <w:lang w:eastAsia="ru-RU"/>
        </w:rPr>
        <w:t>виробничого підприємства</w:t>
      </w:r>
      <w:r>
        <w:rPr>
          <w:sz w:val="28"/>
          <w:szCs w:val="28"/>
          <w:lang w:eastAsia="ru-RU"/>
        </w:rPr>
        <w:t xml:space="preserve"> </w:t>
      </w:r>
    </w:p>
    <w:p>
      <w:pPr>
        <w:pStyle w:val="Normal"/>
        <w:spacing w:lineRule="auto" w:line="360"/>
        <w:rPr>
          <w:rFonts w:ascii="Times New Roman" w:hAnsi="Times New Roman"/>
          <w:sz w:val="24"/>
          <w:szCs w:val="28"/>
        </w:rPr>
      </w:pPr>
      <w:r>
        <w:rPr>
          <w:rFonts w:ascii="Times New Roman" w:hAnsi="Times New Roman"/>
          <w:sz w:val="24"/>
          <w:szCs w:val="28"/>
        </w:rPr>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За рисунком 2.13, впродовж досліджуваного періоду, на </w:t>
      </w:r>
      <w:r>
        <w:rPr>
          <w:rFonts w:eastAsia="Times New Roman" w:ascii="Times New Roman" w:hAnsi="Times New Roman"/>
          <w:sz w:val="28"/>
          <w:szCs w:val="28"/>
          <w:lang w:eastAsia="ru-RU"/>
        </w:rPr>
        <w:t>ТОВ «НЕЙЛ»,</w:t>
      </w:r>
      <w:r>
        <w:rPr>
          <w:rFonts w:ascii="Times New Roman" w:hAnsi="Times New Roman"/>
          <w:sz w:val="28"/>
          <w:szCs w:val="28"/>
        </w:rPr>
        <w:t xml:space="preserve"> помітне коливання рівня матеріаловіддачі. Зокрема, вона зростає з 2010 р. по 2012 р. (на 4,58 % та 21,27 % відповідно) та з 2013 р. по 2016 р. Її рівень стрімко скорочується у 2013 р. на 34,05 %, у 2014 р. на 6,93 %, у 2017 р. на 24,95 %, у 2018 р. на 2,21 % порівняно з попереднім роком. У звітному році рівень матеріаловіддачі скоротився на 4,19 % або на 0,06 грн. Одночасно за аналізований період матеріаловіддача зменшилась на 17,38 % з 1,7551 грн до 1,4501 грн, що вказує на погіршення ефективності використання матеріальних ресурсів.</w:t>
      </w:r>
    </w:p>
    <w:p>
      <w:pPr>
        <w:pStyle w:val="Normal"/>
        <w:spacing w:lineRule="auto" w:line="360"/>
        <w:ind w:firstLine="737"/>
        <w:rPr>
          <w:rFonts w:ascii="Times New Roman" w:hAnsi="Times New Roman"/>
          <w:sz w:val="28"/>
          <w:szCs w:val="28"/>
        </w:rPr>
      </w:pPr>
      <w:r>
        <w:rPr>
          <w:rFonts w:ascii="Times New Roman" w:hAnsi="Times New Roman"/>
          <w:sz w:val="28"/>
          <w:szCs w:val="28"/>
        </w:rPr>
        <w:t xml:space="preserve">Підсумком фінансової діяльності виробничого підприємства є чистий фінансовий результат – прибуток або збиток [40]. За досліджуваний період, діяльність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була прибутковою. Лише у 2010 р. коли компанія отримала збиток у розмірі 779 тис. грн. Майже однаковий розмір прибутку підприємство мало у 2011 р. та у 2013 р.: 413 тис. грн та 407 тис. грн відповідно. Стрімке скорочення чистого прибутку помітне у 2012 р. – до 18 тис. грн, а надалі до 2015 р. він стрімко зростає до 7197 тис. грн. У подальшому відбувається поступове його скорочення протягом останніх п’яти років до 2471 тис. грн у 2020 р.: на 44,67 % у 2016 р., на 8,24 % у 2017 р., на 18,69 % у 2018 р., на 9,09 % у 2019 р. та на 8,52 % у звітному році. Найбільший розмір чистого прибутку </w:t>
      </w:r>
      <w:r>
        <w:rPr>
          <w:rFonts w:eastAsia="Times New Roman" w:ascii="Times New Roman" w:hAnsi="Times New Roman"/>
          <w:sz w:val="28"/>
          <w:szCs w:val="28"/>
          <w:lang w:eastAsia="ru-RU"/>
        </w:rPr>
        <w:t>ТОВ «НЕЙЛ»</w:t>
      </w:r>
      <w:r>
        <w:rPr>
          <w:rFonts w:ascii="Times New Roman" w:hAnsi="Times New Roman"/>
          <w:sz w:val="28"/>
          <w:szCs w:val="28"/>
        </w:rPr>
        <w:t xml:space="preserve"> отримало в сумі 7197 тис. грн у 2015 р., який поступово скорочувався до кінця аналізованого періоду (рисунок 2.14).</w:t>
      </w:r>
    </w:p>
    <w:p>
      <w:pPr>
        <w:pStyle w:val="Normal"/>
        <w:spacing w:lineRule="auto" w:line="360"/>
        <w:ind w:firstLine="737"/>
        <w:rPr>
          <w:rFonts w:ascii="Times New Roman" w:hAnsi="Times New Roman"/>
          <w:sz w:val="24"/>
          <w:szCs w:val="28"/>
        </w:rPr>
      </w:pPr>
      <w:r>
        <w:rPr>
          <w:rFonts w:ascii="Times New Roman" w:hAnsi="Times New Roman"/>
          <w:sz w:val="24"/>
          <w:szCs w:val="28"/>
        </w:rPr>
      </w:r>
    </w:p>
    <w:p>
      <w:pPr>
        <w:pStyle w:val="Normal"/>
        <w:spacing w:lineRule="auto" w:line="360"/>
        <w:rPr>
          <w:rFonts w:ascii="Times New Roman" w:hAnsi="Times New Roman"/>
          <w:sz w:val="28"/>
          <w:szCs w:val="28"/>
        </w:rPr>
      </w:pPr>
      <w:r>
        <w:rPr/>
        <w:drawing>
          <wp:inline distT="0" distB="0" distL="0" distR="0">
            <wp:extent cx="6119495" cy="2181225"/>
            <wp:effectExtent l="0" t="0" r="0" b="0"/>
            <wp:docPr id="15" name="Рисунок 4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46" descr=""/>
                    <pic:cNvPicPr>
                      <a:picLocks noChangeAspect="1" noChangeArrowheads="1"/>
                    </pic:cNvPicPr>
                  </pic:nvPicPr>
                  <pic:blipFill>
                    <a:blip r:embed="rId39"/>
                    <a:stretch>
                      <a:fillRect/>
                    </a:stretch>
                  </pic:blipFill>
                  <pic:spPr bwMode="auto">
                    <a:xfrm>
                      <a:off x="0" y="0"/>
                      <a:ext cx="6119495" cy="2181225"/>
                    </a:xfrm>
                    <a:prstGeom prst="rect">
                      <a:avLst/>
                    </a:prstGeom>
                  </pic:spPr>
                </pic:pic>
              </a:graphicData>
            </a:graphic>
          </wp:inline>
        </w:drawing>
      </w:r>
    </w:p>
    <w:p>
      <w:pPr>
        <w:pStyle w:val="Normal"/>
        <w:spacing w:lineRule="auto" w:line="336"/>
        <w:rPr>
          <w:rFonts w:ascii="Times New Roman" w:hAnsi="Times New Roman"/>
          <w:sz w:val="24"/>
          <w:szCs w:val="28"/>
        </w:rPr>
      </w:pPr>
      <w:r>
        <w:rPr>
          <w:rFonts w:ascii="Times New Roman" w:hAnsi="Times New Roman"/>
          <w:sz w:val="24"/>
          <w:szCs w:val="28"/>
        </w:rPr>
      </w:r>
    </w:p>
    <w:p>
      <w:pPr>
        <w:pStyle w:val="Normal"/>
        <w:spacing w:lineRule="auto" w:line="336"/>
        <w:jc w:val="center"/>
        <w:rPr>
          <w:rFonts w:ascii="Times New Roman" w:hAnsi="Times New Roman"/>
          <w:sz w:val="28"/>
          <w:szCs w:val="28"/>
        </w:rPr>
      </w:pPr>
      <w:r>
        <w:rPr>
          <w:rFonts w:ascii="Times New Roman" w:hAnsi="Times New Roman"/>
          <w:sz w:val="28"/>
          <w:szCs w:val="28"/>
        </w:rPr>
        <w:t xml:space="preserve">Рисунок 2.14 – Динаміка кінцевого фінансового результату </w:t>
      </w:r>
      <w:r>
        <w:rPr>
          <w:rFonts w:eastAsia="Times New Roman" w:ascii="Times New Roman" w:hAnsi="Times New Roman"/>
          <w:sz w:val="28"/>
          <w:szCs w:val="28"/>
          <w:lang w:eastAsia="ru-RU"/>
        </w:rPr>
        <w:t>ТОВ «НЕЙЛ»</w:t>
      </w:r>
    </w:p>
    <w:p>
      <w:pPr>
        <w:pStyle w:val="Normal"/>
        <w:spacing w:lineRule="auto" w:line="336"/>
        <w:jc w:val="center"/>
        <w:rPr>
          <w:rFonts w:ascii="Times New Roman" w:hAnsi="Times New Roman"/>
          <w:sz w:val="24"/>
          <w:szCs w:val="24"/>
        </w:rPr>
      </w:pPr>
      <w:r>
        <w:rPr>
          <w:rFonts w:ascii="Times New Roman" w:hAnsi="Times New Roman"/>
          <w:sz w:val="24"/>
          <w:szCs w:val="24"/>
        </w:rPr>
      </w:r>
    </w:p>
    <w:p>
      <w:pPr>
        <w:pStyle w:val="Normal"/>
        <w:spacing w:lineRule="auto" w:line="336"/>
        <w:ind w:firstLine="737"/>
        <w:rPr>
          <w:rFonts w:ascii="Times New Roman" w:hAnsi="Times New Roman"/>
          <w:sz w:val="28"/>
          <w:szCs w:val="28"/>
        </w:rPr>
      </w:pPr>
      <w:r>
        <w:rPr>
          <w:rFonts w:ascii="Times New Roman" w:hAnsi="Times New Roman"/>
          <w:sz w:val="28"/>
          <w:szCs w:val="28"/>
        </w:rPr>
        <w:t xml:space="preserve">Отже, на </w:t>
      </w:r>
      <w:r>
        <w:rPr>
          <w:rFonts w:eastAsia="Times New Roman" w:ascii="Times New Roman" w:hAnsi="Times New Roman"/>
          <w:sz w:val="28"/>
          <w:szCs w:val="28"/>
          <w:lang w:eastAsia="ru-RU"/>
        </w:rPr>
        <w:t>ТОВ «НЕЙЛ»</w:t>
      </w:r>
      <w:r>
        <w:rPr>
          <w:rFonts w:ascii="Times New Roman" w:hAnsi="Times New Roman"/>
          <w:sz w:val="28"/>
          <w:szCs w:val="28"/>
        </w:rPr>
        <w:t xml:space="preserve"> спостерігається тенденція зростання переважної більшості показників у 2020 р. порівняно з 2010 р. Це характеризує покращення ефективності діяльність компанії, що спричинено збільшенням обсягів виробництва та реалізації цвяхів, продуктивності праці та середньомісячної заробітної плати персоналу, валового прибутку тощо. Одночасно відбувається зростання витрат підприємства, що призводить до погіршення результатів фінансової діяльності. Досить проблематичним на </w:t>
      </w:r>
      <w:r>
        <w:rPr>
          <w:rFonts w:eastAsia="Times New Roman" w:ascii="Times New Roman" w:hAnsi="Times New Roman"/>
          <w:sz w:val="28"/>
          <w:szCs w:val="28"/>
          <w:lang w:eastAsia="ru-RU"/>
        </w:rPr>
        <w:t xml:space="preserve">виробничому підприємстві є стрімке </w:t>
      </w:r>
      <w:r>
        <w:rPr>
          <w:rFonts w:ascii="Times New Roman" w:hAnsi="Times New Roman"/>
          <w:sz w:val="28"/>
          <w:szCs w:val="28"/>
        </w:rPr>
        <w:t xml:space="preserve">скорочення чисельності персоналу та зменшення матеріаловіддачі. У два останніх роки ситуація на підприємстві погіршується, адже відбувається спад як виробництва так і реалізації продукції, зменшується валовий та чистий прибуток, погіршується ефективність використання персоналу, засобів та предметів праці.  </w:t>
      </w:r>
    </w:p>
    <w:p>
      <w:pPr>
        <w:sectPr>
          <w:headerReference w:type="default" r:id="rId40"/>
          <w:footerReference w:type="default" r:id="rId41"/>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36"/>
        <w:ind w:firstLine="737"/>
        <w:rPr>
          <w:rFonts w:ascii="Times New Roman" w:hAnsi="Times New Roman"/>
          <w:sz w:val="24"/>
          <w:szCs w:val="24"/>
        </w:rPr>
      </w:pPr>
      <w:r>
        <w:rPr>
          <w:rFonts w:ascii="Times New Roman" w:hAnsi="Times New Roman"/>
          <w:sz w:val="28"/>
          <w:szCs w:val="28"/>
        </w:rPr>
        <w:t xml:space="preserve">Таким чином, аналітикам </w:t>
      </w:r>
      <w:r>
        <w:rPr>
          <w:rFonts w:eastAsia="Times New Roman" w:ascii="Times New Roman" w:hAnsi="Times New Roman"/>
          <w:sz w:val="28"/>
          <w:szCs w:val="28"/>
          <w:lang w:eastAsia="ru-RU"/>
        </w:rPr>
        <w:t>ТОВ «НЕЙЛ» варто дослідити результати господарювання за останніх десять років та розробити систему заходів для стабілізації роботи компанії у перспективі.</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2.3 Аналіз ефективності використання засобів праці </w:t>
      </w:r>
      <w:r>
        <w:rPr>
          <w:rFonts w:eastAsia="Times New Roman" w:ascii="Times New Roman" w:hAnsi="Times New Roman"/>
          <w:sz w:val="28"/>
          <w:szCs w:val="28"/>
          <w:lang w:eastAsia="ru-RU"/>
        </w:rPr>
        <w:t>виробничого підприємства</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lang w:eastAsia="uk-UA"/>
        </w:rPr>
      </w:pPr>
      <w:r>
        <w:rPr>
          <w:rFonts w:ascii="Times New Roman" w:hAnsi="Times New Roman"/>
          <w:sz w:val="28"/>
          <w:szCs w:val="28"/>
        </w:rPr>
        <w:t xml:space="preserve">Вагомим фактором нарощування обсягів виробництва цвяхів на </w:t>
      </w:r>
      <w:r>
        <w:rPr>
          <w:rFonts w:eastAsia="Times New Roman" w:ascii="Times New Roman" w:hAnsi="Times New Roman"/>
          <w:sz w:val="28"/>
          <w:szCs w:val="28"/>
          <w:lang w:eastAsia="ru-RU"/>
        </w:rPr>
        <w:t>ТОВ «НЕЙЛ»</w:t>
      </w:r>
      <w:r>
        <w:rPr>
          <w:rFonts w:ascii="Times New Roman" w:hAnsi="Times New Roman"/>
          <w:sz w:val="28"/>
          <w:szCs w:val="28"/>
        </w:rPr>
        <w:t xml:space="preserve"> є забезпеченість їх засобами праці. </w:t>
      </w:r>
      <w:r>
        <w:rPr>
          <w:rFonts w:eastAsia="Times New Roman" w:ascii="Times New Roman" w:hAnsi="Times New Roman"/>
          <w:sz w:val="28"/>
          <w:szCs w:val="28"/>
          <w:lang w:eastAsia="ru-RU"/>
        </w:rPr>
        <w:t xml:space="preserve">Виробниче підприємство повинно володіти </w:t>
      </w:r>
      <w:r>
        <w:rPr>
          <w:rFonts w:ascii="Times New Roman" w:hAnsi="Times New Roman"/>
          <w:sz w:val="28"/>
          <w:szCs w:val="28"/>
        </w:rPr>
        <w:t xml:space="preserve">основними засобами та ефективно їх використовувати.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Динаміка основних виробничих фондів </w:t>
      </w:r>
      <w:r>
        <w:rPr>
          <w:rFonts w:eastAsia="Times New Roman" w:ascii="Times New Roman" w:hAnsi="Times New Roman"/>
          <w:sz w:val="28"/>
          <w:szCs w:val="28"/>
          <w:lang w:eastAsia="ru-RU"/>
        </w:rPr>
        <w:t>ТОВ «НЕЙЛ»</w:t>
      </w:r>
      <w:r>
        <w:rPr>
          <w:rFonts w:ascii="Times New Roman" w:hAnsi="Times New Roman"/>
          <w:sz w:val="28"/>
          <w:szCs w:val="28"/>
        </w:rPr>
        <w:t xml:space="preserve"> наведена у таблиці 2.6 та 2.7.</w:t>
      </w:r>
    </w:p>
    <w:p>
      <w:pPr>
        <w:pStyle w:val="Normal"/>
        <w:spacing w:lineRule="auto" w:line="360"/>
        <w:ind w:firstLine="709"/>
        <w:rPr>
          <w:rFonts w:ascii="Times New Roman" w:hAnsi="Times New Roman"/>
          <w:sz w:val="28"/>
          <w:szCs w:val="28"/>
          <w:lang w:eastAsia="ru-RU"/>
        </w:rPr>
      </w:pPr>
      <w:r>
        <w:rPr>
          <w:rFonts w:ascii="Times New Roman" w:hAnsi="Times New Roman"/>
          <w:sz w:val="28"/>
          <w:szCs w:val="28"/>
        </w:rPr>
        <w:t xml:space="preserve">За даними таблиці 2.6 прослідковується загальна зміна вартості засобів праці, за первісною вартістю у звітному році порівняно з попереднім роком. За цей період первісна вартість основних фондів зросла на 12,18 % або на 4056 тис. грн. Одночасно у 2020 р. помітні певні зміни вартості щодо активної частини основних фондів, які в загальній вартості займають 73,12 %. На кінець звітного року вартість активної частини основних фондів зросла на 3242 тис. грн або на 14,09 %. За результатами господарської діяльності на кінець 2020 р. найбільшу частку в структурі засобів виробництва займали матеріальні активи (95,60 %), що є характерною рисою для виробничих підприємств.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У звітному році на 875 тис. грн збільшилась вартість незавершених капітальних інвестицій. Проте їх питома вага у загальній вартості основних фондів не є досить високою: 0,22 % у 2019 р. та 2,54 % у 2020 р. Тобто структура незавершених капітальних інвестицій зросла на 2,32 %. </w:t>
      </w:r>
    </w:p>
    <w:p>
      <w:pPr>
        <w:sectPr>
          <w:headerReference w:type="default" r:id="rId42"/>
          <w:footerReference w:type="default" r:id="rId43"/>
          <w:type w:val="nextPage"/>
          <w:pgSz w:w="11906" w:h="16838"/>
          <w:pgMar w:left="1701" w:right="567" w:header="709" w:top="1134" w:footer="709" w:bottom="1134" w:gutter="0"/>
          <w:pgNumType w:fmt="decimal"/>
          <w:formProt w:val="false"/>
          <w:textDirection w:val="lrTb"/>
          <w:docGrid w:type="default" w:linePitch="100" w:charSpace="0"/>
        </w:sectPr>
        <w:pStyle w:val="Normal"/>
        <w:spacing w:lineRule="auto" w:line="360"/>
        <w:ind w:firstLine="709"/>
        <w:rPr>
          <w:rFonts w:ascii="Times New Roman" w:hAnsi="Times New Roman"/>
          <w:sz w:val="28"/>
          <w:szCs w:val="28"/>
        </w:rPr>
      </w:pPr>
      <w:r>
        <w:rPr>
          <w:rFonts w:ascii="Times New Roman" w:hAnsi="Times New Roman"/>
          <w:sz w:val="28"/>
          <w:szCs w:val="28"/>
        </w:rPr>
        <w:t>У 2020 р. відбулося придбання машин та обладнання, малоцінних необоротних активів і незавершених капітальних інвестицій на суму 3253 тис. грн, 313 тис. грн та 4443 тис. грн відповідно. Одночасно  за цими статтями та за транспортними засобами  відбулося списання основних фондів на 3953 тис. грн загалом.</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t xml:space="preserve">Таблиця 2.6 – Наявність, рух та динаміка основних засобів за первісною вартістю на </w:t>
      </w:r>
      <w:r>
        <w:rPr>
          <w:rFonts w:eastAsia="Times New Roman" w:ascii="Times New Roman" w:hAnsi="Times New Roman"/>
          <w:sz w:val="28"/>
          <w:szCs w:val="28"/>
          <w:lang w:eastAsia="ru-RU"/>
        </w:rPr>
        <w:t xml:space="preserve">ТОВ «НЕЙЛ» </w:t>
      </w:r>
      <w:r>
        <w:rPr>
          <w:rFonts w:ascii="Times New Roman" w:hAnsi="Times New Roman"/>
          <w:sz w:val="28"/>
          <w:szCs w:val="28"/>
        </w:rPr>
        <w:t>у 2020 р.</w:t>
      </w:r>
    </w:p>
    <w:tbl>
      <w:tblPr>
        <w:tblW w:w="14567" w:type="dxa"/>
        <w:jc w:val="left"/>
        <w:tblInd w:w="-10" w:type="dxa"/>
        <w:tblCellMar>
          <w:top w:w="0" w:type="dxa"/>
          <w:left w:w="108" w:type="dxa"/>
          <w:bottom w:w="0" w:type="dxa"/>
          <w:right w:w="108" w:type="dxa"/>
        </w:tblCellMar>
        <w:tblLook w:firstRow="1" w:noVBand="1" w:lastRow="0" w:firstColumn="1" w:lastColumn="0" w:noHBand="0" w:val="04a0"/>
      </w:tblPr>
      <w:tblGrid>
        <w:gridCol w:w="1624"/>
        <w:gridCol w:w="1331"/>
        <w:gridCol w:w="912"/>
        <w:gridCol w:w="1331"/>
        <w:gridCol w:w="912"/>
        <w:gridCol w:w="1332"/>
        <w:gridCol w:w="912"/>
        <w:gridCol w:w="1331"/>
        <w:gridCol w:w="912"/>
        <w:gridCol w:w="1350"/>
        <w:gridCol w:w="1148"/>
        <w:gridCol w:w="1471"/>
      </w:tblGrid>
      <w:tr>
        <w:trPr>
          <w:trHeight w:val="20" w:hRule="atLeast"/>
        </w:trPr>
        <w:tc>
          <w:tcPr>
            <w:tcW w:w="1624" w:type="dxa"/>
            <w:vMerge w:val="restart"/>
            <w:tcBorders>
              <w:top w:val="single" w:sz="8" w:space="0" w:color="000000"/>
              <w:left w:val="single" w:sz="8" w:space="0" w:color="000000"/>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Основні засоби</w:t>
            </w:r>
          </w:p>
        </w:tc>
        <w:tc>
          <w:tcPr>
            <w:tcW w:w="2243" w:type="dxa"/>
            <w:gridSpan w:val="2"/>
            <w:tcBorders>
              <w:top w:val="single" w:sz="8" w:space="0" w:color="000000"/>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Наявність на початок звітного періоду:</w:t>
            </w:r>
          </w:p>
        </w:tc>
        <w:tc>
          <w:tcPr>
            <w:tcW w:w="2243" w:type="dxa"/>
            <w:gridSpan w:val="2"/>
            <w:tcBorders>
              <w:top w:val="single" w:sz="8" w:space="0" w:color="000000"/>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Надходження за звітний період</w:t>
            </w:r>
          </w:p>
        </w:tc>
        <w:tc>
          <w:tcPr>
            <w:tcW w:w="2244" w:type="dxa"/>
            <w:gridSpan w:val="2"/>
            <w:tcBorders>
              <w:top w:val="single" w:sz="8" w:space="0" w:color="000000"/>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Вибуття за звітний період</w:t>
            </w:r>
          </w:p>
        </w:tc>
        <w:tc>
          <w:tcPr>
            <w:tcW w:w="2243" w:type="dxa"/>
            <w:gridSpan w:val="2"/>
            <w:tcBorders>
              <w:top w:val="single" w:sz="8" w:space="0" w:color="000000"/>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Наявність на кінець звітного періоду</w:t>
            </w:r>
          </w:p>
        </w:tc>
        <w:tc>
          <w:tcPr>
            <w:tcW w:w="1350" w:type="dxa"/>
            <w:vMerge w:val="restart"/>
            <w:tcBorders>
              <w:top w:val="single" w:sz="8" w:space="0" w:color="000000"/>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Відхилення, тис. грн</w:t>
            </w:r>
          </w:p>
        </w:tc>
        <w:tc>
          <w:tcPr>
            <w:tcW w:w="114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 приросту, %</w:t>
            </w:r>
          </w:p>
        </w:tc>
        <w:tc>
          <w:tcPr>
            <w:tcW w:w="147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Відхилення за структурою, %</w:t>
            </w:r>
          </w:p>
        </w:tc>
      </w:tr>
      <w:tr>
        <w:trPr>
          <w:trHeight w:val="20" w:hRule="atLeast"/>
        </w:trPr>
        <w:tc>
          <w:tcPr>
            <w:tcW w:w="1624" w:type="dxa"/>
            <w:vMerge w:val="continue"/>
            <w:tcBorders>
              <w:top w:val="single" w:sz="8" w:space="0" w:color="000000"/>
              <w:left w:val="single" w:sz="8" w:space="0" w:color="000000"/>
              <w:bottom w:val="single" w:sz="8" w:space="0" w:color="000000"/>
              <w:right w:val="single" w:sz="8"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тис. грн</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тис. грн</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тис. грн</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тис. грн</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w:t>
            </w:r>
          </w:p>
        </w:tc>
        <w:tc>
          <w:tcPr>
            <w:tcW w:w="1350" w:type="dxa"/>
            <w:vMerge w:val="continue"/>
            <w:tcBorders>
              <w:top w:val="single" w:sz="8" w:space="0" w:color="000000"/>
              <w:left w:val="single" w:sz="8" w:space="0" w:color="000000"/>
              <w:bottom w:val="single" w:sz="8"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14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471"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Усього вартість необоротних активів</w:t>
            </w:r>
          </w:p>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у тому числі:</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33232</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99,78</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3566</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44,52</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385</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9,74</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36413</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97,46</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3181</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9,57</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-2,32</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Матеріальні активи:</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32721</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98,46</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3566</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100,00</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385</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100,00</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35902</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98,60</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3181</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9,72</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0,13</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будівлі, споруди </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6838</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20,90</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6838</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19,05</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-1,85</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машини та обладнання</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23011</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70,32</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3253</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91,22</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2,86</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26253</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73,12</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3242</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14,09</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2,80</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транспортні засоби</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1477</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4,51</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199</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51,69</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1278</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3,56</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-199</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-13,47</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-0,95</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малоцінні необоротні матеріальні активи</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1395</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4,26</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313</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8,78</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175</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45,45</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1533</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4,27</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9,89</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інші основні засоби</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511</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1,54</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511</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-0,13</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Незавершені капітальні інвестиції</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0,22</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bCs/>
                <w:color w:val="000000"/>
                <w:sz w:val="20"/>
                <w:szCs w:val="20"/>
                <w:lang w:eastAsia="uk-UA"/>
              </w:rPr>
            </w:pPr>
            <w:r>
              <w:rPr>
                <w:rFonts w:eastAsia="Times New Roman" w:ascii="Times New Roman" w:hAnsi="Times New Roman"/>
                <w:bCs/>
                <w:color w:val="000000"/>
                <w:sz w:val="20"/>
                <w:szCs w:val="20"/>
                <w:lang w:eastAsia="uk-UA"/>
              </w:rPr>
              <w:t>4443</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55,48</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3568</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90,26</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949</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2,54</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875</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1182,43</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2,32</w:t>
            </w:r>
          </w:p>
        </w:tc>
      </w:tr>
      <w:tr>
        <w:trPr>
          <w:trHeight w:val="20" w:hRule="atLeast"/>
        </w:trPr>
        <w:tc>
          <w:tcPr>
            <w:tcW w:w="1624" w:type="dxa"/>
            <w:tcBorders>
              <w:left w:val="single" w:sz="8" w:space="0" w:color="000000"/>
              <w:bottom w:val="single" w:sz="8" w:space="0" w:color="000000"/>
              <w:right w:val="single" w:sz="8" w:space="0" w:color="000000"/>
            </w:tcBorders>
            <w:shd w:color="000000" w:fill="FFFFFF"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Усього</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33306</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100,00</w:t>
            </w:r>
          </w:p>
        </w:tc>
        <w:tc>
          <w:tcPr>
            <w:tcW w:w="1331"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8009</w:t>
            </w:r>
          </w:p>
        </w:tc>
        <w:tc>
          <w:tcPr>
            <w:tcW w:w="912" w:type="dxa"/>
            <w:tcBorders>
              <w:bottom w:val="single" w:sz="8" w:space="0" w:color="000000"/>
              <w:right w:val="single" w:sz="8" w:space="0" w:color="000000"/>
            </w:tcBorders>
            <w:shd w:color="000000" w:fill="FFFFFF"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133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3953</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1331"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37362</w:t>
            </w:r>
          </w:p>
        </w:tc>
        <w:tc>
          <w:tcPr>
            <w:tcW w:w="912" w:type="dxa"/>
            <w:tcBorders>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1350"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4056</w:t>
            </w:r>
          </w:p>
        </w:tc>
        <w:tc>
          <w:tcPr>
            <w:tcW w:w="1148"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12,18</w:t>
            </w:r>
          </w:p>
        </w:tc>
        <w:tc>
          <w:tcPr>
            <w:tcW w:w="14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r>
    </w:tbl>
    <w:p>
      <w:p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r>
    </w:p>
    <w:p>
      <w:pPr>
        <w:sectPr>
          <w:headerReference w:type="default" r:id="rId44"/>
          <w:footerReference w:type="default" r:id="rId45"/>
          <w:type w:val="nextPage"/>
          <w:pgSz w:orient="landscape" w:w="16838" w:h="11906"/>
          <w:pgMar w:left="1134" w:right="1134" w:header="709" w:top="1701" w:footer="709" w:bottom="766" w:gutter="0"/>
          <w:pgNumType w:fmt="decimal"/>
          <w:formProt w:val="false"/>
          <w:textDirection w:val="lrTb"/>
          <w:docGrid w:type="default" w:linePitch="299" w:charSpace="0"/>
        </w:sect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r>
    </w:p>
    <w:p>
      <w:p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t xml:space="preserve">Таблиця 2.7 – Наявність, рух та динаміка основних засобів за залишковою вартістю на </w:t>
      </w:r>
      <w:r>
        <w:rPr>
          <w:rFonts w:eastAsia="Times New Roman" w:ascii="Times New Roman" w:hAnsi="Times New Roman"/>
          <w:sz w:val="28"/>
          <w:szCs w:val="28"/>
          <w:lang w:eastAsia="ru-RU"/>
        </w:rPr>
        <w:t xml:space="preserve">ТОВ «НЕЙЛ» </w:t>
      </w:r>
      <w:r>
        <w:rPr>
          <w:rFonts w:ascii="Times New Roman" w:hAnsi="Times New Roman"/>
          <w:sz w:val="28"/>
          <w:szCs w:val="28"/>
        </w:rPr>
        <w:t>у 2020 р.</w:t>
      </w:r>
    </w:p>
    <w:tbl>
      <w:tblPr>
        <w:tblW w:w="14570" w:type="dxa"/>
        <w:jc w:val="left"/>
        <w:tblInd w:w="-10" w:type="dxa"/>
        <w:tblCellMar>
          <w:top w:w="0" w:type="dxa"/>
          <w:left w:w="108" w:type="dxa"/>
          <w:bottom w:w="0" w:type="dxa"/>
          <w:right w:w="108" w:type="dxa"/>
        </w:tblCellMar>
        <w:tblLook w:firstRow="1" w:noVBand="1" w:lastRow="0" w:firstColumn="1" w:lastColumn="0" w:noHBand="0" w:val="04a0"/>
      </w:tblPr>
      <w:tblGrid>
        <w:gridCol w:w="1720"/>
        <w:gridCol w:w="2066"/>
        <w:gridCol w:w="1701"/>
        <w:gridCol w:w="1"/>
        <w:gridCol w:w="2065"/>
        <w:gridCol w:w="1700"/>
        <w:gridCol w:w="3"/>
        <w:gridCol w:w="2063"/>
        <w:gridCol w:w="1700"/>
        <w:gridCol w:w="5"/>
        <w:gridCol w:w="1544"/>
      </w:tblGrid>
      <w:tr>
        <w:trPr>
          <w:trHeight w:val="20" w:hRule="atLeast"/>
        </w:trPr>
        <w:tc>
          <w:tcPr>
            <w:tcW w:w="1720" w:type="dxa"/>
            <w:vMerge w:val="restart"/>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Основні засоби</w:t>
            </w:r>
          </w:p>
        </w:tc>
        <w:tc>
          <w:tcPr>
            <w:tcW w:w="3768"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Залишкова вартість на початок</w:t>
            </w:r>
          </w:p>
        </w:tc>
        <w:tc>
          <w:tcPr>
            <w:tcW w:w="3768"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Залишкова вартість на кінець</w:t>
            </w:r>
          </w:p>
        </w:tc>
        <w:tc>
          <w:tcPr>
            <w:tcW w:w="3768"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Амортизація за рік</w:t>
            </w:r>
          </w:p>
        </w:tc>
        <w:tc>
          <w:tcPr>
            <w:tcW w:w="154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Первісна вартість активів, на які повністю нарахована амортизація</w:t>
            </w:r>
          </w:p>
        </w:tc>
      </w:tr>
      <w:tr>
        <w:trPr>
          <w:trHeight w:val="20" w:hRule="atLeast"/>
        </w:trPr>
        <w:tc>
          <w:tcPr>
            <w:tcW w:w="172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 xml:space="preserve">абсолютне </w:t>
            </w:r>
          </w:p>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значення, тис. грн</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питома вага,%</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 xml:space="preserve">абсолютне </w:t>
            </w:r>
          </w:p>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значення, тис. грн</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питома вага,%</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 xml:space="preserve">абсолютне </w:t>
            </w:r>
          </w:p>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значення, тис. грн</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питома вага,%</w:t>
            </w:r>
          </w:p>
        </w:tc>
        <w:tc>
          <w:tcPr>
            <w:tcW w:w="1549"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 xml:space="preserve">Усього вартість необоротних активів </w:t>
            </w:r>
          </w:p>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у тому числі:</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11413</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99,36</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11535</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92,40</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4663</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100,00</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7890</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Матеріальні активи:</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11380</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99,71</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11532</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99,97</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4633</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99,36</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7406</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 xml:space="preserve">будівлі та споруди </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3251</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28,57</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3020</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26,19</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231</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4,99</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190</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машини та обладнання</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8036</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70,62</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8474</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74,48</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2815</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60,76</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4521</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транспортні засоби</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93</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0,82</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38</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0,33</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54</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1,17</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1162</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інші основні засоби</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1533</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33,09</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1533</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Нематеріальні активи</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33</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0,29</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0,03</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30</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0,64</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484</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Незавершені капітальні інвестиції</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74</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0,65</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949</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7,60</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w:t>
            </w:r>
          </w:p>
        </w:tc>
      </w:tr>
      <w:tr>
        <w:trPr>
          <w:trHeight w:val="20" w:hRule="atLeast"/>
        </w:trPr>
        <w:tc>
          <w:tcPr>
            <w:tcW w:w="1720"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Усього</w:t>
            </w:r>
          </w:p>
        </w:tc>
        <w:tc>
          <w:tcPr>
            <w:tcW w:w="20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11487</w:t>
            </w:r>
          </w:p>
        </w:tc>
        <w:tc>
          <w:tcPr>
            <w:tcW w:w="170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100,00</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12484</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100,00</w:t>
            </w:r>
          </w:p>
        </w:tc>
        <w:tc>
          <w:tcPr>
            <w:tcW w:w="20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4663</w:t>
            </w:r>
          </w:p>
        </w:tc>
        <w:tc>
          <w:tcPr>
            <w:tcW w:w="17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100,00</w:t>
            </w:r>
          </w:p>
        </w:tc>
        <w:tc>
          <w:tcPr>
            <w:tcW w:w="154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0"/>
                <w:lang w:eastAsia="uk-UA"/>
              </w:rPr>
            </w:pPr>
            <w:r>
              <w:rPr>
                <w:rFonts w:eastAsia="Times New Roman" w:ascii="Times New Roman" w:hAnsi="Times New Roman"/>
                <w:color w:val="000000"/>
                <w:sz w:val="24"/>
                <w:szCs w:val="20"/>
                <w:lang w:eastAsia="uk-UA"/>
              </w:rPr>
              <w:t>7890</w:t>
            </w:r>
          </w:p>
        </w:tc>
      </w:tr>
    </w:tbl>
    <w:p>
      <w:pPr>
        <w:sectPr>
          <w:headerReference w:type="default" r:id="rId46"/>
          <w:footerReference w:type="default" r:id="rId47"/>
          <w:type w:val="nextPage"/>
          <w:pgSz w:orient="landscape" w:w="16838" w:h="11906"/>
          <w:pgMar w:left="1134" w:right="1134" w:header="709" w:top="766" w:footer="709" w:bottom="1701" w:gutter="0"/>
          <w:pgNumType w:fmt="decimal"/>
          <w:formProt w:val="false"/>
          <w:textDirection w:val="lrTb"/>
          <w:docGrid w:type="default" w:linePitch="299" w:charSpace="0"/>
        </w:sectPr>
        <w:pStyle w:val="Normal"/>
        <w:shd w:val="clear" w:color="auto" w:fill="FFFFFF"/>
        <w:spacing w:lineRule="auto" w:line="360"/>
        <w:ind w:firstLine="709"/>
        <w:rPr>
          <w:rFonts w:ascii="Times New Roman" w:hAnsi="Times New Roman"/>
          <w:sz w:val="18"/>
          <w:szCs w:val="28"/>
        </w:rPr>
      </w:pPr>
      <w:r>
        <w:rPr>
          <w:rFonts w:ascii="Times New Roman" w:hAnsi="Times New Roman"/>
          <w:sz w:val="18"/>
          <w:szCs w:val="28"/>
        </w:rPr>
      </w:r>
    </w:p>
    <w:p>
      <w:p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t xml:space="preserve">Зміна залишкової вартості засобів праці подана у таблиці 2.7. </w:t>
      </w:r>
      <w:r>
        <w:rPr>
          <w:rFonts w:eastAsia="Times New Roman" w:ascii="Times New Roman" w:hAnsi="Times New Roman"/>
          <w:sz w:val="28"/>
          <w:szCs w:val="28"/>
          <w:lang w:eastAsia="ru-RU"/>
        </w:rPr>
        <w:t>У</w:t>
      </w:r>
      <w:r>
        <w:rPr>
          <w:rFonts w:ascii="Times New Roman" w:hAnsi="Times New Roman"/>
          <w:sz w:val="28"/>
          <w:szCs w:val="28"/>
        </w:rPr>
        <w:t xml:space="preserve"> 2020 р. спостерігались коливання залишкової вартості основних фондів за рахунок вартості необоротних активів, що в загальній вартості становлять 92,40 %. Їх питома вага зменшилась на 6,96 % за одночасного зростання питомої ваги незавершених капітальних інвестицій на 6,95 %. </w:t>
      </w:r>
    </w:p>
    <w:p>
      <w:pPr>
        <w:pStyle w:val="Normal"/>
        <w:shd w:val="clear" w:color="auto" w:fill="FFFFFF"/>
        <w:spacing w:lineRule="auto" w:line="360"/>
        <w:ind w:firstLine="709"/>
        <w:rPr>
          <w:rFonts w:ascii="Times New Roman" w:hAnsi="Times New Roman"/>
          <w:sz w:val="28"/>
          <w:szCs w:val="28"/>
        </w:rPr>
      </w:pPr>
      <w:r>
        <w:rPr>
          <w:rFonts w:ascii="Times New Roman" w:hAnsi="Times New Roman"/>
          <w:sz w:val="28"/>
          <w:szCs w:val="28"/>
        </w:rPr>
        <w:t>У структурі необоротних активів найбільшу питому вагу займають матеріальні активи (99,71 % у 2019 р. та 99,97 % у 2020 р.) Протягом звітного року вона майже не змінилась – зросла лише на 0,26 %.</w:t>
      </w:r>
    </w:p>
    <w:p>
      <w:pPr>
        <w:pStyle w:val="13"/>
        <w:rPr/>
      </w:pPr>
      <w:r>
        <w:rPr/>
        <w:t xml:space="preserve">Наступна таблиця 2.8 характеризує зрушення в межах структурних елементів засобів праці ТОВ «НЕЙЛ» з 2010 р. </w:t>
      </w:r>
      <w:r>
        <w:rPr>
          <w:lang w:val="ru-RU"/>
        </w:rPr>
        <w:t xml:space="preserve">по </w:t>
      </w:r>
      <w:r>
        <w:rPr/>
        <w:t>2020 р.</w:t>
      </w:r>
    </w:p>
    <w:p>
      <w:pPr>
        <w:pStyle w:val="Normal"/>
        <w:spacing w:lineRule="auto" w:line="360"/>
        <w:ind w:firstLine="709"/>
        <w:rPr>
          <w:rFonts w:ascii="Times New Roman" w:hAnsi="Times New Roman"/>
          <w:sz w:val="28"/>
          <w:szCs w:val="28"/>
          <w:lang w:eastAsia="uk-UA"/>
        </w:rPr>
      </w:pPr>
      <w:r>
        <w:rPr>
          <w:rFonts w:ascii="Times New Roman" w:hAnsi="Times New Roman"/>
          <w:sz w:val="28"/>
          <w:szCs w:val="28"/>
        </w:rPr>
        <w:t xml:space="preserve">Відповідно до даних таблиці 2.8, у структурі основних фондів переважають машини та обладнання (61,12 % у 2010 р. та 73,12 % у 2020 р.), будівлі, споруди (23,23 % у 2010 р. та 19,05 % у 2015 р.) та транспортні засоби (12,85 % у 2010 р. та 3,56 % у 2020 р.). Зазначена тенденція зберігається впродовж усього досліджуваного періоду, що позитивно характеризує склад основних фондів на </w:t>
      </w:r>
      <w:r>
        <w:rPr>
          <w:rFonts w:eastAsia="Times New Roman" w:ascii="Times New Roman" w:hAnsi="Times New Roman"/>
          <w:sz w:val="28"/>
          <w:szCs w:val="28"/>
          <w:lang w:eastAsia="ru-RU"/>
        </w:rPr>
        <w:t>ТОВ «НЕЙЛ»</w:t>
      </w:r>
      <w:r>
        <w:rPr>
          <w:rFonts w:ascii="Times New Roman" w:hAnsi="Times New Roman"/>
          <w:sz w:val="28"/>
          <w:szCs w:val="28"/>
        </w:rPr>
        <w:t>. Протягом аналізованого періоду відбувається скорочення питомої ваги будівель та споруд і транспортних засобів у загальній вартості основних фондів. Це наочно видно на рисунках з 2.15 по 2.19 та у таблиці 2.9.</w:t>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lang w:eastAsia="ru-RU"/>
        </w:rPr>
      </w:pPr>
      <w:r>
        <w:rPr/>
        <w:drawing>
          <wp:inline distT="0" distB="0" distL="0" distR="0">
            <wp:extent cx="5514975" cy="2409825"/>
            <wp:effectExtent l="0" t="0" r="0" b="0"/>
            <wp:docPr id="16" name="Рисунок 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61" descr=""/>
                    <pic:cNvPicPr>
                      <a:picLocks noChangeAspect="1" noChangeArrowheads="1"/>
                    </pic:cNvPicPr>
                  </pic:nvPicPr>
                  <pic:blipFill>
                    <a:blip r:embed="rId48"/>
                    <a:stretch>
                      <a:fillRect/>
                    </a:stretch>
                  </pic:blipFill>
                  <pic:spPr bwMode="auto">
                    <a:xfrm>
                      <a:off x="0" y="0"/>
                      <a:ext cx="5514975" cy="2409825"/>
                    </a:xfrm>
                    <a:prstGeom prst="rect">
                      <a:avLst/>
                    </a:prstGeom>
                  </pic:spPr>
                </pic:pic>
              </a:graphicData>
            </a:graphic>
          </wp:inline>
        </w:drawing>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sectPr>
          <w:headerReference w:type="default" r:id="rId49"/>
          <w:footerReference w:type="default" r:id="rId50"/>
          <w:type w:val="nextPage"/>
          <w:pgSz w:w="11906" w:h="16838"/>
          <w:pgMar w:left="1701" w:right="567" w:header="709" w:top="1134" w:footer="709" w:bottom="1134" w:gutter="0"/>
          <w:pgNumType w:fmt="decimal"/>
          <w:formProt w:val="false"/>
          <w:textDirection w:val="lrTb"/>
          <w:docGrid w:type="default" w:linePitch="100" w:charSpace="0"/>
        </w:sectPr>
        <w:pStyle w:val="Normal"/>
        <w:spacing w:lineRule="auto" w:line="360"/>
        <w:jc w:val="center"/>
        <w:rPr>
          <w:rFonts w:ascii="Times New Roman" w:hAnsi="Times New Roman"/>
          <w:lang w:eastAsia="ru-RU"/>
        </w:rPr>
      </w:pPr>
      <w:r>
        <w:rPr>
          <w:rFonts w:ascii="Times New Roman" w:hAnsi="Times New Roman"/>
          <w:sz w:val="28"/>
          <w:szCs w:val="28"/>
          <w:lang w:eastAsia="ru-RU"/>
        </w:rPr>
        <w:t xml:space="preserve">Рисунок 2.15 </w:t>
      </w:r>
      <w:r>
        <w:rPr>
          <w:rFonts w:ascii="Times New Roman" w:hAnsi="Times New Roman"/>
          <w:sz w:val="28"/>
          <w:szCs w:val="28"/>
        </w:rPr>
        <w:t>– Структура основних фондів у 2016 р.</w:t>
      </w:r>
    </w:p>
    <w:p>
      <w:pPr>
        <w:pStyle w:val="13"/>
        <w:rPr/>
      </w:pPr>
      <w:r>
        <w:rPr/>
        <w:t>Таблиця 2.8 – Склад та структура основних фондів ТОВ «НЕЙЛ» на кінець звітного періоду за первісною вартістю</w:t>
      </w:r>
    </w:p>
    <w:tbl>
      <w:tblPr>
        <w:tblW w:w="14573" w:type="dxa"/>
        <w:jc w:val="left"/>
        <w:tblInd w:w="-10" w:type="dxa"/>
        <w:tblCellMar>
          <w:top w:w="0" w:type="dxa"/>
          <w:left w:w="108" w:type="dxa"/>
          <w:bottom w:w="0" w:type="dxa"/>
          <w:right w:w="108" w:type="dxa"/>
        </w:tblCellMar>
        <w:tblLook w:firstRow="1" w:noVBand="1" w:lastRow="0" w:firstColumn="1" w:lastColumn="0" w:noHBand="0" w:val="04a0"/>
      </w:tblPr>
      <w:tblGrid>
        <w:gridCol w:w="1356"/>
        <w:gridCol w:w="666"/>
        <w:gridCol w:w="531"/>
        <w:gridCol w:w="666"/>
        <w:gridCol w:w="530"/>
        <w:gridCol w:w="666"/>
        <w:gridCol w:w="531"/>
        <w:gridCol w:w="666"/>
        <w:gridCol w:w="530"/>
        <w:gridCol w:w="666"/>
        <w:gridCol w:w="530"/>
        <w:gridCol w:w="666"/>
        <w:gridCol w:w="531"/>
        <w:gridCol w:w="666"/>
        <w:gridCol w:w="530"/>
        <w:gridCol w:w="666"/>
        <w:gridCol w:w="531"/>
        <w:gridCol w:w="666"/>
        <w:gridCol w:w="530"/>
        <w:gridCol w:w="666"/>
        <w:gridCol w:w="531"/>
        <w:gridCol w:w="709"/>
        <w:gridCol w:w="541"/>
      </w:tblGrid>
      <w:tr>
        <w:trPr>
          <w:trHeight w:val="20" w:hRule="atLeast"/>
        </w:trPr>
        <w:tc>
          <w:tcPr>
            <w:tcW w:w="1356"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Показники</w:t>
            </w:r>
          </w:p>
        </w:tc>
        <w:tc>
          <w:tcPr>
            <w:tcW w:w="13215" w:type="dxa"/>
            <w:gridSpan w:val="2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Рік</w:t>
            </w:r>
          </w:p>
        </w:tc>
      </w:tr>
      <w:tr>
        <w:trPr>
          <w:trHeight w:val="20" w:hRule="atLeast"/>
        </w:trPr>
        <w:tc>
          <w:tcPr>
            <w:tcW w:w="135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197"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2010</w:t>
            </w:r>
          </w:p>
        </w:tc>
        <w:tc>
          <w:tcPr>
            <w:tcW w:w="1196"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2011</w:t>
            </w:r>
          </w:p>
        </w:tc>
        <w:tc>
          <w:tcPr>
            <w:tcW w:w="1197"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2012</w:t>
            </w:r>
          </w:p>
        </w:tc>
        <w:tc>
          <w:tcPr>
            <w:tcW w:w="1196"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2013</w:t>
            </w:r>
          </w:p>
        </w:tc>
        <w:tc>
          <w:tcPr>
            <w:tcW w:w="1196"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2014</w:t>
            </w:r>
          </w:p>
        </w:tc>
        <w:tc>
          <w:tcPr>
            <w:tcW w:w="119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2015</w:t>
            </w:r>
          </w:p>
        </w:tc>
        <w:tc>
          <w:tcPr>
            <w:tcW w:w="119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2016</w:t>
            </w:r>
          </w:p>
        </w:tc>
        <w:tc>
          <w:tcPr>
            <w:tcW w:w="119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2017</w:t>
            </w:r>
          </w:p>
        </w:tc>
        <w:tc>
          <w:tcPr>
            <w:tcW w:w="1196" w:type="dxa"/>
            <w:gridSpan w:val="2"/>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2018</w:t>
            </w:r>
          </w:p>
        </w:tc>
        <w:tc>
          <w:tcPr>
            <w:tcW w:w="119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2019</w:t>
            </w:r>
          </w:p>
        </w:tc>
        <w:tc>
          <w:tcPr>
            <w:tcW w:w="125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2020</w:t>
            </w:r>
          </w:p>
        </w:tc>
      </w:tr>
      <w:tr>
        <w:trPr>
          <w:trHeight w:val="1394" w:hRule="atLeast"/>
          <w:cantSplit w:val="true"/>
        </w:trPr>
        <w:tc>
          <w:tcPr>
            <w:tcW w:w="135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1"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1"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1"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1"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1"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709"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41" w:type="dxa"/>
            <w:tcBorders>
              <w:top w:val="single" w:sz="4" w:space="0" w:color="000000"/>
              <w:left w:val="single" w:sz="4" w:space="0" w:color="000000"/>
              <w:bottom w:val="single" w:sz="4" w:space="0" w:color="000000"/>
              <w:right w:val="single" w:sz="4" w:space="0" w:color="000000"/>
            </w:tcBorders>
            <w:shd w:color="auto" w:fill="auto" w:val="clear"/>
            <w:textDirection w:val="btLr"/>
            <w:vAlign w:val="bottom"/>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Будівлі та споруди </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3255</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23,2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3580</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22,2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4574</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4678</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6407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36,8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6386</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35,2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6637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6609</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26,3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6637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20,6</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6838</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20,9</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6 838</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19,1</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Машини та обладнання</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8564</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8980</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55,8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9527</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9890</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58,3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8935</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51,4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10218</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15251</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62,6</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15781</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62,7</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22691</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70,3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23011</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70,3</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26 253</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73,1</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Транспортні засоби</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1801</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12,9</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3256</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2665</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15,8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2211</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1312</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7,5</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1339</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1339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5,5</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1522</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1438</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4,5</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1477</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4,5</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1278</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3,6</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Інструменти, прилади, інвентар, меблі</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174</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198</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0,9</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200</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0,7</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Інші основні засоби</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392</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290</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128</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190</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23</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921</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1064</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1317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1395</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4,3</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1533</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4,3</w:t>
            </w:r>
          </w:p>
        </w:tc>
      </w:tr>
      <w:tr>
        <w:trPr>
          <w:trHeight w:val="20" w:hRule="atLeast"/>
        </w:trPr>
        <w:tc>
          <w:tcPr>
            <w:tcW w:w="13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Разом</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14012</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16106</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16894</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16969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17397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18164</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24357</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25176</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32292</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32721</w:t>
            </w:r>
          </w:p>
        </w:tc>
        <w:tc>
          <w:tcPr>
            <w:tcW w:w="53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c>
          <w:tcPr>
            <w:tcW w:w="7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35902</w:t>
            </w:r>
          </w:p>
        </w:tc>
        <w:tc>
          <w:tcPr>
            <w:tcW w:w="5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w:t>
            </w:r>
          </w:p>
        </w:tc>
      </w:tr>
    </w:tbl>
    <w:p>
      <w:pPr>
        <w:pStyle w:val="Normal"/>
        <w:spacing w:lineRule="auto" w:line="276"/>
        <w:rPr>
          <w:rFonts w:ascii="Times New Roman" w:hAnsi="Times New Roman"/>
          <w:sz w:val="24"/>
          <w:szCs w:val="28"/>
          <w:lang w:eastAsia="ru-RU"/>
        </w:rPr>
      </w:pPr>
      <w:r>
        <w:rPr>
          <w:rFonts w:ascii="Times New Roman" w:hAnsi="Times New Roman"/>
          <w:sz w:val="24"/>
          <w:szCs w:val="28"/>
          <w:lang w:eastAsia="ru-RU"/>
        </w:rPr>
      </w:r>
    </w:p>
    <w:p>
      <w:pPr>
        <w:pStyle w:val="Normal"/>
        <w:spacing w:lineRule="auto" w:line="360"/>
        <w:ind w:firstLine="709"/>
        <w:rPr>
          <w:rFonts w:ascii="Times New Roman" w:hAnsi="Times New Roman"/>
          <w:sz w:val="28"/>
          <w:szCs w:val="28"/>
          <w:lang w:eastAsia="ru-RU"/>
        </w:rPr>
      </w:pPr>
      <w:r>
        <w:rPr>
          <w:rFonts w:ascii="Times New Roman" w:hAnsi="Times New Roman"/>
          <w:sz w:val="28"/>
          <w:szCs w:val="28"/>
          <w:lang w:eastAsia="ru-RU"/>
        </w:rPr>
        <w:t xml:space="preserve">Таблиця 2.9 </w:t>
      </w:r>
      <w:r>
        <w:rPr>
          <w:rFonts w:ascii="Times New Roman" w:hAnsi="Times New Roman"/>
          <w:sz w:val="28"/>
          <w:szCs w:val="28"/>
        </w:rPr>
        <w:t xml:space="preserve">– Абсолютне відхилення щодо складу і структури основних фондів </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3276"/>
        <w:gridCol w:w="596"/>
        <w:gridCol w:w="517"/>
        <w:gridCol w:w="2"/>
        <w:gridCol w:w="564"/>
        <w:gridCol w:w="517"/>
        <w:gridCol w:w="1"/>
        <w:gridCol w:w="564"/>
        <w:gridCol w:w="517"/>
        <w:gridCol w:w="2"/>
        <w:gridCol w:w="639"/>
        <w:gridCol w:w="566"/>
        <w:gridCol w:w="1"/>
        <w:gridCol w:w="640"/>
        <w:gridCol w:w="517"/>
        <w:gridCol w:w="3"/>
        <w:gridCol w:w="638"/>
        <w:gridCol w:w="517"/>
        <w:gridCol w:w="5"/>
        <w:gridCol w:w="503"/>
        <w:gridCol w:w="522"/>
        <w:gridCol w:w="5"/>
        <w:gridCol w:w="637"/>
        <w:gridCol w:w="517"/>
        <w:gridCol w:w="6"/>
        <w:gridCol w:w="606"/>
        <w:gridCol w:w="517"/>
        <w:gridCol w:w="7"/>
        <w:gridCol w:w="634"/>
        <w:gridCol w:w="530"/>
      </w:tblGrid>
      <w:tr>
        <w:trPr>
          <w:trHeight w:val="20" w:hRule="atLeast"/>
        </w:trPr>
        <w:tc>
          <w:tcPr>
            <w:tcW w:w="3276"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Показники</w:t>
            </w:r>
          </w:p>
        </w:tc>
        <w:tc>
          <w:tcPr>
            <w:tcW w:w="11290" w:type="dxa"/>
            <w:gridSpan w:val="29"/>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Абсолютне відхилення за роками</w:t>
            </w:r>
          </w:p>
        </w:tc>
      </w:tr>
      <w:tr>
        <w:trPr>
          <w:trHeight w:val="20" w:hRule="atLeast"/>
        </w:trPr>
        <w:tc>
          <w:tcPr>
            <w:tcW w:w="3276"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115"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2011-2010</w:t>
            </w:r>
          </w:p>
        </w:tc>
        <w:tc>
          <w:tcPr>
            <w:tcW w:w="1082"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2012-2011</w:t>
            </w:r>
          </w:p>
        </w:tc>
        <w:tc>
          <w:tcPr>
            <w:tcW w:w="1083"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2013-2012</w:t>
            </w:r>
          </w:p>
        </w:tc>
        <w:tc>
          <w:tcPr>
            <w:tcW w:w="1206"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2014-2013</w:t>
            </w:r>
          </w:p>
        </w:tc>
        <w:tc>
          <w:tcPr>
            <w:tcW w:w="1160"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2015-2014</w:t>
            </w:r>
          </w:p>
        </w:tc>
        <w:tc>
          <w:tcPr>
            <w:tcW w:w="1160"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2016-2015</w:t>
            </w:r>
          </w:p>
        </w:tc>
        <w:tc>
          <w:tcPr>
            <w:tcW w:w="1030"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2017-2016</w:t>
            </w:r>
          </w:p>
        </w:tc>
        <w:tc>
          <w:tcPr>
            <w:tcW w:w="1160"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2018-2017</w:t>
            </w:r>
          </w:p>
        </w:tc>
        <w:tc>
          <w:tcPr>
            <w:tcW w:w="1130"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2019-2018</w:t>
            </w:r>
          </w:p>
        </w:tc>
        <w:tc>
          <w:tcPr>
            <w:tcW w:w="1164"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2020-2019</w:t>
            </w:r>
          </w:p>
        </w:tc>
      </w:tr>
      <w:tr>
        <w:trPr>
          <w:trHeight w:val="1376" w:hRule="atLeast"/>
          <w:cantSplit w:val="true"/>
        </w:trPr>
        <w:tc>
          <w:tcPr>
            <w:tcW w:w="327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59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66"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22"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17"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Абсолютна сума, тис. грн</w:t>
            </w:r>
          </w:p>
        </w:tc>
        <w:tc>
          <w:tcPr>
            <w:tcW w:w="530" w:type="dxa"/>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Будівлі та споруди </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325</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994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4,8</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0,5</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1729</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9,3</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-21</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-1,7</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251</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-7,9</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-5,7</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0,3</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Машини та обладнання</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416</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-5,4</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547</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0,6</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363</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-955</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- 6,9</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1 283</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4,9</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5033</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6,4</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530</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6910</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320</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3 242</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Транспортні засоби</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1455</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-591</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-4,4</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-454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- 899</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-5,5</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-0,2</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183</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0,5</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-1,6</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39</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-199</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Інструменти, прилади, інвентар, меблі</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174</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-0,2</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- 209</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-0,6</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Інші основні засоби</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-102</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-162</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62</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0,4</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379</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2,2</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-546</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-3,1</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898</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3,7</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143</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0,4</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253</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78</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0,2</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138</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w:t>
            </w:r>
          </w:p>
        </w:tc>
      </w:tr>
      <w:tr>
        <w:trPr>
          <w:trHeight w:val="20" w:hRule="atLeast"/>
        </w:trPr>
        <w:tc>
          <w:tcPr>
            <w:tcW w:w="32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Разом</w:t>
            </w:r>
          </w:p>
        </w:tc>
        <w:tc>
          <w:tcPr>
            <w:tcW w:w="5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2094</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788</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6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75</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428</w:t>
            </w:r>
          </w:p>
        </w:tc>
        <w:tc>
          <w:tcPr>
            <w:tcW w:w="5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767</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6 193</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50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819</w:t>
            </w:r>
          </w:p>
        </w:tc>
        <w:tc>
          <w:tcPr>
            <w:tcW w:w="52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7 116</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12"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429</w:t>
            </w:r>
          </w:p>
        </w:tc>
        <w:tc>
          <w:tcPr>
            <w:tcW w:w="5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c>
          <w:tcPr>
            <w:tcW w:w="641"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3 181</w:t>
            </w:r>
          </w:p>
        </w:tc>
        <w:tc>
          <w:tcPr>
            <w:tcW w:w="53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w:t>
            </w:r>
          </w:p>
        </w:tc>
      </w:tr>
    </w:tbl>
    <w:p>
      <w:pPr>
        <w:sectPr>
          <w:headerReference w:type="default" r:id="rId51"/>
          <w:footerReference w:type="default" r:id="rId52"/>
          <w:type w:val="nextPage"/>
          <w:pgSz w:orient="landscape" w:w="16838" w:h="11906"/>
          <w:pgMar w:left="1134" w:right="1134" w:header="709" w:top="1701" w:footer="709" w:bottom="766" w:gutter="0"/>
          <w:pgNumType w:fmt="decimal"/>
          <w:formProt w:val="false"/>
          <w:textDirection w:val="lrTb"/>
          <w:docGrid w:type="default" w:linePitch="299" w:charSpace="0"/>
        </w:sectPr>
        <w:pStyle w:val="Normal"/>
        <w:rPr>
          <w:lang w:eastAsia="ru-RU"/>
        </w:rPr>
      </w:pPr>
      <w:r>
        <w:rPr>
          <w:lang w:eastAsia="ru-RU"/>
        </w:rPr>
      </w:r>
    </w:p>
    <w:p>
      <w:pPr>
        <w:pStyle w:val="Normal"/>
        <w:spacing w:lineRule="auto" w:line="360"/>
        <w:jc w:val="center"/>
        <w:rPr>
          <w:rFonts w:ascii="Times New Roman" w:hAnsi="Times New Roman"/>
          <w:sz w:val="28"/>
          <w:szCs w:val="28"/>
          <w:lang w:eastAsia="ru-RU"/>
        </w:rPr>
      </w:pPr>
      <w:r>
        <w:rPr/>
        <w:drawing>
          <wp:inline distT="0" distB="0" distL="0" distR="0">
            <wp:extent cx="5143500" cy="2165985"/>
            <wp:effectExtent l="0" t="0" r="0" b="0"/>
            <wp:docPr id="17" name="Рисунок 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51" descr=""/>
                    <pic:cNvPicPr>
                      <a:picLocks noChangeAspect="1" noChangeArrowheads="1"/>
                    </pic:cNvPicPr>
                  </pic:nvPicPr>
                  <pic:blipFill>
                    <a:blip r:embed="rId53"/>
                    <a:stretch>
                      <a:fillRect/>
                    </a:stretch>
                  </pic:blipFill>
                  <pic:spPr bwMode="auto">
                    <a:xfrm>
                      <a:off x="0" y="0"/>
                      <a:ext cx="5143500" cy="2165985"/>
                    </a:xfrm>
                    <a:prstGeom prst="rect">
                      <a:avLst/>
                    </a:prstGeom>
                  </pic:spPr>
                </pic:pic>
              </a:graphicData>
            </a:graphic>
          </wp:inline>
        </w:drawing>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rPr>
      </w:pPr>
      <w:r>
        <w:rPr>
          <w:rFonts w:ascii="Times New Roman" w:hAnsi="Times New Roman"/>
          <w:sz w:val="28"/>
          <w:szCs w:val="28"/>
          <w:lang w:eastAsia="ru-RU"/>
        </w:rPr>
        <w:t xml:space="preserve">Рисунок 2.16 </w:t>
      </w:r>
      <w:r>
        <w:rPr>
          <w:rFonts w:ascii="Times New Roman" w:hAnsi="Times New Roman"/>
          <w:sz w:val="28"/>
          <w:szCs w:val="28"/>
        </w:rPr>
        <w:t>– Структура основних фондів у 2017 р.</w:t>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lang w:eastAsia="ru-RU"/>
        </w:rPr>
      </w:pPr>
      <w:r>
        <w:rPr/>
        <w:drawing>
          <wp:inline distT="0" distB="0" distL="0" distR="0">
            <wp:extent cx="5067300" cy="2053590"/>
            <wp:effectExtent l="0" t="0" r="0" b="0"/>
            <wp:docPr id="18" name="Рисунок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52" descr=""/>
                    <pic:cNvPicPr>
                      <a:picLocks noChangeAspect="1" noChangeArrowheads="1"/>
                    </pic:cNvPicPr>
                  </pic:nvPicPr>
                  <pic:blipFill>
                    <a:blip r:embed="rId54"/>
                    <a:stretch>
                      <a:fillRect/>
                    </a:stretch>
                  </pic:blipFill>
                  <pic:spPr bwMode="auto">
                    <a:xfrm>
                      <a:off x="0" y="0"/>
                      <a:ext cx="5067300" cy="2053590"/>
                    </a:xfrm>
                    <a:prstGeom prst="rect">
                      <a:avLst/>
                    </a:prstGeom>
                  </pic:spPr>
                </pic:pic>
              </a:graphicData>
            </a:graphic>
          </wp:inline>
        </w:drawing>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rPr>
      </w:pPr>
      <w:r>
        <w:rPr>
          <w:rFonts w:ascii="Times New Roman" w:hAnsi="Times New Roman"/>
          <w:sz w:val="28"/>
          <w:szCs w:val="28"/>
          <w:lang w:eastAsia="ru-RU"/>
        </w:rPr>
        <w:t xml:space="preserve">Рисунок 2.17 </w:t>
      </w:r>
      <w:r>
        <w:rPr>
          <w:rFonts w:ascii="Times New Roman" w:hAnsi="Times New Roman"/>
          <w:sz w:val="28"/>
          <w:szCs w:val="28"/>
        </w:rPr>
        <w:t>– Структура основних фондів у 2018 р.</w:t>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lang w:eastAsia="ru-RU"/>
        </w:rPr>
      </w:pPr>
      <w:r>
        <w:rPr/>
        <w:drawing>
          <wp:inline distT="0" distB="0" distL="0" distR="0">
            <wp:extent cx="5105400" cy="2005330"/>
            <wp:effectExtent l="0" t="0" r="0" b="0"/>
            <wp:docPr id="19" name="Рисунок 5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56" descr=""/>
                    <pic:cNvPicPr>
                      <a:picLocks noChangeAspect="1" noChangeArrowheads="1"/>
                    </pic:cNvPicPr>
                  </pic:nvPicPr>
                  <pic:blipFill>
                    <a:blip r:embed="rId55"/>
                    <a:stretch>
                      <a:fillRect/>
                    </a:stretch>
                  </pic:blipFill>
                  <pic:spPr bwMode="auto">
                    <a:xfrm>
                      <a:off x="0" y="0"/>
                      <a:ext cx="5105400" cy="2005330"/>
                    </a:xfrm>
                    <a:prstGeom prst="rect">
                      <a:avLst/>
                    </a:prstGeom>
                  </pic:spPr>
                </pic:pic>
              </a:graphicData>
            </a:graphic>
          </wp:inline>
        </w:drawing>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rPr>
      </w:pPr>
      <w:r>
        <w:rPr>
          <w:rFonts w:ascii="Times New Roman" w:hAnsi="Times New Roman"/>
          <w:sz w:val="28"/>
          <w:szCs w:val="28"/>
          <w:lang w:eastAsia="ru-RU"/>
        </w:rPr>
        <w:t xml:space="preserve">Рисунок 2.18 </w:t>
      </w:r>
      <w:r>
        <w:rPr>
          <w:rFonts w:ascii="Times New Roman" w:hAnsi="Times New Roman"/>
          <w:sz w:val="28"/>
          <w:szCs w:val="28"/>
        </w:rPr>
        <w:t>– Структура основних фондів у 2019 р.</w:t>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lang w:eastAsia="ru-RU"/>
        </w:rPr>
      </w:pPr>
      <w:r>
        <w:rPr/>
        <w:drawing>
          <wp:inline distT="0" distB="0" distL="0" distR="0">
            <wp:extent cx="5334000" cy="2197735"/>
            <wp:effectExtent l="0" t="0" r="0" b="0"/>
            <wp:docPr id="20" name="Рисунок 6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60" descr=""/>
                    <pic:cNvPicPr>
                      <a:picLocks noChangeAspect="1" noChangeArrowheads="1"/>
                    </pic:cNvPicPr>
                  </pic:nvPicPr>
                  <pic:blipFill>
                    <a:blip r:embed="rId56"/>
                    <a:stretch>
                      <a:fillRect/>
                    </a:stretch>
                  </pic:blipFill>
                  <pic:spPr bwMode="auto">
                    <a:xfrm>
                      <a:off x="0" y="0"/>
                      <a:ext cx="5334000" cy="2197735"/>
                    </a:xfrm>
                    <a:prstGeom prst="rect">
                      <a:avLst/>
                    </a:prstGeom>
                  </pic:spPr>
                </pic:pic>
              </a:graphicData>
            </a:graphic>
          </wp:inline>
        </w:drawing>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rPr>
      </w:pPr>
      <w:r>
        <w:rPr>
          <w:rFonts w:ascii="Times New Roman" w:hAnsi="Times New Roman"/>
          <w:sz w:val="28"/>
          <w:szCs w:val="28"/>
          <w:lang w:eastAsia="ru-RU"/>
        </w:rPr>
        <w:t xml:space="preserve">Рисунок 2.19 </w:t>
      </w:r>
      <w:r>
        <w:rPr>
          <w:rFonts w:ascii="Times New Roman" w:hAnsi="Times New Roman"/>
          <w:sz w:val="28"/>
          <w:szCs w:val="28"/>
        </w:rPr>
        <w:t>– Структура основних фондів у 2020 р.</w:t>
      </w:r>
    </w:p>
    <w:p>
      <w:pPr>
        <w:pStyle w:val="Normal"/>
        <w:spacing w:lineRule="auto" w:line="360"/>
        <w:jc w:val="center"/>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ind w:firstLine="709"/>
        <w:rPr>
          <w:rFonts w:ascii="Times New Roman" w:hAnsi="Times New Roman"/>
          <w:sz w:val="28"/>
          <w:szCs w:val="28"/>
          <w:lang w:eastAsia="ru-RU"/>
        </w:rPr>
      </w:pPr>
      <w:r>
        <w:rPr>
          <w:rFonts w:ascii="Times New Roman" w:hAnsi="Times New Roman"/>
          <w:sz w:val="28"/>
          <w:szCs w:val="28"/>
          <w:lang w:eastAsia="ru-RU"/>
        </w:rPr>
        <w:t xml:space="preserve">Отже, графічне зображення зміни структури </w:t>
      </w:r>
      <w:r>
        <w:rPr>
          <w:rFonts w:ascii="Times New Roman" w:hAnsi="Times New Roman"/>
          <w:sz w:val="28"/>
          <w:szCs w:val="28"/>
        </w:rPr>
        <w:t xml:space="preserve">основних фондів доводить, що впродовж останніх п’яти років суттєвих змін не відбулося. Це вказує на досить сприятливі умови щодо забезпечення підприємства засобами праці. </w:t>
      </w:r>
    </w:p>
    <w:p>
      <w:pPr>
        <w:pStyle w:val="Normal"/>
        <w:spacing w:lineRule="auto" w:line="360"/>
        <w:ind w:firstLine="709"/>
        <w:rPr>
          <w:rFonts w:ascii="Times New Roman" w:hAnsi="Times New Roman"/>
          <w:sz w:val="28"/>
          <w:szCs w:val="28"/>
          <w:lang w:eastAsia="ru-RU"/>
        </w:rPr>
      </w:pPr>
      <w:r>
        <w:rPr>
          <w:rFonts w:ascii="Times New Roman" w:hAnsi="Times New Roman"/>
          <w:sz w:val="28"/>
          <w:szCs w:val="28"/>
          <w:lang w:eastAsia="ru-RU"/>
        </w:rPr>
        <w:t>За даними таблиці 2.9 видно, що у 2011 р, з 2015 р. по 2018 р. та у 2020 р. скорочується питома вага будівель та споруд. Лише у 2011 р. та 2014 р. зменшується питома вага машин та устаткування, а в усі інші періоди вона зростає. Це позитивно характеризує структуру засобів праці виробничого підприємства. З 2012 р. по 2016 р., у 2018 р. та у 2020 р. уповільнюється структура транспортних засобів, що пояснюється нарахуванням амортизації та списанням їх незначної частини.</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Аналіз динаміки складу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 xml:space="preserve"> з 2010 р. по 2020 р. проведемо за даними таблиць 2.10 та 2.11.</w:t>
      </w:r>
    </w:p>
    <w:p>
      <w:pPr>
        <w:pStyle w:val="Normal"/>
        <w:spacing w:lineRule="auto" w:line="360"/>
        <w:ind w:firstLine="709"/>
        <w:rPr>
          <w:rFonts w:ascii="Times New Roman" w:hAnsi="Times New Roman"/>
          <w:sz w:val="28"/>
          <w:szCs w:val="28"/>
          <w:lang w:eastAsia="uk-UA"/>
        </w:rPr>
      </w:pPr>
      <w:r>
        <w:rPr>
          <w:rFonts w:ascii="Times New Roman" w:hAnsi="Times New Roman"/>
          <w:sz w:val="28"/>
          <w:szCs w:val="28"/>
        </w:rPr>
        <w:t xml:space="preserve">З 2010 р. по 2020 р. відбувається коливання вартості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 xml:space="preserve"> (рисунок 2.20).</w:t>
      </w:r>
    </w:p>
    <w:p>
      <w:pPr>
        <w:pStyle w:val="Normal"/>
        <w:spacing w:lineRule="auto" w:line="360"/>
        <w:ind w:firstLine="709"/>
        <w:rPr>
          <w:rFonts w:ascii="Times New Roman" w:hAnsi="Times New Roman"/>
          <w:sz w:val="28"/>
          <w:szCs w:val="28"/>
        </w:rPr>
      </w:pPr>
      <w:r>
        <w:rPr>
          <w:rFonts w:ascii="Times New Roman" w:hAnsi="Times New Roman"/>
          <w:sz w:val="28"/>
          <w:szCs w:val="28"/>
        </w:rPr>
        <w:t>За даними поданих таблиць 2.10 та 2.11 і згідно рисунка 2.20 прослідковується коливання вартості основних виробничих фондів як загалом так і за структурою. Зокрема, вартість будівель і споруд зменшується лише у 2015 р. на 0,33 %, у 2017 р. на 0,42 %, а у всі інші періоди вона зростає або залишається незмінною у звітному році порівняно з попереднім роком.</w:t>
      </w:r>
    </w:p>
    <w:p>
      <w:pPr>
        <w:sectPr>
          <w:headerReference w:type="default" r:id="rId57"/>
          <w:footerReference w:type="default" r:id="rId58"/>
          <w:type w:val="nextPage"/>
          <w:pgSz w:w="11906" w:h="16838"/>
          <w:pgMar w:left="1701" w:right="567" w:header="709" w:top="1134" w:footer="709" w:bottom="1134" w:gutter="0"/>
          <w:pgNumType w:fmt="decimal"/>
          <w:formProt w:val="false"/>
          <w:textDirection w:val="lrTb"/>
          <w:docGrid w:type="default" w:linePitch="100" w:charSpace="0"/>
        </w:sect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Таблиця 2.10 – Абсолютне значення вартості засобів праці за їх основними групами за первісною вартістю</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4564"/>
        <w:gridCol w:w="898"/>
        <w:gridCol w:w="897"/>
        <w:gridCol w:w="898"/>
        <w:gridCol w:w="897"/>
        <w:gridCol w:w="898"/>
        <w:gridCol w:w="897"/>
        <w:gridCol w:w="898"/>
        <w:gridCol w:w="897"/>
        <w:gridCol w:w="898"/>
        <w:gridCol w:w="963"/>
        <w:gridCol w:w="964"/>
      </w:tblGrid>
      <w:tr>
        <w:trPr>
          <w:trHeight w:val="20" w:hRule="atLeast"/>
        </w:trPr>
        <w:tc>
          <w:tcPr>
            <w:tcW w:w="4564"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Показники</w:t>
            </w:r>
          </w:p>
        </w:tc>
        <w:tc>
          <w:tcPr>
            <w:tcW w:w="10005" w:type="dxa"/>
            <w:gridSpan w:val="11"/>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Рік</w:t>
            </w:r>
          </w:p>
        </w:tc>
      </w:tr>
      <w:tr>
        <w:trPr>
          <w:trHeight w:val="20" w:hRule="atLeast"/>
        </w:trPr>
        <w:tc>
          <w:tcPr>
            <w:tcW w:w="4564"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2010</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2011</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2012</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2013</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2014</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2015</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2016</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2017</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2018</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2019</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2020</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 xml:space="preserve">Будівлі, споруди </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3255</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3580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4574</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4678</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6407</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6386</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6637</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6609</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6637</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6838</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6838</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Машини та обладнання</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8564</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8980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9527</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9890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8935</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10218</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15251</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15781</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22691</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23011</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26253</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Транспортні засоби</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1801</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3256</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2665</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2211</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1312</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1339</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1339</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1522</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1438</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1477</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1278</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Інструменти, прилади, інвентар, меблі</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174</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198</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209</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209</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Інші основні засоби</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392</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290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128</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190</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569</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23</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921</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1064</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1317</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1395</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1533</w:t>
            </w:r>
          </w:p>
        </w:tc>
      </w:tr>
      <w:tr>
        <w:trPr>
          <w:trHeight w:val="20" w:hRule="atLeast"/>
        </w:trPr>
        <w:tc>
          <w:tcPr>
            <w:tcW w:w="4564"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Разом</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14012</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16106</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16894</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16969</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17397</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18164</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24357</w:t>
            </w:r>
          </w:p>
        </w:tc>
        <w:tc>
          <w:tcPr>
            <w:tcW w:w="89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25176</w:t>
            </w:r>
          </w:p>
        </w:tc>
        <w:tc>
          <w:tcPr>
            <w:tcW w:w="89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32292</w:t>
            </w:r>
          </w:p>
        </w:tc>
        <w:tc>
          <w:tcPr>
            <w:tcW w:w="96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32 721</w:t>
            </w:r>
          </w:p>
        </w:tc>
        <w:tc>
          <w:tcPr>
            <w:tcW w:w="96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35 902</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Таблиця 2.11 – Динаміка складу засобів праці підприємства за первісною вартістю</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4413"/>
        <w:gridCol w:w="887"/>
        <w:gridCol w:w="887"/>
        <w:gridCol w:w="888"/>
        <w:gridCol w:w="932"/>
        <w:gridCol w:w="887"/>
        <w:gridCol w:w="1121"/>
        <w:gridCol w:w="823"/>
        <w:gridCol w:w="823"/>
        <w:gridCol w:w="1016"/>
        <w:gridCol w:w="951"/>
        <w:gridCol w:w="941"/>
      </w:tblGrid>
      <w:tr>
        <w:trPr>
          <w:trHeight w:val="20" w:hRule="atLeast"/>
        </w:trPr>
        <w:tc>
          <w:tcPr>
            <w:tcW w:w="4413"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Показники</w:t>
            </w:r>
          </w:p>
        </w:tc>
        <w:tc>
          <w:tcPr>
            <w:tcW w:w="10156" w:type="dxa"/>
            <w:gridSpan w:val="11"/>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Темпи приросту за роками, %</w:t>
            </w:r>
          </w:p>
        </w:tc>
      </w:tr>
      <w:tr>
        <w:trPr>
          <w:trHeight w:val="20" w:hRule="atLeast"/>
        </w:trPr>
        <w:tc>
          <w:tcPr>
            <w:tcW w:w="4413"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2011/</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2010</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2012/</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2011</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2013/</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2012</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2014/</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2013</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2015/</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2014</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2016/</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2015</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2017/</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2016</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2018/</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2017</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2019/</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2018</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2020/</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2019</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2020/</w:t>
            </w:r>
          </w:p>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2010</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Будівлі, споруди</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9,98</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27,77</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2,27</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36,96</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-0,33</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3,93</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-0,42</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0,42</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3,03</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110,08</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Машини та обладнання</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4,86</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6,09</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3,81</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-9,66</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14,36</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49,26</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3,48</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43,79</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1,41</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14,09</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206,55</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Транспортні засоби</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80,79</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-18,15</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-17,04</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-40,66</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2,06</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13,67</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- 5,52</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2,71</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- 13,47</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-29,04</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Інструменти, прилади, інвентар, меблі</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13,79</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5,56</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- 4,31</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4,50</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-100,00</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Інші основні засоби</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-26,02</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-55,86</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48,44</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199,47</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-95,96</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3 904,35</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15,53</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23,78</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5,92</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9,89</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291,07</w:t>
            </w:r>
          </w:p>
        </w:tc>
      </w:tr>
      <w:tr>
        <w:trPr>
          <w:trHeight w:val="20" w:hRule="atLeast"/>
        </w:trPr>
        <w:tc>
          <w:tcPr>
            <w:tcW w:w="4413" w:type="dxa"/>
            <w:tcBorders>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Разом</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14,94</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4,89</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0,44</w:t>
            </w:r>
          </w:p>
        </w:tc>
        <w:tc>
          <w:tcPr>
            <w:tcW w:w="9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2,52</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4,41</w:t>
            </w:r>
          </w:p>
        </w:tc>
        <w:tc>
          <w:tcPr>
            <w:tcW w:w="112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34,09</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3,36</w:t>
            </w:r>
          </w:p>
        </w:tc>
        <w:tc>
          <w:tcPr>
            <w:tcW w:w="82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28,27</w:t>
            </w:r>
          </w:p>
        </w:tc>
        <w:tc>
          <w:tcPr>
            <w:tcW w:w="10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1,33</w:t>
            </w:r>
          </w:p>
        </w:tc>
        <w:tc>
          <w:tcPr>
            <w:tcW w:w="95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9,72</w:t>
            </w:r>
          </w:p>
        </w:tc>
        <w:tc>
          <w:tcPr>
            <w:tcW w:w="94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156,22</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sectPr>
          <w:headerReference w:type="default" r:id="rId59"/>
          <w:footerReference w:type="default" r:id="rId60"/>
          <w:type w:val="nextPage"/>
          <w:pgSz w:orient="landscape" w:w="16838" w:h="11906"/>
          <w:pgMar w:left="1134" w:right="1134" w:header="709" w:top="766" w:footer="709" w:bottom="1701" w:gutter="0"/>
          <w:pgNumType w:fmt="decimal"/>
          <w:formProt w:val="false"/>
          <w:textDirection w:val="lrTb"/>
          <w:docGrid w:type="default" w:linePitch="299" w:charSpace="0"/>
        </w:sect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jc w:val="center"/>
        <w:rPr/>
      </w:pPr>
      <w:r>
        <w:rPr/>
        <w:drawing>
          <wp:inline distT="0" distB="0" distL="0" distR="0">
            <wp:extent cx="6120130" cy="2133600"/>
            <wp:effectExtent l="0" t="0" r="0" b="0"/>
            <wp:docPr id="21" name="Рисунок 4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45" descr=""/>
                    <pic:cNvPicPr>
                      <a:picLocks noChangeAspect="1" noChangeArrowheads="1"/>
                    </pic:cNvPicPr>
                  </pic:nvPicPr>
                  <pic:blipFill>
                    <a:blip r:embed="rId61"/>
                    <a:stretch>
                      <a:fillRect/>
                    </a:stretch>
                  </pic:blipFill>
                  <pic:spPr bwMode="auto">
                    <a:xfrm>
                      <a:off x="0" y="0"/>
                      <a:ext cx="6120130" cy="2133600"/>
                    </a:xfrm>
                    <a:prstGeom prst="rect">
                      <a:avLst/>
                    </a:prstGeom>
                  </pic:spPr>
                </pic:pic>
              </a:graphicData>
            </a:graphic>
          </wp:inline>
        </w:drawing>
      </w:r>
    </w:p>
    <w:p>
      <w:pPr>
        <w:pStyle w:val="Normal"/>
        <w:spacing w:lineRule="auto" w:line="360"/>
        <w:ind w:firstLine="851"/>
        <w:rPr>
          <w:rFonts w:ascii="Times New Roman" w:hAnsi="Times New Roman"/>
          <w:sz w:val="28"/>
        </w:rPr>
      </w:pPr>
      <w:r>
        <w:rPr>
          <w:rFonts w:ascii="Times New Roman" w:hAnsi="Times New Roman"/>
          <w:sz w:val="28"/>
        </w:rPr>
      </w:r>
    </w:p>
    <w:p>
      <w:pPr>
        <w:pStyle w:val="Normal"/>
        <w:spacing w:lineRule="auto" w:line="360"/>
        <w:jc w:val="center"/>
        <w:rPr>
          <w:rFonts w:ascii="Times New Roman" w:hAnsi="Times New Roman"/>
          <w:sz w:val="28"/>
          <w:szCs w:val="28"/>
          <w:lang w:val="ru-RU"/>
        </w:rPr>
      </w:pPr>
      <w:r>
        <w:rPr>
          <w:rFonts w:ascii="Times New Roman" w:hAnsi="Times New Roman"/>
          <w:sz w:val="28"/>
          <w:szCs w:val="28"/>
        </w:rPr>
        <w:t xml:space="preserve">Рисунок 2.20 – Динаміка вартості основних фондів на </w:t>
      </w:r>
      <w:r>
        <w:rPr>
          <w:rFonts w:eastAsia="Times New Roman" w:ascii="Times New Roman" w:hAnsi="Times New Roman"/>
          <w:sz w:val="28"/>
          <w:szCs w:val="28"/>
          <w:lang w:eastAsia="ru-RU"/>
        </w:rPr>
        <w:t>ТОВ «НЕЙЛ»</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Здебільшого скорочується вартість транспортних засобів з 2012 р. по 2014 р на 18,15 %, 17,04 % та 40,66 % відповідно, у 2018 р. на 5,52 % та у 2020 р. на 13,47 %, що пов’язано з нарахуванням амортизації та списанням частини транспортних засобів. Вартість машин та обладнання переважно зростала, за виключенням 2014 р., коли вона зменшилась на 9,66 %. Це позитивно характеризує склад засобів праці, адже вказує на зростання активної їх частини, яка безпосередньо приймає участь у виробництві цвяхів. Динаміка їх зміни за залишковою вартістю подана у таблиці 2.12.</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Таблиця 2.12 – Динаміка вартості засобів праці та їх активної частини </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2042"/>
        <w:gridCol w:w="632"/>
        <w:gridCol w:w="632"/>
        <w:gridCol w:w="633"/>
        <w:gridCol w:w="633"/>
        <w:gridCol w:w="633"/>
        <w:gridCol w:w="633"/>
        <w:gridCol w:w="679"/>
        <w:gridCol w:w="633"/>
        <w:gridCol w:w="678"/>
        <w:gridCol w:w="679"/>
        <w:gridCol w:w="819"/>
        <w:gridCol w:w="4"/>
        <w:gridCol w:w="307"/>
      </w:tblGrid>
      <w:tr>
        <w:trPr>
          <w:trHeight w:val="20" w:hRule="atLeast"/>
        </w:trPr>
        <w:tc>
          <w:tcPr>
            <w:tcW w:w="2042" w:type="dxa"/>
            <w:vMerge w:val="restart"/>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Показники</w:t>
            </w:r>
          </w:p>
        </w:tc>
        <w:tc>
          <w:tcPr>
            <w:tcW w:w="7288" w:type="dxa"/>
            <w:gridSpan w:val="1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Рік</w:t>
            </w:r>
          </w:p>
        </w:tc>
        <w:tc>
          <w:tcPr>
            <w:tcW w:w="307" w:type="dxa"/>
            <w:tcBorders>
              <w:top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w:t>
            </w:r>
          </w:p>
        </w:tc>
      </w:tr>
      <w:tr>
        <w:trPr>
          <w:trHeight w:val="20" w:hRule="atLeast"/>
        </w:trPr>
        <w:tc>
          <w:tcPr>
            <w:tcW w:w="2042"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632"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2010</w:t>
            </w:r>
          </w:p>
        </w:tc>
        <w:tc>
          <w:tcPr>
            <w:tcW w:w="632"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2011</w:t>
            </w:r>
          </w:p>
        </w:tc>
        <w:tc>
          <w:tcPr>
            <w:tcW w:w="633"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2012</w:t>
            </w:r>
          </w:p>
        </w:tc>
        <w:tc>
          <w:tcPr>
            <w:tcW w:w="633"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2013</w:t>
            </w:r>
          </w:p>
        </w:tc>
        <w:tc>
          <w:tcPr>
            <w:tcW w:w="633"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2014</w:t>
            </w:r>
          </w:p>
        </w:tc>
        <w:tc>
          <w:tcPr>
            <w:tcW w:w="633"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2015</w:t>
            </w:r>
          </w:p>
        </w:tc>
        <w:tc>
          <w:tcPr>
            <w:tcW w:w="679"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2016</w:t>
            </w:r>
          </w:p>
        </w:tc>
        <w:tc>
          <w:tcPr>
            <w:tcW w:w="633"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2017</w:t>
            </w:r>
          </w:p>
        </w:tc>
        <w:tc>
          <w:tcPr>
            <w:tcW w:w="678"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2018</w:t>
            </w:r>
          </w:p>
        </w:tc>
        <w:tc>
          <w:tcPr>
            <w:tcW w:w="679"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2019</w:t>
            </w:r>
          </w:p>
        </w:tc>
        <w:tc>
          <w:tcPr>
            <w:tcW w:w="819" w:type="dxa"/>
            <w:tcBorders>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w:t>
            </w:r>
          </w:p>
        </w:tc>
        <w:tc>
          <w:tcPr>
            <w:tcW w:w="311"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r>
        <w:trPr>
          <w:trHeight w:val="20" w:hRule="atLeast"/>
        </w:trPr>
        <w:tc>
          <w:tcPr>
            <w:tcW w:w="2042" w:type="dxa"/>
            <w:tcBorders>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Вартість засобів праці,</w:t>
            </w:r>
          </w:p>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 </w:t>
            </w:r>
            <w:r>
              <w:rPr>
                <w:rFonts w:eastAsia="Times New Roman" w:ascii="Times New Roman" w:hAnsi="Times New Roman"/>
                <w:color w:val="000000"/>
                <w:sz w:val="18"/>
                <w:szCs w:val="18"/>
                <w:lang w:eastAsia="uk-UA"/>
              </w:rPr>
              <w:t xml:space="preserve">у т.ч.: </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6907</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8249</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8179</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7380</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7323</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7250</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11290</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9871</w:t>
            </w:r>
          </w:p>
        </w:tc>
        <w:tc>
          <w:tcPr>
            <w:tcW w:w="67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14004</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11380</w:t>
            </w:r>
          </w:p>
        </w:tc>
        <w:tc>
          <w:tcPr>
            <w:tcW w:w="81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11532,2</w:t>
            </w:r>
          </w:p>
        </w:tc>
        <w:tc>
          <w:tcPr>
            <w:tcW w:w="311"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w:t>
            </w:r>
          </w:p>
        </w:tc>
      </w:tr>
      <w:tr>
        <w:trPr>
          <w:trHeight w:val="20" w:hRule="atLeast"/>
        </w:trPr>
        <w:tc>
          <w:tcPr>
            <w:tcW w:w="2042" w:type="dxa"/>
            <w:tcBorders>
              <w:left w:val="single" w:sz="4" w:space="0" w:color="000000"/>
              <w:bottom w:val="single" w:sz="4" w:space="0" w:color="000000"/>
              <w:right w:val="single" w:sz="4" w:space="0" w:color="000000"/>
            </w:tcBorders>
            <w:shd w:color="auto" w:fill="auto" w:val="clear"/>
            <w:vAlign w:val="bottom"/>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 </w:t>
            </w:r>
            <w:r>
              <w:rPr>
                <w:rFonts w:eastAsia="Times New Roman" w:ascii="Times New Roman" w:hAnsi="Times New Roman"/>
                <w:color w:val="000000"/>
                <w:sz w:val="18"/>
                <w:szCs w:val="18"/>
                <w:lang w:eastAsia="uk-UA"/>
              </w:rPr>
              <w:t xml:space="preserve">активної частини </w:t>
            </w:r>
          </w:p>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основних фондів (ОФ)</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5109</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6267</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5903</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5263</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4313</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4613</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7690</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6784</w:t>
            </w:r>
          </w:p>
        </w:tc>
        <w:tc>
          <w:tcPr>
            <w:tcW w:w="67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10464</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8517</w:t>
            </w:r>
          </w:p>
        </w:tc>
        <w:tc>
          <w:tcPr>
            <w:tcW w:w="81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8843</w:t>
            </w:r>
          </w:p>
        </w:tc>
        <w:tc>
          <w:tcPr>
            <w:tcW w:w="311"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w:t>
            </w:r>
          </w:p>
        </w:tc>
      </w:tr>
      <w:tr>
        <w:trPr>
          <w:trHeight w:val="20" w:hRule="atLeast"/>
        </w:trPr>
        <w:tc>
          <w:tcPr>
            <w:tcW w:w="2042" w:type="dxa"/>
            <w:tcBorders>
              <w:left w:val="single" w:sz="4" w:space="0" w:color="000000"/>
              <w:bottom w:val="single" w:sz="4" w:space="0" w:color="000000"/>
              <w:right w:val="single" w:sz="4" w:space="0" w:color="000000"/>
            </w:tcBorders>
            <w:shd w:color="auto" w:fill="auto" w:val="clear"/>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Питома вага </w:t>
            </w:r>
          </w:p>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активної частини ОФ</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73,97</w:t>
            </w:r>
          </w:p>
        </w:tc>
        <w:tc>
          <w:tcPr>
            <w:tcW w:w="63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75,97</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72,17</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71,31</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58,90</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63,63</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68,11</w:t>
            </w:r>
          </w:p>
        </w:tc>
        <w:tc>
          <w:tcPr>
            <w:tcW w:w="633"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68,73</w:t>
            </w:r>
          </w:p>
        </w:tc>
        <w:tc>
          <w:tcPr>
            <w:tcW w:w="67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74,72</w:t>
            </w:r>
          </w:p>
        </w:tc>
        <w:tc>
          <w:tcPr>
            <w:tcW w:w="67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74,84</w:t>
            </w:r>
          </w:p>
        </w:tc>
        <w:tc>
          <w:tcPr>
            <w:tcW w:w="819"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76,68</w:t>
            </w:r>
          </w:p>
        </w:tc>
        <w:tc>
          <w:tcPr>
            <w:tcW w:w="311"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Продовження таблиці 2.12</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383"/>
        <w:gridCol w:w="815"/>
        <w:gridCol w:w="816"/>
        <w:gridCol w:w="887"/>
        <w:gridCol w:w="888"/>
        <w:gridCol w:w="815"/>
        <w:gridCol w:w="816"/>
        <w:gridCol w:w="887"/>
        <w:gridCol w:w="816"/>
        <w:gridCol w:w="888"/>
        <w:gridCol w:w="815"/>
        <w:gridCol w:w="811"/>
      </w:tblGrid>
      <w:tr>
        <w:trPr>
          <w:trHeight w:val="20" w:hRule="atLeast"/>
        </w:trPr>
        <w:tc>
          <w:tcPr>
            <w:tcW w:w="383" w:type="dxa"/>
            <w:vMerge w:val="restart"/>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9254" w:type="dxa"/>
            <w:gridSpan w:val="11"/>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Темпи приросту за роками, %</w:t>
            </w:r>
          </w:p>
        </w:tc>
      </w:tr>
      <w:tr>
        <w:trPr>
          <w:trHeight w:val="20" w:hRule="atLeast"/>
        </w:trPr>
        <w:tc>
          <w:tcPr>
            <w:tcW w:w="383" w:type="dxa"/>
            <w:vMerge w:val="continue"/>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r>
      <w:tr>
        <w:trPr>
          <w:trHeight w:val="20" w:hRule="atLeast"/>
        </w:trPr>
        <w:tc>
          <w:tcPr>
            <w:tcW w:w="383"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19,43</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-0,85</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-9,77</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-0,77</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55,72</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-12,57</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41,87</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-18,74</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66,96</w:t>
            </w:r>
          </w:p>
        </w:tc>
      </w:tr>
      <w:tr>
        <w:trPr>
          <w:trHeight w:val="20" w:hRule="atLeast"/>
        </w:trPr>
        <w:tc>
          <w:tcPr>
            <w:tcW w:w="383"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22,66</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-5,81</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-10,84</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-18,04</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66,70</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-11,78</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54,24</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-18,61</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3,84</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73,08</w:t>
            </w:r>
          </w:p>
        </w:tc>
      </w:tr>
      <w:tr>
        <w:trPr>
          <w:trHeight w:val="20" w:hRule="atLeast"/>
        </w:trPr>
        <w:tc>
          <w:tcPr>
            <w:tcW w:w="383"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-5,01</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-17,40</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8,02</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7,05</w:t>
            </w:r>
          </w:p>
        </w:tc>
        <w:tc>
          <w:tcPr>
            <w:tcW w:w="887"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8,72</w:t>
            </w:r>
          </w:p>
        </w:tc>
        <w:tc>
          <w:tcPr>
            <w:tcW w:w="888"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0,16</w:t>
            </w:r>
          </w:p>
        </w:tc>
        <w:tc>
          <w:tcPr>
            <w:tcW w:w="8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2,47</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3,67</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з 2010 р. по 2020 р. на </w:t>
      </w:r>
      <w:r>
        <w:rPr>
          <w:rFonts w:eastAsia="Times New Roman" w:ascii="Times New Roman" w:hAnsi="Times New Roman"/>
          <w:sz w:val="28"/>
          <w:szCs w:val="28"/>
          <w:lang w:eastAsia="ru-RU"/>
        </w:rPr>
        <w:t>ТОВ «НЕЙЛ»</w:t>
      </w:r>
      <w:r>
        <w:rPr>
          <w:rFonts w:ascii="Times New Roman" w:hAnsi="Times New Roman"/>
          <w:sz w:val="28"/>
          <w:szCs w:val="28"/>
        </w:rPr>
        <w:t xml:space="preserve"> зростає як загальна вартість основних фондів на 66,96 % так і їх активна частина на 73,08 %, що позитивно характеризує технічний стан засобів праці підприємства. Зменшення вартості фондів спостерігається лише у 2012 р. на 0,85 %, у наступних три роки на 9,77 %, на 0,77 % та на 1,0 % відповідно, у 2017 р. на 12,57 % та у 2019 р. на 18,74 %. Аналогічні зміни відбулися і щодо активної їх частини за залишковою вартістю. </w:t>
      </w:r>
    </w:p>
    <w:p>
      <w:pPr>
        <w:pStyle w:val="Normal"/>
        <w:spacing w:lineRule="auto" w:line="360"/>
        <w:ind w:firstLine="709"/>
        <w:rPr>
          <w:rFonts w:ascii="Times New Roman" w:hAnsi="Times New Roman"/>
        </w:rPr>
      </w:pPr>
      <w:r>
        <w:rPr>
          <w:rFonts w:ascii="Times New Roman" w:hAnsi="Times New Roman"/>
          <w:sz w:val="28"/>
          <w:szCs w:val="28"/>
        </w:rPr>
        <w:t xml:space="preserve">Наступним етапом аналізу є оцінка динаміки структури основних фондів за первісною вартістю </w:t>
      </w:r>
      <w:r>
        <w:rPr>
          <w:rFonts w:eastAsia="Times New Roman" w:ascii="Times New Roman" w:hAnsi="Times New Roman"/>
          <w:sz w:val="28"/>
          <w:szCs w:val="28"/>
          <w:lang w:eastAsia="ru-RU"/>
        </w:rPr>
        <w:t>ТОВ «НЕЙЛ»</w:t>
      </w:r>
      <w:r>
        <w:rPr>
          <w:rFonts w:ascii="Times New Roman" w:hAnsi="Times New Roman"/>
          <w:sz w:val="28"/>
          <w:szCs w:val="28"/>
        </w:rPr>
        <w:t xml:space="preserve"> (таблиця 2.13).</w:t>
      </w:r>
    </w:p>
    <w:p>
      <w:pPr>
        <w:pStyle w:val="Normal"/>
        <w:spacing w:lineRule="auto" w:line="360"/>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 xml:space="preserve">Таблиця 2.13 - Динаміка структури основних фондів </w:t>
      </w:r>
      <w:r>
        <w:rPr>
          <w:rFonts w:eastAsia="Times New Roman" w:ascii="Times New Roman" w:hAnsi="Times New Roman"/>
          <w:sz w:val="28"/>
          <w:szCs w:val="28"/>
          <w:lang w:eastAsia="ru-RU"/>
        </w:rPr>
        <w:t>ТОВ «НЕЙЛ»</w:t>
      </w:r>
    </w:p>
    <w:tbl>
      <w:tblPr>
        <w:tblW w:w="9637" w:type="dxa"/>
        <w:jc w:val="left"/>
        <w:tblInd w:w="-5" w:type="dxa"/>
        <w:tblCellMar>
          <w:top w:w="0" w:type="dxa"/>
          <w:left w:w="108" w:type="dxa"/>
          <w:bottom w:w="0" w:type="dxa"/>
          <w:right w:w="108" w:type="dxa"/>
        </w:tblCellMar>
        <w:tblLook w:firstRow="1" w:noVBand="1" w:lastRow="0" w:firstColumn="1" w:lastColumn="0" w:noHBand="0" w:val="04a0"/>
      </w:tblPr>
      <w:tblGrid>
        <w:gridCol w:w="1510"/>
        <w:gridCol w:w="710"/>
        <w:gridCol w:w="710"/>
        <w:gridCol w:w="710"/>
        <w:gridCol w:w="711"/>
        <w:gridCol w:w="710"/>
        <w:gridCol w:w="710"/>
        <w:gridCol w:w="710"/>
        <w:gridCol w:w="711"/>
        <w:gridCol w:w="710"/>
        <w:gridCol w:w="710"/>
        <w:gridCol w:w="710"/>
        <w:gridCol w:w="7"/>
        <w:gridCol w:w="307"/>
      </w:tblGrid>
      <w:tr>
        <w:trPr>
          <w:trHeight w:val="20" w:hRule="atLeast"/>
        </w:trPr>
        <w:tc>
          <w:tcPr>
            <w:tcW w:w="1510"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Показники</w:t>
            </w:r>
          </w:p>
        </w:tc>
        <w:tc>
          <w:tcPr>
            <w:tcW w:w="7819" w:type="dxa"/>
            <w:gridSpan w:val="1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Структура основних фондів за роками,%</w:t>
            </w:r>
          </w:p>
        </w:tc>
        <w:tc>
          <w:tcPr>
            <w:tcW w:w="307" w:type="dxa"/>
            <w:tcBorders>
              <w:top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w:t>
            </w:r>
          </w:p>
        </w:tc>
      </w:tr>
      <w:tr>
        <w:trPr>
          <w:trHeight w:val="20" w:hRule="atLeast"/>
        </w:trPr>
        <w:tc>
          <w:tcPr>
            <w:tcW w:w="151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2011</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2012</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2014</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2016</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2017</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2018</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2019</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w:t>
            </w:r>
          </w:p>
        </w:tc>
        <w:tc>
          <w:tcPr>
            <w:tcW w:w="314" w:type="dxa"/>
            <w:gridSpan w:val="2"/>
            <w:tcBorders>
              <w:bottom w:val="single" w:sz="4" w:space="0" w:color="000000"/>
            </w:tcBorders>
            <w:shd w:fill="auto" w:val="clea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Будівлі та споруди </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23,23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22,23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27,07</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27,57</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36,83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35,16</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27,25</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26,25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20,55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20,90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19,05</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w:t>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Машини та обладнання</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61,12</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55,76</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56,39</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58,28</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51,36</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56,25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62,61</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62,68</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70,27</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70,32</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73,12</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w:t>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Транспортні засоби</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12,85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20,22</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15,77</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13,03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7,54</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7,37</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5,50</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6,05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4,45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4,51</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3,56</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w:t>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Інструменти, прилади, інвентар, меблі</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0,00</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1,09</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0,86</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0,79</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0,65</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w:t>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Інші основні засоби</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2,80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0,76</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1,12</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3,27</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0,13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3,78</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4,23</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4,08</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4,26</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4,27</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w:t>
            </w:r>
          </w:p>
        </w:tc>
      </w:tr>
      <w:tr>
        <w:trPr>
          <w:trHeight w:val="20" w:hRule="atLeast"/>
        </w:trPr>
        <w:tc>
          <w:tcPr>
            <w:tcW w:w="1510"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Разом</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710"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100,00</w:t>
            </w:r>
          </w:p>
        </w:tc>
        <w:tc>
          <w:tcPr>
            <w:tcW w:w="314"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w:t>
            </w:r>
          </w:p>
        </w:tc>
      </w:tr>
    </w:tbl>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Продовження таблиці 2.13</w:t>
      </w:r>
    </w:p>
    <w:tbl>
      <w:tblPr>
        <w:tblW w:w="9638" w:type="dxa"/>
        <w:jc w:val="left"/>
        <w:tblInd w:w="-5" w:type="dxa"/>
        <w:tblCellMar>
          <w:top w:w="0" w:type="dxa"/>
          <w:left w:w="108" w:type="dxa"/>
          <w:bottom w:w="0" w:type="dxa"/>
          <w:right w:w="108" w:type="dxa"/>
        </w:tblCellMar>
        <w:tblLook w:firstRow="1" w:noVBand="1" w:lastRow="0" w:firstColumn="1" w:lastColumn="0" w:noHBand="0" w:val="04a0"/>
      </w:tblPr>
      <w:tblGrid>
        <w:gridCol w:w="291"/>
        <w:gridCol w:w="849"/>
        <w:gridCol w:w="849"/>
        <w:gridCol w:w="849"/>
        <w:gridCol w:w="849"/>
        <w:gridCol w:w="849"/>
        <w:gridCol w:w="849"/>
        <w:gridCol w:w="849"/>
        <w:gridCol w:w="849"/>
        <w:gridCol w:w="850"/>
        <w:gridCol w:w="849"/>
        <w:gridCol w:w="855"/>
      </w:tblGrid>
      <w:tr>
        <w:trPr>
          <w:trHeight w:val="20" w:hRule="atLeast"/>
        </w:trPr>
        <w:tc>
          <w:tcPr>
            <w:tcW w:w="291" w:type="dxa"/>
            <w:vMerge w:val="restart"/>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w:t>
            </w:r>
          </w:p>
        </w:tc>
        <w:tc>
          <w:tcPr>
            <w:tcW w:w="9346" w:type="dxa"/>
            <w:gridSpan w:val="11"/>
            <w:tcBorders>
              <w:top w:val="single" w:sz="4" w:space="0" w:color="000000"/>
              <w:bottom w:val="single" w:sz="4" w:space="0" w:color="000000"/>
              <w:right w:val="single" w:sz="4" w:space="0" w:color="000000"/>
            </w:tcBorders>
            <w:shd w:fill="auto" w:val="clear"/>
            <w:vAlign w:val="bottom"/>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Темпи приросту за роками, %</w:t>
            </w:r>
          </w:p>
        </w:tc>
      </w:tr>
      <w:tr>
        <w:trPr>
          <w:trHeight w:val="20" w:hRule="atLeast"/>
        </w:trPr>
        <w:tc>
          <w:tcPr>
            <w:tcW w:w="291" w:type="dxa"/>
            <w:vMerge w:val="continue"/>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2011/2010</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2012/2011</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2013/2012</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2014/2013</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2015/2014</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2016/2015</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2017/2016</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2018/2017</w:t>
            </w:r>
          </w:p>
        </w:tc>
        <w:tc>
          <w:tcPr>
            <w:tcW w:w="850"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2019/2018</w:t>
            </w:r>
          </w:p>
        </w:tc>
        <w:tc>
          <w:tcPr>
            <w:tcW w:w="849"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2020/2019</w:t>
            </w:r>
          </w:p>
        </w:tc>
        <w:tc>
          <w:tcPr>
            <w:tcW w:w="855" w:type="dxa"/>
            <w:tcBorders>
              <w:bottom w:val="single" w:sz="4" w:space="0" w:color="000000"/>
              <w:right w:val="single" w:sz="4" w:space="0" w:color="000000"/>
            </w:tcBorders>
            <w:shd w:fill="auto" w:val="clear"/>
            <w:vAlign w:val="bottom"/>
          </w:tcPr>
          <w:p>
            <w:pPr>
              <w:pStyle w:val="Normal"/>
              <w:ind w:right="-97" w:hanging="119"/>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2020/2010</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2 </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-4,31</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21,81</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1,82</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33,59</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-4,54</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-22,49</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- 3,66</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- 21,71</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1,68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-8,86</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-18,01</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-8,78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1,14</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3,35</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- 11,88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9,53</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11,31</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0,11</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12,10</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3,98</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19,64</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57,28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-21,97</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-17,40</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- 42,12</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- 2,25</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- 25,43</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9,97</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-26,34</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1,37</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-21,14</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-72,31</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8,99</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- 21,28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- 7,42</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-18,53</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- 100,00</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-35,64</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- 57,92</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47,78</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192,11</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- 96,13</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2886,20</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11,77</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-3,50</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4,53</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0,16</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52,63</w:t>
            </w:r>
          </w:p>
        </w:tc>
      </w:tr>
      <w:tr>
        <w:trPr>
          <w:trHeight w:val="20" w:hRule="atLeast"/>
        </w:trPr>
        <w:tc>
          <w:tcPr>
            <w:tcW w:w="291" w:type="dxa"/>
            <w:tcBorders>
              <w:top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5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4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c>
          <w:tcPr>
            <w:tcW w:w="85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w:t>
            </w:r>
          </w:p>
        </w:tc>
      </w:tr>
    </w:tbl>
    <w:p>
      <w:pPr>
        <w:pStyle w:val="Normal"/>
        <w:spacing w:lineRule="auto" w:line="360"/>
        <w:ind w:firstLine="709"/>
        <w:rPr>
          <w:rFonts w:ascii="Times New Roman" w:hAnsi="Times New Roman"/>
          <w:sz w:val="28"/>
          <w:szCs w:val="28"/>
          <w:lang w:val="ru-RU"/>
        </w:rPr>
      </w:pPr>
      <w:r>
        <w:rPr>
          <w:rFonts w:ascii="Times New Roman" w:hAnsi="Times New Roman"/>
          <w:sz w:val="28"/>
          <w:szCs w:val="28"/>
          <w:lang w:val="ru-RU"/>
        </w:rPr>
      </w:r>
    </w:p>
    <w:p>
      <w:pPr>
        <w:pStyle w:val="Normal"/>
        <w:spacing w:lineRule="auto" w:line="360"/>
        <w:ind w:firstLine="709"/>
        <w:rPr>
          <w:rFonts w:ascii="Times New Roman" w:hAnsi="Times New Roman"/>
          <w:color w:val="000000"/>
          <w:sz w:val="28"/>
          <w:szCs w:val="28"/>
          <w:lang w:eastAsia="uk-UA"/>
        </w:rPr>
      </w:pPr>
      <w:r>
        <w:rPr>
          <w:rFonts w:ascii="Times New Roman" w:hAnsi="Times New Roman"/>
          <w:sz w:val="28"/>
          <w:szCs w:val="28"/>
        </w:rPr>
        <w:t xml:space="preserve">Впродовж аналізованого періоду в структурі основних фондів </w:t>
      </w:r>
      <w:r>
        <w:rPr>
          <w:rFonts w:eastAsia="Times New Roman" w:ascii="Times New Roman" w:hAnsi="Times New Roman"/>
          <w:sz w:val="28"/>
          <w:szCs w:val="28"/>
          <w:lang w:eastAsia="ru-RU"/>
        </w:rPr>
        <w:t>ТОВ «НЕЙЛ»</w:t>
      </w:r>
      <w:r>
        <w:rPr>
          <w:rStyle w:val="Style23"/>
          <w:rFonts w:ascii="Times New Roman" w:hAnsi="Times New Roman"/>
          <w:bCs/>
          <w:color w:val="000000"/>
          <w:sz w:val="28"/>
          <w:szCs w:val="28"/>
        </w:rPr>
        <w:t xml:space="preserve"> </w:t>
      </w:r>
      <w:r>
        <w:rPr>
          <w:rFonts w:ascii="Times New Roman" w:hAnsi="Times New Roman"/>
          <w:sz w:val="28"/>
          <w:szCs w:val="28"/>
        </w:rPr>
        <w:t xml:space="preserve">переважають </w:t>
      </w:r>
      <w:r>
        <w:rPr>
          <w:rFonts w:ascii="Times New Roman" w:hAnsi="Times New Roman"/>
          <w:color w:val="000000"/>
          <w:sz w:val="28"/>
          <w:szCs w:val="28"/>
        </w:rPr>
        <w:t xml:space="preserve">машини та обладнання (61,12 % у 2010 р. та 73,12 % у 2020 р.), будівлі, споруди та передавальні пристрої (23,23 % у 2010 р., 36,83 % у 2014 р. та 19,05 % у 2020 р.), транспортні засоби (12,85 % у 2010 р., 20,22 % у 2011 р. та 3,56% у 2020 р.), інші основні засоби (2,8 % у 2010 р. та 4,27 % у 2020 р.), інструменти, прилади, інвентар, меблі (1,0 % у 2014 р. та 0,65 % у 2018 р.). </w:t>
      </w:r>
    </w:p>
    <w:p>
      <w:pPr>
        <w:pStyle w:val="Normal"/>
        <w:spacing w:lineRule="auto" w:line="360"/>
        <w:ind w:firstLine="709"/>
        <w:rPr>
          <w:rFonts w:ascii="Times New Roman" w:hAnsi="Times New Roman"/>
          <w:color w:val="000000"/>
          <w:sz w:val="28"/>
          <w:szCs w:val="28"/>
        </w:rPr>
      </w:pPr>
      <w:r>
        <w:rPr>
          <w:rFonts w:ascii="Times New Roman" w:hAnsi="Times New Roman"/>
          <w:sz w:val="28"/>
          <w:szCs w:val="28"/>
        </w:rPr>
        <w:t>Щодо групи основних фондів «</w:t>
      </w:r>
      <w:r>
        <w:rPr>
          <w:rFonts w:ascii="Times New Roman" w:hAnsi="Times New Roman"/>
          <w:color w:val="000000"/>
          <w:sz w:val="28"/>
          <w:szCs w:val="28"/>
        </w:rPr>
        <w:t xml:space="preserve">Будівлі та споруди», то відбувається їх скорочення лише </w:t>
      </w:r>
      <w:r>
        <w:rPr>
          <w:rFonts w:ascii="Times New Roman" w:hAnsi="Times New Roman"/>
          <w:sz w:val="28"/>
          <w:szCs w:val="28"/>
        </w:rPr>
        <w:t>з 2010 р. по 2011 р.</w:t>
      </w:r>
      <w:r>
        <w:rPr>
          <w:rFonts w:ascii="Times New Roman" w:hAnsi="Times New Roman"/>
          <w:color w:val="000000"/>
          <w:sz w:val="28"/>
          <w:szCs w:val="28"/>
        </w:rPr>
        <w:t xml:space="preserve"> на 4,31 %, </w:t>
      </w:r>
      <w:r>
        <w:rPr>
          <w:rFonts w:ascii="Times New Roman" w:hAnsi="Times New Roman"/>
          <w:sz w:val="28"/>
          <w:szCs w:val="28"/>
        </w:rPr>
        <w:t>з 2015 р. по 2018 р.</w:t>
      </w:r>
      <w:r>
        <w:rPr>
          <w:rFonts w:ascii="Times New Roman" w:hAnsi="Times New Roman"/>
          <w:color w:val="000000"/>
          <w:sz w:val="28"/>
          <w:szCs w:val="28"/>
        </w:rPr>
        <w:t xml:space="preserve"> на 4,54 %, на 22,49 %, на 3,66 % відповідно та у звітному порівняно з попереднім роком на 8,86 % та щодо базисного (2010 р.) на 18,01 %. Вартість машин та обладнання,</w:t>
      </w:r>
      <w:r>
        <w:rPr>
          <w:rFonts w:ascii="Times New Roman" w:hAnsi="Times New Roman"/>
          <w:sz w:val="28"/>
          <w:szCs w:val="28"/>
        </w:rPr>
        <w:t xml:space="preserve"> за первісною вартістю,</w:t>
      </w:r>
      <w:r>
        <w:rPr>
          <w:rFonts w:ascii="Times New Roman" w:hAnsi="Times New Roman"/>
          <w:color w:val="000000"/>
          <w:sz w:val="28"/>
          <w:szCs w:val="28"/>
        </w:rPr>
        <w:t xml:space="preserve"> зростає </w:t>
      </w:r>
      <w:r>
        <w:rPr>
          <w:rFonts w:ascii="Times New Roman" w:hAnsi="Times New Roman"/>
          <w:sz w:val="28"/>
          <w:szCs w:val="28"/>
        </w:rPr>
        <w:t xml:space="preserve">з 2010 р. по 2020 р. </w:t>
      </w:r>
      <w:r>
        <w:rPr>
          <w:rFonts w:ascii="Times New Roman" w:hAnsi="Times New Roman"/>
          <w:color w:val="000000"/>
          <w:sz w:val="28"/>
          <w:szCs w:val="28"/>
        </w:rPr>
        <w:t xml:space="preserve">на 19,64 % та переважно в усьому досліджуваному періоді. Винятком є зменшення їх вартості у 2011 р. на 8,78 % та у </w:t>
      </w:r>
      <w:r>
        <w:rPr>
          <w:rFonts w:ascii="Times New Roman" w:hAnsi="Times New Roman"/>
          <w:sz w:val="28"/>
          <w:szCs w:val="28"/>
        </w:rPr>
        <w:t>2014 р. на 11,88 %</w:t>
      </w:r>
      <w:r>
        <w:rPr>
          <w:rFonts w:ascii="Times New Roman" w:hAnsi="Times New Roman"/>
          <w:color w:val="000000"/>
          <w:sz w:val="28"/>
          <w:szCs w:val="28"/>
        </w:rPr>
        <w:t xml:space="preserve"> порівняно з попереднім роком. Вартість транспортних засобів скорочується </w:t>
      </w:r>
      <w:r>
        <w:rPr>
          <w:rFonts w:ascii="Times New Roman" w:hAnsi="Times New Roman"/>
          <w:sz w:val="28"/>
          <w:szCs w:val="28"/>
        </w:rPr>
        <w:t>з 2010 р. по 2020 р.</w:t>
      </w:r>
      <w:r>
        <w:rPr>
          <w:rFonts w:ascii="Times New Roman" w:hAnsi="Times New Roman"/>
          <w:color w:val="000000"/>
          <w:sz w:val="28"/>
          <w:szCs w:val="28"/>
        </w:rPr>
        <w:t xml:space="preserve">, загальна сума скорочення становить 72,31 %. З 2012 р. по 2016 р. їх вартість скоротилась відповідно на 21,97 %, на 17,40 %, на 42,12 %, на 2,25 %, на 23,43 % та у звітному порівняно з попереднім роком на 21,14 %. На половину зросла вартість інших основних засобів </w:t>
      </w:r>
      <w:r>
        <w:rPr>
          <w:rFonts w:ascii="Times New Roman" w:hAnsi="Times New Roman"/>
          <w:sz w:val="28"/>
          <w:szCs w:val="28"/>
        </w:rPr>
        <w:t>за первісною вартістю, їх обсяг скорочувався з 2010 р. по 2012 р. на 35,64 % та на 57,92 % відповідно, суттєво на 96,13 % зменшилась їх вартість у 2015 р. та на 3,5 % у 2018 р.</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Для кращого розуміння тенденцій руху та технічного стану основних засобів </w:t>
      </w:r>
      <w:r>
        <w:rPr>
          <w:rFonts w:eastAsia="Times New Roman" w:ascii="Times New Roman" w:hAnsi="Times New Roman"/>
          <w:sz w:val="28"/>
          <w:szCs w:val="28"/>
          <w:lang w:eastAsia="ru-RU"/>
        </w:rPr>
        <w:t>ТОВ «НЕЙЛ»</w:t>
      </w:r>
      <w:r>
        <w:rPr>
          <w:rFonts w:ascii="Times New Roman" w:hAnsi="Times New Roman"/>
          <w:sz w:val="28"/>
          <w:szCs w:val="28"/>
        </w:rPr>
        <w:t xml:space="preserve"> варто розрахувати наступні показники та відслідкувати їх зміну [40]: </w:t>
      </w:r>
    </w:p>
    <w:p>
      <w:pPr>
        <w:pStyle w:val="Normal"/>
        <w:spacing w:lineRule="auto" w:line="360"/>
        <w:ind w:firstLine="709"/>
        <w:rPr>
          <w:rFonts w:ascii="Times New Roman" w:hAnsi="Times New Roman"/>
          <w:sz w:val="28"/>
          <w:szCs w:val="28"/>
        </w:rPr>
      </w:pPr>
      <w:r>
        <w:rPr>
          <w:rFonts w:ascii="Times New Roman" w:hAnsi="Times New Roman"/>
          <w:sz w:val="28"/>
          <w:szCs w:val="28"/>
        </w:rPr>
        <w:t>1) коефіцієнт зносу, що характеризує технічний стан засобів праці (чим він є вищим, тим у гіршому стані основні засоби) та являє собою співвідношення суми зносу основних засобів та їх первісної вартості;</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2) коефіцієнт придатності визначається як частка первісної вартості основних засобів у залишковій вартості ( чим вище є його значення, тим кращий стан засобів праці).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розраховані значення коефіцієнтів </w:t>
      </w:r>
      <w:r>
        <w:rPr>
          <w:rFonts w:eastAsia="Times New Roman" w:ascii="Times New Roman" w:hAnsi="Times New Roman"/>
          <w:sz w:val="28"/>
          <w:szCs w:val="28"/>
          <w:lang w:eastAsia="ru-RU"/>
        </w:rPr>
        <w:t>ТОВ «НЕЙЛ»</w:t>
      </w:r>
      <w:r>
        <w:rPr>
          <w:rStyle w:val="Style23"/>
          <w:rFonts w:ascii="Times New Roman" w:hAnsi="Times New Roman"/>
          <w:bCs/>
          <w:color w:val="000000"/>
          <w:sz w:val="28"/>
          <w:szCs w:val="28"/>
        </w:rPr>
        <w:t xml:space="preserve"> </w:t>
      </w:r>
      <w:r>
        <w:rPr>
          <w:rFonts w:ascii="Times New Roman" w:hAnsi="Times New Roman"/>
          <w:sz w:val="28"/>
          <w:szCs w:val="28"/>
        </w:rPr>
        <w:t xml:space="preserve">зведено до таблиці 2.14.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 даних таблиці 2.14 видно, що значення коефіцієнта придатності скорочується з року в рік: 0,49 п. у </w:t>
      </w:r>
      <w:r>
        <w:rPr>
          <w:rFonts w:ascii="Times New Roman" w:hAnsi="Times New Roman"/>
          <w:color w:val="000000"/>
          <w:sz w:val="28"/>
          <w:szCs w:val="28"/>
        </w:rPr>
        <w:t>2010 р.</w:t>
      </w:r>
      <w:r>
        <w:rPr>
          <w:rFonts w:ascii="Times New Roman" w:hAnsi="Times New Roman"/>
          <w:sz w:val="28"/>
          <w:szCs w:val="28"/>
        </w:rPr>
        <w:t xml:space="preserve"> та 0,32 п. у </w:t>
      </w:r>
      <w:r>
        <w:rPr>
          <w:rFonts w:ascii="Times New Roman" w:hAnsi="Times New Roman"/>
          <w:color w:val="000000"/>
          <w:sz w:val="28"/>
          <w:szCs w:val="28"/>
        </w:rPr>
        <w:t>2020 р. найбільше його значення 0,51 п. помітне у 2011 р</w:t>
      </w:r>
      <w:r>
        <w:rPr>
          <w:rFonts w:ascii="Times New Roman" w:hAnsi="Times New Roman"/>
          <w:sz w:val="28"/>
          <w:szCs w:val="28"/>
        </w:rPr>
        <w:t xml:space="preserve">. Це пояснюється недостатнім рівнем введенням основних фондів в експлуатацію. В розрізі структури оновлення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 xml:space="preserve"> відбувається в рамках маловартісних елементів. Коефіцієнт оновлення за аналізований період зменшився на 34,84 %, зростання помітне лише у 2011 р. на 3,90 %, у 2016 р. на 16,13 % та у 2018 р. на 10,61 %. Отже, оновленню основних фондів на виробничому підприємстві не приділяється достатньої уваги.</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Таблиця 2.14 </w:t>
      </w:r>
      <w:r>
        <w:rPr>
          <w:rFonts w:ascii="Times New Roman" w:hAnsi="Times New Roman"/>
          <w:color w:val="000000"/>
          <w:sz w:val="28"/>
          <w:szCs w:val="28"/>
        </w:rPr>
        <w:t>–</w:t>
      </w:r>
      <w:r>
        <w:rPr>
          <w:rFonts w:ascii="Times New Roman" w:hAnsi="Times New Roman"/>
          <w:sz w:val="28"/>
          <w:szCs w:val="28"/>
        </w:rPr>
        <w:t xml:space="preserve"> Аналіз показників технічного стану засобів праці </w:t>
      </w:r>
      <w:r>
        <w:rPr>
          <w:rFonts w:eastAsia="Times New Roman" w:ascii="Times New Roman" w:hAnsi="Times New Roman"/>
          <w:sz w:val="28"/>
          <w:szCs w:val="28"/>
          <w:lang w:eastAsia="ru-RU"/>
        </w:rPr>
        <w:t>ТОВ «НЕЙЛ»</w:t>
      </w:r>
      <w:r>
        <w:rPr>
          <w:rFonts w:ascii="Times New Roman" w:hAnsi="Times New Roman"/>
          <w:sz w:val="28"/>
          <w:szCs w:val="28"/>
        </w:rPr>
        <w:t xml:space="preserve"> на кінець звітного періоду</w:t>
      </w:r>
    </w:p>
    <w:tbl>
      <w:tblPr>
        <w:tblW w:w="9638" w:type="dxa"/>
        <w:jc w:val="left"/>
        <w:tblInd w:w="-5" w:type="dxa"/>
        <w:tblCellMar>
          <w:top w:w="0" w:type="dxa"/>
          <w:left w:w="108" w:type="dxa"/>
          <w:bottom w:w="0" w:type="dxa"/>
          <w:right w:w="108" w:type="dxa"/>
        </w:tblCellMar>
        <w:tblLook w:firstRow="1" w:noVBand="1" w:lastRow="0" w:firstColumn="1" w:lastColumn="0" w:noHBand="0" w:val="04a0"/>
      </w:tblPr>
      <w:tblGrid>
        <w:gridCol w:w="1295"/>
        <w:gridCol w:w="715"/>
        <w:gridCol w:w="715"/>
        <w:gridCol w:w="715"/>
        <w:gridCol w:w="715"/>
        <w:gridCol w:w="716"/>
        <w:gridCol w:w="715"/>
        <w:gridCol w:w="715"/>
        <w:gridCol w:w="715"/>
        <w:gridCol w:w="715"/>
        <w:gridCol w:w="715"/>
        <w:gridCol w:w="866"/>
        <w:gridCol w:w="8"/>
        <w:gridCol w:w="317"/>
      </w:tblGrid>
      <w:tr>
        <w:trPr>
          <w:trHeight w:val="20" w:hRule="atLeast"/>
        </w:trPr>
        <w:tc>
          <w:tcPr>
            <w:tcW w:w="1295"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8025" w:type="dxa"/>
            <w:gridSpan w:val="1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Рік </w:t>
            </w:r>
          </w:p>
        </w:tc>
        <w:tc>
          <w:tcPr>
            <w:tcW w:w="317" w:type="dxa"/>
            <w:tcBorders>
              <w:top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r>
      <w:tr>
        <w:trPr>
          <w:trHeight w:val="20" w:hRule="atLeast"/>
        </w:trPr>
        <w:tc>
          <w:tcPr>
            <w:tcW w:w="1295"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r>
      <w:tr>
        <w:trPr>
          <w:trHeight w:val="20" w:hRule="atLeast"/>
        </w:trPr>
        <w:tc>
          <w:tcPr>
            <w:tcW w:w="1295"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Основні засоби за первісною вартістю</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14012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16106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16894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16969</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17397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18164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24357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25176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32292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32721</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35901,5</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r>
      <w:tr>
        <w:trPr>
          <w:trHeight w:val="20" w:hRule="atLeast"/>
        </w:trPr>
        <w:tc>
          <w:tcPr>
            <w:tcW w:w="1295"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Сума зносу</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7105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7857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8715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9589</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10074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10914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13067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15305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18288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21341</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24369,3</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r>
      <w:tr>
        <w:trPr>
          <w:trHeight w:val="20" w:hRule="atLeast"/>
        </w:trPr>
        <w:tc>
          <w:tcPr>
            <w:tcW w:w="1295"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Основні засоби за залишковою вартістю</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6907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8249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8179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7380</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7323</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7250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11290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9871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14004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11380</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11532,2</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r>
      <w:tr>
        <w:trPr>
          <w:trHeight w:val="20" w:hRule="atLeast"/>
        </w:trPr>
        <w:tc>
          <w:tcPr>
            <w:tcW w:w="1295"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фізичного зносу</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0,57</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0,65</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0,68</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r>
      <w:tr>
        <w:trPr>
          <w:trHeight w:val="20" w:hRule="atLeast"/>
        </w:trPr>
        <w:tc>
          <w:tcPr>
            <w:tcW w:w="1295" w:type="dxa"/>
            <w:tcBorders>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придатності</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0,51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0,39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0,43</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0,35</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0,32</w:t>
            </w:r>
          </w:p>
        </w:tc>
        <w:tc>
          <w:tcPr>
            <w:tcW w:w="325" w:type="dxa"/>
            <w:gridSpan w:val="2"/>
            <w:tcBorders>
              <w:bottom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Продовження таблиці 2.14</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377"/>
        <w:gridCol w:w="805"/>
        <w:gridCol w:w="805"/>
        <w:gridCol w:w="879"/>
        <w:gridCol w:w="805"/>
        <w:gridCol w:w="804"/>
        <w:gridCol w:w="879"/>
        <w:gridCol w:w="879"/>
        <w:gridCol w:w="805"/>
        <w:gridCol w:w="879"/>
        <w:gridCol w:w="805"/>
        <w:gridCol w:w="915"/>
      </w:tblGrid>
      <w:tr>
        <w:trPr>
          <w:trHeight w:val="20" w:hRule="atLeast"/>
        </w:trPr>
        <w:tc>
          <w:tcPr>
            <w:tcW w:w="377" w:type="dxa"/>
            <w:vMerge w:val="restart"/>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9260" w:type="dxa"/>
            <w:gridSpan w:val="11"/>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Темпи приросту за роками, %</w:t>
            </w:r>
          </w:p>
        </w:tc>
      </w:tr>
      <w:tr>
        <w:trPr>
          <w:trHeight w:val="20" w:hRule="atLeast"/>
        </w:trPr>
        <w:tc>
          <w:tcPr>
            <w:tcW w:w="377" w:type="dxa"/>
            <w:vMerge w:val="continue"/>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r>
      <w:tr>
        <w:trPr>
          <w:trHeight w:val="20" w:hRule="atLeast"/>
        </w:trPr>
        <w:tc>
          <w:tcPr>
            <w:tcW w:w="377" w:type="dxa"/>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14,94</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4,89</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0,44</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2,52</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4,41</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34,09</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3,36</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28,27</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1,33</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9,72</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156,22</w:t>
            </w:r>
          </w:p>
        </w:tc>
      </w:tr>
      <w:tr>
        <w:trPr>
          <w:trHeight w:val="20" w:hRule="atLeast"/>
        </w:trPr>
        <w:tc>
          <w:tcPr>
            <w:tcW w:w="377" w:type="dxa"/>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10,58</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10,92</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10,03</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5,06</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8,34</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19,73</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17,13</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19,49</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16,69</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14,19</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242,99</w:t>
            </w:r>
          </w:p>
        </w:tc>
      </w:tr>
      <w:tr>
        <w:trPr>
          <w:trHeight w:val="20" w:hRule="atLeast"/>
        </w:trPr>
        <w:tc>
          <w:tcPr>
            <w:tcW w:w="377" w:type="dxa"/>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19,43</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-0,85</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-9,77</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-0,77</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55,72</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-12,57</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41,87</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-18,74</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66,96</w:t>
            </w:r>
          </w:p>
        </w:tc>
      </w:tr>
      <w:tr>
        <w:trPr>
          <w:trHeight w:val="20" w:hRule="atLeast"/>
        </w:trPr>
        <w:tc>
          <w:tcPr>
            <w:tcW w:w="377" w:type="dxa"/>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-3,79</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5,75</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9,54</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2,47</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3,76</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-10,71</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13,32</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-6,84</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15,16</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33,86</w:t>
            </w:r>
          </w:p>
        </w:tc>
      </w:tr>
      <w:tr>
        <w:trPr>
          <w:trHeight w:val="20" w:hRule="atLeast"/>
        </w:trPr>
        <w:tc>
          <w:tcPr>
            <w:tcW w:w="377" w:type="dxa"/>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805" w:type="dxa"/>
            <w:tcBorders>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3,90</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-5,47</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-10,17</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-3,21</w:t>
            </w:r>
          </w:p>
        </w:tc>
        <w:tc>
          <w:tcPr>
            <w:tcW w:w="804"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-5,18</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16,13</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-15,41</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10,61</w:t>
            </w:r>
          </w:p>
        </w:tc>
        <w:tc>
          <w:tcPr>
            <w:tcW w:w="879"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-19,80</w:t>
            </w:r>
          </w:p>
        </w:tc>
        <w:tc>
          <w:tcPr>
            <w:tcW w:w="80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-7,64</w:t>
            </w:r>
          </w:p>
        </w:tc>
        <w:tc>
          <w:tcPr>
            <w:tcW w:w="915"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-34,84</w:t>
            </w:r>
          </w:p>
        </w:tc>
      </w:tr>
    </w:tbl>
    <w:p>
      <w:pPr>
        <w:pStyle w:val="Normal"/>
        <w:spacing w:lineRule="auto" w:line="360"/>
        <w:ind w:firstLine="709"/>
        <w:rPr>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Коефіцієнт фінансового зносу переважно збільшується щорічно, що слугує підставою стверджувати, що спостерігається процес стабільних амортизаційних нарахувань. Протягом аналізованого періоду цей коефіцієнт збільшився на 33,86 %. Однак, він зменшився у 2010 р. на 3,79 %, у 2016 р. на 10,71 % та у 2018 р. на 6,84 %. Значення поданих коефіцієнтів є порівняно сталими, що пояснюється слабкими зрушеннями в динаміці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w:t>
      </w:r>
    </w:p>
    <w:p>
      <w:pPr>
        <w:pStyle w:val="Normal"/>
        <w:spacing w:lineRule="auto" w:line="360"/>
        <w:ind w:firstLine="709"/>
        <w:rPr>
          <w:rFonts w:ascii="Times New Roman" w:hAnsi="Times New Roman"/>
          <w:sz w:val="28"/>
          <w:szCs w:val="28"/>
          <w:lang w:eastAsia="ru-RU"/>
        </w:rPr>
      </w:pPr>
      <w:r>
        <w:rPr>
          <w:rFonts w:ascii="Times New Roman" w:hAnsi="Times New Roman"/>
          <w:sz w:val="28"/>
          <w:szCs w:val="28"/>
        </w:rPr>
        <w:t xml:space="preserve">В сучасних умовах засоби праці підприємства підлягають оновленню, придбанню та вибуттю. Надалі варто провести аналіз динаміки руху основних фондів 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у таблиці 2.15. </w:t>
      </w:r>
    </w:p>
    <w:p>
      <w:pPr>
        <w:pStyle w:val="Normal"/>
        <w:spacing w:lineRule="auto" w:line="360"/>
        <w:ind w:firstLine="709"/>
        <w:rPr>
          <w:rFonts w:ascii="Times New Roman" w:hAnsi="Times New Roman"/>
          <w:sz w:val="28"/>
          <w:szCs w:val="28"/>
          <w:lang w:eastAsia="uk-UA"/>
        </w:rPr>
      </w:pPr>
      <w:r>
        <w:rPr>
          <w:rFonts w:ascii="Times New Roman" w:hAnsi="Times New Roman"/>
          <w:sz w:val="28"/>
          <w:szCs w:val="28"/>
          <w:lang w:eastAsia="uk-UA"/>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Таблиця 2.15 </w:t>
      </w:r>
      <w:r>
        <w:rPr>
          <w:rFonts w:ascii="Times New Roman" w:hAnsi="Times New Roman"/>
          <w:color w:val="000000"/>
          <w:sz w:val="28"/>
          <w:szCs w:val="28"/>
        </w:rPr>
        <w:t>–</w:t>
      </w:r>
      <w:r>
        <w:rPr>
          <w:rFonts w:ascii="Times New Roman" w:hAnsi="Times New Roman"/>
          <w:sz w:val="28"/>
          <w:szCs w:val="28"/>
        </w:rPr>
        <w:t xml:space="preserve"> Показники руху основних фондів </w:t>
      </w:r>
      <w:r>
        <w:rPr>
          <w:rFonts w:eastAsia="Times New Roman" w:ascii="Times New Roman" w:hAnsi="Times New Roman"/>
          <w:sz w:val="28"/>
          <w:szCs w:val="28"/>
          <w:lang w:eastAsia="ru-RU"/>
        </w:rPr>
        <w:t>ТОВ «НЕЙЛ»</w:t>
      </w:r>
      <w:r>
        <w:rPr>
          <w:rFonts w:ascii="Times New Roman" w:hAnsi="Times New Roman"/>
          <w:color w:val="000000"/>
          <w:sz w:val="18"/>
          <w:szCs w:val="18"/>
        </w:rPr>
        <w:t xml:space="preserve"> </w:t>
      </w:r>
      <w:r>
        <w:rPr>
          <w:rFonts w:ascii="Times New Roman" w:hAnsi="Times New Roman"/>
          <w:color w:val="000000"/>
          <w:sz w:val="28"/>
          <w:szCs w:val="28"/>
        </w:rPr>
        <w:t xml:space="preserve">за первісною вартістю </w:t>
      </w:r>
      <w:r>
        <w:rPr>
          <w:rFonts w:ascii="Times New Roman" w:hAnsi="Times New Roman"/>
          <w:sz w:val="28"/>
          <w:szCs w:val="28"/>
        </w:rPr>
        <w:t>з 2016 р. по 2020 р.</w:t>
      </w:r>
    </w:p>
    <w:tbl>
      <w:tblPr>
        <w:tblW w:w="9633" w:type="dxa"/>
        <w:jc w:val="left"/>
        <w:tblInd w:w="-5" w:type="dxa"/>
        <w:tblCellMar>
          <w:top w:w="0" w:type="dxa"/>
          <w:left w:w="108" w:type="dxa"/>
          <w:bottom w:w="0" w:type="dxa"/>
          <w:right w:w="108" w:type="dxa"/>
        </w:tblCellMar>
        <w:tblLook w:firstRow="1" w:noVBand="1" w:lastRow="0" w:firstColumn="1" w:lastColumn="0" w:noHBand="0" w:val="04a0"/>
      </w:tblPr>
      <w:tblGrid>
        <w:gridCol w:w="2688"/>
        <w:gridCol w:w="716"/>
        <w:gridCol w:w="716"/>
        <w:gridCol w:w="715"/>
        <w:gridCol w:w="866"/>
        <w:gridCol w:w="866"/>
        <w:gridCol w:w="1"/>
        <w:gridCol w:w="765"/>
        <w:gridCol w:w="766"/>
        <w:gridCol w:w="766"/>
        <w:gridCol w:w="767"/>
      </w:tblGrid>
      <w:tr>
        <w:trPr>
          <w:trHeight w:val="20" w:hRule="atLeast"/>
        </w:trPr>
        <w:tc>
          <w:tcPr>
            <w:tcW w:w="268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3880" w:type="dxa"/>
            <w:gridSpan w:val="6"/>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Абсолютне значення за роками, тис. грн</w:t>
            </w:r>
          </w:p>
        </w:tc>
        <w:tc>
          <w:tcPr>
            <w:tcW w:w="3064" w:type="dxa"/>
            <w:gridSpan w:val="4"/>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Темпи росту за роками, %</w:t>
            </w:r>
          </w:p>
        </w:tc>
      </w:tr>
      <w:tr>
        <w:trPr>
          <w:trHeight w:val="20" w:hRule="atLeast"/>
        </w:trPr>
        <w:tc>
          <w:tcPr>
            <w:tcW w:w="268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Основні засоби за первісною вартістю на початок року</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24357</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25176</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32292</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32721</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35901,5</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103,36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128,27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101,33</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109,72</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Основні засоби за первісною вартістю на кінець року</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25176</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32292</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32721</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35901,5</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39729,5</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128,27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101,33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109,72</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110,66</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Вартість введених в експлуатацію основних засобів</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940</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7266</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702</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3566</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4230</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772,98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507,98</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118,62</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Вартість виведених з експлуатації основних засобів</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150</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385</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402</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123,97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182,00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141,03</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104,42</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введення</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0,23</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0,021</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0,099</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0,106</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602,64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462,98</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107,19</w:t>
            </w:r>
          </w:p>
        </w:tc>
      </w:tr>
      <w:tr>
        <w:trPr>
          <w:trHeight w:val="20" w:hRule="atLeast"/>
        </w:trPr>
        <w:tc>
          <w:tcPr>
            <w:tcW w:w="268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вибуття</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0,005</w:t>
            </w:r>
          </w:p>
        </w:tc>
        <w:tc>
          <w:tcPr>
            <w:tcW w:w="7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7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0,008</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0,012</w:t>
            </w:r>
          </w:p>
        </w:tc>
        <w:tc>
          <w:tcPr>
            <w:tcW w:w="8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0,011</w:t>
            </w:r>
          </w:p>
        </w:tc>
        <w:tc>
          <w:tcPr>
            <w:tcW w:w="76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119,93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141,89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139,18</w:t>
            </w:r>
          </w:p>
        </w:tc>
        <w:tc>
          <w:tcPr>
            <w:tcW w:w="7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95,17</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lang w:eastAsia="uk-UA"/>
        </w:rPr>
      </w:pPr>
      <w:r>
        <w:rPr>
          <w:rFonts w:ascii="Times New Roman" w:hAnsi="Times New Roman"/>
          <w:sz w:val="28"/>
          <w:szCs w:val="28"/>
        </w:rPr>
        <w:t xml:space="preserve">За даними таблиці 2.15 на </w:t>
      </w:r>
      <w:r>
        <w:rPr>
          <w:rFonts w:eastAsia="Times New Roman" w:ascii="Times New Roman" w:hAnsi="Times New Roman"/>
          <w:sz w:val="28"/>
          <w:szCs w:val="28"/>
          <w:lang w:eastAsia="ru-RU"/>
        </w:rPr>
        <w:t>ТОВ «НЕЙЛ», протягом останніх п’яти років,</w:t>
      </w:r>
      <w:r>
        <w:rPr>
          <w:rFonts w:ascii="Times New Roman" w:hAnsi="Times New Roman"/>
          <w:sz w:val="28"/>
          <w:szCs w:val="28"/>
        </w:rPr>
        <w:t xml:space="preserve"> відбувається зростання вартості основних фондів за первісною вартістю, як на початок так і на кінець звітного періоду. Найбільше зростання на 28,27 % відбулося у 2017 р. щодо 2016 р. За досліджуваний період на підприємстві вартість введених в експлуатацію засобів праці значно випереджає розмір списаних основних фондів. Підтвердженням цього є значне зростання коефіцієнта введення у 2017 р. (у п’ять разів), у 2018 р. (майже у три рази) та на 7,19 % </w:t>
      </w:r>
      <w:r>
        <w:rPr>
          <w:rFonts w:ascii="Times New Roman" w:hAnsi="Times New Roman"/>
          <w:color w:val="000000"/>
          <w:sz w:val="28"/>
          <w:szCs w:val="28"/>
        </w:rPr>
        <w:t xml:space="preserve">у звітному порівняно з попереднім роком. Коефіцієнт вибуття також зростає, лише у звітному році він скоротився на 4,83 %. </w:t>
      </w:r>
      <w:r>
        <w:rPr>
          <w:rFonts w:ascii="Times New Roman" w:hAnsi="Times New Roman"/>
          <w:sz w:val="28"/>
          <w:szCs w:val="28"/>
        </w:rPr>
        <w:t xml:space="preserve">Аналізуючи рух основних засобів </w:t>
      </w:r>
      <w:r>
        <w:rPr>
          <w:rFonts w:eastAsia="Times New Roman" w:ascii="Times New Roman" w:hAnsi="Times New Roman"/>
          <w:sz w:val="28"/>
          <w:szCs w:val="28"/>
          <w:lang w:eastAsia="ru-RU"/>
        </w:rPr>
        <w:t>ТОВ «НЕЙЛ»</w:t>
      </w:r>
      <w:r>
        <w:rPr>
          <w:rFonts w:ascii="Times New Roman" w:hAnsi="Times New Roman"/>
          <w:sz w:val="28"/>
          <w:szCs w:val="28"/>
        </w:rPr>
        <w:t xml:space="preserve">, можна стверджувати, що за п’ять останніх роки набуття (перевищення вартості нових засобів виробництва над тими, що вибули) вартості пройшло в межах групи інших основних засобів. За іншими структурними групами присутнє вибуття, особливо у межах групи машин та обладнання. На кінець року відсоткове співвідношення у межах груп основних фондів на </w:t>
      </w:r>
      <w:r>
        <w:rPr>
          <w:rFonts w:eastAsia="Times New Roman" w:ascii="Times New Roman" w:hAnsi="Times New Roman"/>
          <w:sz w:val="28"/>
          <w:szCs w:val="28"/>
          <w:lang w:eastAsia="ru-RU"/>
        </w:rPr>
        <w:t>ТОВ «НЕЙЛ»</w:t>
      </w:r>
      <w:r>
        <w:rPr>
          <w:rFonts w:ascii="Times New Roman" w:hAnsi="Times New Roman"/>
          <w:sz w:val="28"/>
          <w:szCs w:val="28"/>
        </w:rPr>
        <w:t xml:space="preserve"> майже не змінилось, що вказує на пропорційні зміни їх вартості.</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Традиційно, узагальнюючими показниками інтенсивності та ефективності використання основних виробничих фондів </w:t>
      </w:r>
      <w:r>
        <w:rPr>
          <w:rFonts w:eastAsia="Times New Roman" w:ascii="Times New Roman" w:hAnsi="Times New Roman"/>
          <w:sz w:val="28"/>
          <w:szCs w:val="28"/>
          <w:lang w:eastAsia="ru-RU"/>
        </w:rPr>
        <w:t>ТОВ «НЕЙЛ»</w:t>
      </w:r>
      <w:r>
        <w:rPr>
          <w:rFonts w:ascii="Times New Roman" w:hAnsi="Times New Roman"/>
          <w:sz w:val="28"/>
          <w:szCs w:val="28"/>
        </w:rPr>
        <w:t xml:space="preserve"> є фондовіддача, фондовіддача активної частини (машиновіддача), фондомісткість (машиномісткість), рентабельність фондів.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Для </w:t>
      </w:r>
      <w:r>
        <w:rPr>
          <w:rFonts w:eastAsia="Times New Roman" w:ascii="Times New Roman" w:hAnsi="Times New Roman"/>
          <w:sz w:val="28"/>
          <w:szCs w:val="28"/>
          <w:lang w:eastAsia="ru-RU"/>
        </w:rPr>
        <w:t xml:space="preserve">ТОВ «НЕЙЛ» </w:t>
      </w:r>
      <w:r>
        <w:rPr>
          <w:rFonts w:ascii="Times New Roman" w:hAnsi="Times New Roman"/>
          <w:sz w:val="28"/>
          <w:szCs w:val="28"/>
        </w:rPr>
        <w:t>показники ефективності використання основних засобів зведено до таблиці 2.16.</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 таблиці 2.16 видно, що 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фондовіддача та машиновіддача мають однакові тенденції зміни, а показники фондоозброєності основних фондів є достатньо постійними, поряд з цим значення стрімко зростає протягом аналізованого періоду та вказують на покращення ефективності використання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w:t>
      </w:r>
    </w:p>
    <w:p>
      <w:pPr>
        <w:pStyle w:val="Normal"/>
        <w:spacing w:lineRule="auto" w:line="360"/>
        <w:ind w:firstLine="709"/>
        <w:rPr>
          <w:rFonts w:ascii="Times New Roman" w:hAnsi="Times New Roman"/>
          <w:sz w:val="28"/>
          <w:szCs w:val="28"/>
        </w:rPr>
      </w:pPr>
      <w:r>
        <w:rPr>
          <w:rFonts w:ascii="Times New Roman" w:hAnsi="Times New Roman"/>
          <w:sz w:val="28"/>
          <w:szCs w:val="28"/>
        </w:rPr>
        <w:t>Однак, у звітному році порівняно з попереднім роком, відбувається скорочення як рівня фондовіддачі на 0,33 грн або на 2,84 % так і машиновіддачі на 0,80 грн або на 5,17 %. Це вказує на погіршення ефективності використання основних фондів та їх активної частини у 2020 р.</w:t>
      </w:r>
    </w:p>
    <w:p>
      <w:pPr>
        <w:pStyle w:val="Normal"/>
        <w:spacing w:lineRule="auto" w:line="360"/>
        <w:ind w:firstLine="851"/>
        <w:rPr>
          <w:rFonts w:ascii="Times New Roman" w:hAnsi="Times New Roman"/>
          <w:sz w:val="28"/>
          <w:szCs w:val="28"/>
          <w:lang w:eastAsia="uk-UA"/>
        </w:rPr>
      </w:pPr>
      <w:r>
        <w:rPr>
          <w:rFonts w:ascii="Times New Roman" w:hAnsi="Times New Roman"/>
          <w:sz w:val="28"/>
          <w:szCs w:val="28"/>
        </w:rPr>
        <w:t xml:space="preserve">За допомогою графіків (рисунок 2.21) проілюструємо динаміку показників ефективності використання основних фондів </w:t>
      </w:r>
      <w:r>
        <w:rPr>
          <w:rFonts w:eastAsia="Times New Roman" w:ascii="Times New Roman" w:hAnsi="Times New Roman"/>
          <w:sz w:val="28"/>
          <w:szCs w:val="28"/>
          <w:lang w:eastAsia="ru-RU"/>
        </w:rPr>
        <w:t>ТОВ «НЕЙЛ»</w:t>
      </w:r>
      <w:r>
        <w:rPr>
          <w:rFonts w:ascii="Times New Roman" w:hAnsi="Times New Roman"/>
          <w:sz w:val="28"/>
          <w:szCs w:val="28"/>
        </w:rPr>
        <w:t>.</w:t>
      </w:r>
    </w:p>
    <w:p>
      <w:pPr>
        <w:pStyle w:val="Normal"/>
        <w:spacing w:lineRule="auto" w:line="360"/>
        <w:ind w:firstLine="851"/>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4"/>
          <w:szCs w:val="24"/>
        </w:rPr>
      </w:pPr>
      <w:r>
        <w:rPr/>
        <w:drawing>
          <wp:inline distT="0" distB="0" distL="0" distR="0">
            <wp:extent cx="5230495" cy="2743200"/>
            <wp:effectExtent l="0" t="0" r="0" b="0"/>
            <wp:docPr id="22" name="Рисунок 5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57" descr=""/>
                    <pic:cNvPicPr>
                      <a:picLocks noChangeAspect="1" noChangeArrowheads="1"/>
                    </pic:cNvPicPr>
                  </pic:nvPicPr>
                  <pic:blipFill>
                    <a:blip r:embed="rId62"/>
                    <a:stretch>
                      <a:fillRect/>
                    </a:stretch>
                  </pic:blipFill>
                  <pic:spPr bwMode="auto">
                    <a:xfrm>
                      <a:off x="0" y="0"/>
                      <a:ext cx="5230495" cy="2743200"/>
                    </a:xfrm>
                    <a:prstGeom prst="rect">
                      <a:avLst/>
                    </a:prstGeom>
                  </pic:spPr>
                </pic:pic>
              </a:graphicData>
            </a:graphic>
          </wp:inline>
        </w:drawing>
      </w:r>
    </w:p>
    <w:p>
      <w:pPr>
        <w:pStyle w:val="Normal"/>
        <w:spacing w:lineRule="auto" w:line="360"/>
        <w:rPr>
          <w:rFonts w:ascii="Times New Roman" w:hAnsi="Times New Roman"/>
          <w:sz w:val="28"/>
          <w:szCs w:val="28"/>
        </w:rPr>
      </w:pPr>
      <w:r>
        <w:rPr>
          <w:rFonts w:ascii="Times New Roman" w:hAnsi="Times New Roman"/>
          <w:sz w:val="28"/>
          <w:szCs w:val="28"/>
        </w:rPr>
      </w:r>
    </w:p>
    <w:p>
      <w:pPr>
        <w:sectPr>
          <w:headerReference w:type="default" r:id="rId63"/>
          <w:footerReference w:type="default" r:id="rId64"/>
          <w:type w:val="nextPage"/>
          <w:pgSz w:w="11906" w:h="16838"/>
          <w:pgMar w:left="1701" w:right="567" w:header="709" w:top="1134" w:footer="709" w:bottom="1134" w:gutter="0"/>
          <w:pgNumType w:fmt="decimal"/>
          <w:formProt w:val="false"/>
          <w:textDirection w:val="lrTb"/>
          <w:docGrid w:type="default" w:linePitch="299" w:charSpace="0"/>
        </w:sectPr>
        <w:pStyle w:val="Normal"/>
        <w:numPr>
          <w:ilvl w:val="0"/>
          <w:numId w:val="0"/>
        </w:numPr>
        <w:spacing w:lineRule="auto" w:line="360"/>
        <w:jc w:val="center"/>
        <w:outlineLvl w:val="0"/>
        <w:rPr>
          <w:rFonts w:ascii="Times New Roman" w:hAnsi="Times New Roman"/>
          <w:sz w:val="28"/>
          <w:szCs w:val="28"/>
        </w:rPr>
      </w:pPr>
      <w:r>
        <w:rPr>
          <w:rFonts w:ascii="Times New Roman" w:hAnsi="Times New Roman"/>
          <w:sz w:val="28"/>
          <w:szCs w:val="28"/>
        </w:rPr>
        <w:t>Рисунок 2.21 – Зміни показників ефективності використання основних фондів: фондо- та машиновіддачі і зміни фондоозброєності загальної та технічної</w:t>
      </w:r>
    </w:p>
    <w:p>
      <w:pPr>
        <w:pStyle w:val="Normal"/>
        <w:spacing w:lineRule="auto" w:line="360"/>
        <w:ind w:firstLine="709"/>
        <w:rPr>
          <w:rFonts w:ascii="Times New Roman" w:hAnsi="Times New Roman"/>
          <w:sz w:val="28"/>
          <w:szCs w:val="28"/>
        </w:rPr>
      </w:pPr>
      <w:r>
        <w:rPr>
          <w:rFonts w:ascii="Times New Roman" w:hAnsi="Times New Roman"/>
          <w:sz w:val="28"/>
          <w:szCs w:val="28"/>
        </w:rPr>
        <w:t>Таблиця 2.9 – Показники ефективності використання основних засобів</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4215"/>
        <w:gridCol w:w="1255"/>
        <w:gridCol w:w="716"/>
        <w:gridCol w:w="715"/>
        <w:gridCol w:w="716"/>
        <w:gridCol w:w="715"/>
        <w:gridCol w:w="865"/>
        <w:gridCol w:w="716"/>
        <w:gridCol w:w="865"/>
        <w:gridCol w:w="866"/>
        <w:gridCol w:w="816"/>
        <w:gridCol w:w="816"/>
        <w:gridCol w:w="865"/>
        <w:gridCol w:w="10"/>
        <w:gridCol w:w="418"/>
      </w:tblGrid>
      <w:tr>
        <w:trPr>
          <w:trHeight w:val="20" w:hRule="atLeast"/>
        </w:trPr>
        <w:tc>
          <w:tcPr>
            <w:tcW w:w="4215" w:type="dxa"/>
            <w:vMerge w:val="restart"/>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1255" w:type="dxa"/>
            <w:vMerge w:val="restart"/>
            <w:tcBorders>
              <w:top w:val="single" w:sz="8" w:space="0" w:color="000000"/>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Од. виміру</w:t>
            </w:r>
          </w:p>
        </w:tc>
        <w:tc>
          <w:tcPr>
            <w:tcW w:w="8681"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Рік</w:t>
            </w:r>
          </w:p>
        </w:tc>
        <w:tc>
          <w:tcPr>
            <w:tcW w:w="418" w:type="dxa"/>
            <w:tcBorders>
              <w:top w:val="single" w:sz="4" w:space="0" w:color="000000"/>
              <w:lef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r>
      <w:tr>
        <w:trPr>
          <w:trHeight w:val="20" w:hRule="atLeast"/>
        </w:trPr>
        <w:tc>
          <w:tcPr>
            <w:tcW w:w="4215" w:type="dxa"/>
            <w:vMerge w:val="continue"/>
            <w:tcBorders>
              <w:top w:val="single" w:sz="8" w:space="0" w:color="000000"/>
              <w:left w:val="single" w:sz="8" w:space="0" w:color="000000"/>
              <w:bottom w:val="single" w:sz="8" w:space="0" w:color="000000"/>
              <w:right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255" w:type="dxa"/>
            <w:vMerge w:val="continue"/>
            <w:tcBorders>
              <w:top w:val="single" w:sz="8" w:space="0" w:color="000000"/>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428" w:type="dxa"/>
            <w:gridSpan w:val="2"/>
            <w:tcBorders>
              <w:left w:val="single" w:sz="4" w:space="0" w:color="000000"/>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Обсяг товарної продукції в діючих цінах</w:t>
            </w:r>
          </w:p>
        </w:tc>
        <w:tc>
          <w:tcPr>
            <w:tcW w:w="1255" w:type="dxa"/>
            <w:vMerge w:val="restart"/>
            <w:tcBorders>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45678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46789</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48978</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30005</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41170,5</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64737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89606,7</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94589,3</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132399</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131897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129870</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Середньорічна вартість основних виробничих фондів</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6907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8249</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8179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7380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7323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7250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11290</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9871</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14004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11380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11532,2</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Середньорічна вартість активної частини основних виробничих фондів</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5109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6267</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5903</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5263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4313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4613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7690</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6784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10464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8517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8843</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Чисельність промислово-виробничого персоналу</w:t>
            </w:r>
          </w:p>
        </w:tc>
        <w:tc>
          <w:tcPr>
            <w:tcW w:w="1255" w:type="dxa"/>
            <w:vMerge w:val="restart"/>
            <w:tcBorders>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осіб</w:t>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243</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256</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239</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Чисельність робітників</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219</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229</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225</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232</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активної частини основних фондів</w:t>
            </w:r>
          </w:p>
        </w:tc>
        <w:tc>
          <w:tcPr>
            <w:tcW w:w="1255" w:type="dxa"/>
            <w:tcBorders>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73,97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75,97</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72,17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71,31</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63,63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68,11</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74,72</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74,84</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76,68</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w:t>
            </w:r>
          </w:p>
        </w:tc>
        <w:tc>
          <w:tcPr>
            <w:tcW w:w="1255" w:type="dxa"/>
            <w:vMerge w:val="restart"/>
            <w:tcBorders>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5,67</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5,62</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7,94</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11,59</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11,26</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Фондомісткість</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0,15</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0,17</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0,25</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0,13</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Машиновіддача</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5,70</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9,55</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14,03</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11,65</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13,94</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12,65</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15,49</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14,69</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Машиномісткість</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0,12</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0,18</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0,06</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загальна</w:t>
            </w:r>
          </w:p>
        </w:tc>
        <w:tc>
          <w:tcPr>
            <w:tcW w:w="1255" w:type="dxa"/>
            <w:vMerge w:val="restart"/>
            <w:tcBorders>
              <w:left w:val="single" w:sz="8" w:space="0" w:color="000000"/>
              <w:bottom w:val="single" w:sz="8"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грн/особу</w:t>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24,94</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30,78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30,86</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27,64</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31,43</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30,21</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46,46</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40,45</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54,70</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47,42</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48,25</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r>
      <w:tr>
        <w:trPr>
          <w:trHeight w:val="20" w:hRule="atLeast"/>
        </w:trPr>
        <w:tc>
          <w:tcPr>
            <w:tcW w:w="4215" w:type="dxa"/>
            <w:tcBorders>
              <w:left w:val="single" w:sz="8" w:space="0" w:color="000000"/>
              <w:bottom w:val="single" w:sz="8" w:space="0" w:color="000000"/>
              <w:right w:val="single" w:sz="8"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технічна</w:t>
            </w:r>
          </w:p>
        </w:tc>
        <w:tc>
          <w:tcPr>
            <w:tcW w:w="1255" w:type="dxa"/>
            <w:vMerge w:val="continue"/>
            <w:tcBorders>
              <w:left w:val="single" w:sz="8" w:space="0" w:color="000000"/>
              <w:bottom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16"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24,10</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28,10</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27,33</w:t>
            </w:r>
          </w:p>
        </w:tc>
        <w:tc>
          <w:tcPr>
            <w:tcW w:w="7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24,25</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19,78</w:t>
            </w:r>
          </w:p>
        </w:tc>
        <w:tc>
          <w:tcPr>
            <w:tcW w:w="7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21,06</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33,58</w:t>
            </w:r>
          </w:p>
        </w:tc>
        <w:tc>
          <w:tcPr>
            <w:tcW w:w="86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30,15</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44,72</w:t>
            </w:r>
          </w:p>
        </w:tc>
        <w:tc>
          <w:tcPr>
            <w:tcW w:w="8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36,55</w:t>
            </w:r>
          </w:p>
        </w:tc>
        <w:tc>
          <w:tcPr>
            <w:tcW w:w="86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38,12</w:t>
            </w:r>
          </w:p>
        </w:tc>
        <w:tc>
          <w:tcPr>
            <w:tcW w:w="428" w:type="dxa"/>
            <w:gridSpan w:val="2"/>
            <w:tcBorders>
              <w:bottom w:val="single" w:sz="4"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r>
    </w:tbl>
    <w:p>
      <w:pPr>
        <w:pStyle w:val="Normal"/>
        <w:ind w:firstLine="709"/>
        <w:rPr>
          <w:rFonts w:ascii="Times New Roman" w:hAnsi="Times New Roman"/>
          <w:sz w:val="18"/>
          <w:szCs w:val="28"/>
        </w:rPr>
      </w:pPr>
      <w:r>
        <w:rPr>
          <w:rFonts w:ascii="Times New Roman" w:hAnsi="Times New Roman"/>
          <w:sz w:val="1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Продовження таблиці 2.16</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686"/>
        <w:gridCol w:w="1262"/>
        <w:gridCol w:w="1261"/>
        <w:gridCol w:w="1261"/>
        <w:gridCol w:w="1260"/>
        <w:gridCol w:w="1260"/>
        <w:gridCol w:w="1260"/>
        <w:gridCol w:w="1261"/>
        <w:gridCol w:w="1260"/>
        <w:gridCol w:w="1260"/>
        <w:gridCol w:w="1261"/>
        <w:gridCol w:w="1277"/>
      </w:tblGrid>
      <w:tr>
        <w:trPr>
          <w:trHeight w:val="20" w:hRule="atLeast"/>
        </w:trPr>
        <w:tc>
          <w:tcPr>
            <w:tcW w:w="686" w:type="dxa"/>
            <w:vMerge w:val="restart"/>
            <w:tcBorders>
              <w:top w:val="single" w:sz="8" w:space="0" w:color="000000"/>
              <w:bottom w:val="single" w:sz="8" w:space="0" w:color="000000"/>
              <w:right w:val="single" w:sz="8"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3883" w:type="dxa"/>
            <w:gridSpan w:val="11"/>
            <w:tcBorders>
              <w:top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Темпи росту за роками, %</w:t>
            </w:r>
          </w:p>
        </w:tc>
      </w:tr>
      <w:tr>
        <w:trPr>
          <w:trHeight w:val="20" w:hRule="atLeast"/>
        </w:trPr>
        <w:tc>
          <w:tcPr>
            <w:tcW w:w="686" w:type="dxa"/>
            <w:vMerge w:val="continue"/>
            <w:tcBorders>
              <w:top w:val="single" w:sz="8" w:space="0" w:color="000000"/>
              <w:bottom w:val="single" w:sz="8" w:space="0" w:color="000000"/>
              <w:right w:val="single" w:sz="8"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2011/2010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2012/2011</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2013/2012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2014/2013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2015/2014</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2016/2015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2017/2016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2018/2017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2019/2018</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2020/2019</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2020/2010</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102,43</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104,68</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61,26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137,21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157,24</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138,42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105,56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139,97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99,62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98,46</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284,32</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119,43</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99,15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90,23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99,23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99,00</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155,72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87,43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141,87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81,26</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101,34</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166,96</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122,67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94,19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89,16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81,95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106,96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166,70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88,22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154,25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81,39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103,83</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173,09</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96,75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98,88</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100,75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87,27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103,00</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101,25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104,92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93,75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99,58</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86,28</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105,19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96,86</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100,46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104,57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98,25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104,00</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99,57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99,57</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109,43</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102,71</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95,00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98,81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82,59</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108,03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107,05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100,90</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108,72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100,16</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102,46</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103,67</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85,77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105,57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67,89</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138,28</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158,82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88,89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120,74</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98,66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122,59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97,16</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170,29</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116,59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94,72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147,29</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72,32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62,96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112,50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82,83</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101,36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102,92</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58,72</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83,51</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111,13</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167,44</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147,02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83,03</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119,66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90,75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122,39</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94,83</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164,26</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119,75</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89,98</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145,54</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59,72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68,02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120,44</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83,57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110,20</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81,70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105,45</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60,88</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123,44</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100,27</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89,56</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113,71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96,12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153,80</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87,07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135,22</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86,68</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101,76</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193,51</w:t>
            </w:r>
          </w:p>
        </w:tc>
      </w:tr>
      <w:tr>
        <w:trPr>
          <w:trHeight w:val="20" w:hRule="atLeast"/>
        </w:trPr>
        <w:tc>
          <w:tcPr>
            <w:tcW w:w="686" w:type="dxa"/>
            <w:tcBorders>
              <w:bottom w:val="single" w:sz="8" w:space="0" w:color="000000"/>
              <w:right w:val="single" w:sz="8" w:space="0" w:color="000000"/>
            </w:tcBorders>
            <w:shd w:fill="auto" w:val="clea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c>
          <w:tcPr>
            <w:tcW w:w="1262"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116,62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97,24</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88,75</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106,47</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159,42</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89,79</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148,31</w:t>
            </w:r>
          </w:p>
        </w:tc>
        <w:tc>
          <w:tcPr>
            <w:tcW w:w="1260"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81,74</w:t>
            </w:r>
          </w:p>
        </w:tc>
        <w:tc>
          <w:tcPr>
            <w:tcW w:w="1261"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104,28</w:t>
            </w:r>
          </w:p>
        </w:tc>
        <w:tc>
          <w:tcPr>
            <w:tcW w:w="1277" w:type="dxa"/>
            <w:tcBorders>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158,17</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 xml:space="preserve">Таблиця 2.17 – Показники для факторного аналізу ефективності використання основних фондів </w:t>
      </w:r>
      <w:r>
        <w:rPr>
          <w:rFonts w:eastAsia="Times New Roman" w:ascii="Times New Roman" w:hAnsi="Times New Roman"/>
          <w:sz w:val="28"/>
          <w:szCs w:val="28"/>
          <w:lang w:eastAsia="ru-RU"/>
        </w:rPr>
        <w:t>ТОВ «НЕЙЛ»</w:t>
      </w:r>
    </w:p>
    <w:tbl>
      <w:tblPr>
        <w:tblW w:w="14568" w:type="dxa"/>
        <w:jc w:val="left"/>
        <w:tblInd w:w="-10" w:type="dxa"/>
        <w:tblCellMar>
          <w:top w:w="0" w:type="dxa"/>
          <w:left w:w="108" w:type="dxa"/>
          <w:bottom w:w="0" w:type="dxa"/>
          <w:right w:w="108" w:type="dxa"/>
        </w:tblCellMar>
        <w:tblLook w:firstRow="1" w:noVBand="1" w:lastRow="0" w:firstColumn="1" w:lastColumn="0" w:noHBand="0" w:val="04a0"/>
      </w:tblPr>
      <w:tblGrid>
        <w:gridCol w:w="1756"/>
        <w:gridCol w:w="1041"/>
        <w:gridCol w:w="1070"/>
        <w:gridCol w:w="1070"/>
        <w:gridCol w:w="1069"/>
        <w:gridCol w:w="1069"/>
        <w:gridCol w:w="1069"/>
        <w:gridCol w:w="1070"/>
        <w:gridCol w:w="1069"/>
        <w:gridCol w:w="1069"/>
        <w:gridCol w:w="1070"/>
        <w:gridCol w:w="1069"/>
        <w:gridCol w:w="1076"/>
      </w:tblGrid>
      <w:tr>
        <w:trPr>
          <w:trHeight w:val="255" w:hRule="atLeast"/>
        </w:trPr>
        <w:tc>
          <w:tcPr>
            <w:tcW w:w="1756"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104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Од. виміру</w:t>
            </w:r>
          </w:p>
        </w:tc>
        <w:tc>
          <w:tcPr>
            <w:tcW w:w="11770" w:type="dxa"/>
            <w:gridSpan w:val="11"/>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відхилення за роками</w:t>
            </w:r>
          </w:p>
        </w:tc>
      </w:tr>
      <w:tr>
        <w:trPr>
          <w:trHeight w:val="270" w:hRule="atLeast"/>
        </w:trPr>
        <w:tc>
          <w:tcPr>
            <w:tcW w:w="1756"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2011-2010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2012-2011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2013-2012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2014-2013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2015-2014</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2016-2015</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2017-2016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2018-2017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2019-2018</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2020-2019</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2020-2010</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Обсяг товарної продукції в діючих цінах</w:t>
            </w:r>
          </w:p>
        </w:tc>
        <w:tc>
          <w:tcPr>
            <w:tcW w:w="104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1111</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2189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-18973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11165,5</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23566,5</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24869,7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4982,6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37809,7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-2027</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84192</w:t>
            </w:r>
          </w:p>
        </w:tc>
      </w:tr>
      <w:tr>
        <w:trPr>
          <w:trHeight w:val="525"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Середньорічна вартість основних виробничих фондів</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1342</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4040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-1419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4133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-2624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152,2</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4625,2</w:t>
            </w:r>
          </w:p>
        </w:tc>
      </w:tr>
      <w:tr>
        <w:trPr>
          <w:trHeight w:val="525"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Середньорічна вартість активної частини основних виробничих фондів</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1158</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-640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3077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3680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-1947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326</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3734</w:t>
            </w:r>
          </w:p>
        </w:tc>
      </w:tr>
      <w:tr>
        <w:trPr>
          <w:trHeight w:val="525"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Чисельність промислово-виробничого персоналу</w:t>
            </w:r>
          </w:p>
        </w:tc>
        <w:tc>
          <w:tcPr>
            <w:tcW w:w="104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осіб</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Чисельність робітників</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активної частини основних фондів</w:t>
            </w:r>
          </w:p>
        </w:tc>
        <w:tc>
          <w:tcPr>
            <w:tcW w:w="104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-12,42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4,73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0,61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2,71</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w:t>
            </w:r>
          </w:p>
        </w:tc>
        <w:tc>
          <w:tcPr>
            <w:tcW w:w="104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грн</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-0,94</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0,32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3,31</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1,65</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-0,33</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4,65</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Фондомісткість</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-0,06</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Машиновіддача</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-2,60</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3,84</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4,49</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-2,38</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2,29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-1,29</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-0,80</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5,75</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Машиномісткість</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0,00</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right="-191" w:hanging="0"/>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загальна</w:t>
            </w:r>
          </w:p>
        </w:tc>
        <w:tc>
          <w:tcPr>
            <w:tcW w:w="104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right="-151" w:hanging="154"/>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тис. грн/особу</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5,84</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-1,22</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16,25</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-6,01</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14,25</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-7,29</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0,84</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23,32</w:t>
            </w:r>
          </w:p>
        </w:tc>
      </w:tr>
      <w:tr>
        <w:trPr>
          <w:trHeight w:val="270" w:hRule="atLeast"/>
        </w:trPr>
        <w:tc>
          <w:tcPr>
            <w:tcW w:w="1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right="-191" w:hanging="0"/>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технічна</w:t>
            </w:r>
          </w:p>
        </w:tc>
        <w:tc>
          <w:tcPr>
            <w:tcW w:w="1041"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4,00</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-0,77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-3,08</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1,28</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12,52</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-3,43</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14,57</w:t>
            </w:r>
          </w:p>
        </w:tc>
        <w:tc>
          <w:tcPr>
            <w:tcW w:w="10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-8,16</w:t>
            </w:r>
          </w:p>
        </w:tc>
        <w:tc>
          <w:tcPr>
            <w:tcW w:w="106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1,56</w:t>
            </w:r>
          </w:p>
        </w:tc>
        <w:tc>
          <w:tcPr>
            <w:tcW w:w="107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14,02</w:t>
            </w:r>
          </w:p>
        </w:tc>
      </w:tr>
    </w:tbl>
    <w:p>
      <w:pPr>
        <w:sectPr>
          <w:headerReference w:type="default" r:id="rId65"/>
          <w:footerReference w:type="default" r:id="rId66"/>
          <w:type w:val="nextPage"/>
          <w:pgSz w:orient="landscape" w:w="16838" w:h="11906"/>
          <w:pgMar w:left="1134" w:right="1134" w:header="709" w:top="766" w:footer="709" w:bottom="1701" w:gutter="0"/>
          <w:pgNumType w:fmt="decimal"/>
          <w:formProt w:val="false"/>
          <w:textDirection w:val="lrTb"/>
          <w:docGrid w:type="default" w:linePitch="100" w:charSpace="0"/>
        </w:sectPr>
      </w:pPr>
    </w:p>
    <w:p>
      <w:pPr>
        <w:pStyle w:val="Normal"/>
        <w:spacing w:lineRule="auto" w:line="360"/>
        <w:ind w:firstLine="567"/>
        <w:rPr>
          <w:rFonts w:ascii="Times New Roman" w:hAnsi="Times New Roman" w:eastAsia="Times New Roman"/>
          <w:sz w:val="28"/>
          <w:szCs w:val="28"/>
          <w:lang w:eastAsia="ru-RU"/>
        </w:rPr>
      </w:pPr>
      <w:r>
        <w:rPr>
          <w:rFonts w:ascii="Times New Roman" w:hAnsi="Times New Roman"/>
          <w:sz w:val="28"/>
          <w:szCs w:val="28"/>
        </w:rPr>
        <w:t xml:space="preserve">Таблиця 2.18 – Показники для факторного аналізу ефективності використання основних фондів </w:t>
      </w:r>
      <w:r>
        <w:rPr>
          <w:rFonts w:eastAsia="Times New Roman" w:ascii="Times New Roman" w:hAnsi="Times New Roman"/>
          <w:sz w:val="28"/>
          <w:szCs w:val="28"/>
          <w:lang w:eastAsia="ru-RU"/>
        </w:rPr>
        <w:t>ТОВ «НЕЙЛ»</w:t>
      </w:r>
    </w:p>
    <w:tbl>
      <w:tblPr>
        <w:tblW w:w="9628" w:type="dxa"/>
        <w:jc w:val="left"/>
        <w:tblInd w:w="0" w:type="dxa"/>
        <w:tblCellMar>
          <w:top w:w="0" w:type="dxa"/>
          <w:left w:w="108" w:type="dxa"/>
          <w:bottom w:w="0" w:type="dxa"/>
          <w:right w:w="108" w:type="dxa"/>
        </w:tblCellMar>
        <w:tblLook w:firstRow="1" w:noVBand="1" w:lastRow="0" w:firstColumn="1" w:lastColumn="0" w:noHBand="0" w:val="04a0"/>
      </w:tblPr>
      <w:tblGrid>
        <w:gridCol w:w="1169"/>
        <w:gridCol w:w="728"/>
        <w:gridCol w:w="680"/>
        <w:gridCol w:w="802"/>
        <w:gridCol w:w="752"/>
        <w:gridCol w:w="752"/>
        <w:gridCol w:w="802"/>
        <w:gridCol w:w="827"/>
        <w:gridCol w:w="779"/>
        <w:gridCol w:w="827"/>
        <w:gridCol w:w="728"/>
        <w:gridCol w:w="781"/>
      </w:tblGrid>
      <w:tr>
        <w:trPr>
          <w:trHeight w:val="255" w:hRule="atLeast"/>
        </w:trPr>
        <w:tc>
          <w:tcPr>
            <w:tcW w:w="1169"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Показники</w:t>
            </w:r>
          </w:p>
        </w:tc>
        <w:tc>
          <w:tcPr>
            <w:tcW w:w="8458" w:type="dxa"/>
            <w:gridSpan w:val="11"/>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Вплив факторів за роками</w:t>
            </w:r>
          </w:p>
        </w:tc>
      </w:tr>
      <w:tr>
        <w:trPr>
          <w:trHeight w:val="270" w:hRule="atLeast"/>
        </w:trPr>
        <w:tc>
          <w:tcPr>
            <w:tcW w:w="116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2011-</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2010</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2012-</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2011</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2013-</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2012</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2014-</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2013</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2015-</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2014</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2016-</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2015</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2017-</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2016</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2018-</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2017</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2019-</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2018</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2019</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2020-</w:t>
            </w:r>
          </w:p>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2010</w:t>
            </w:r>
          </w:p>
        </w:tc>
      </w:tr>
      <w:tr>
        <w:trPr>
          <w:trHeight w:val="270" w:hRule="atLeast"/>
        </w:trPr>
        <w:tc>
          <w:tcPr>
            <w:tcW w:w="11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Обсяг товарної продукції, тис. грн</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1111,0</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2189,0</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-18973,0</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11165,5</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23566,5</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24869,7</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4982,6</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37809,7</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-502,0</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-2027,0</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84192,0</w:t>
            </w:r>
          </w:p>
        </w:tc>
      </w:tr>
      <w:tr>
        <w:trPr>
          <w:trHeight w:val="525" w:hRule="atLeast"/>
        </w:trPr>
        <w:tc>
          <w:tcPr>
            <w:tcW w:w="11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Вартість основних фондів, тис. грн</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8875,04</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-397,05</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-4784,62</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-231,75</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-410,41</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36074,14</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-11262,35</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39604,66</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-24808,27</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1764,04</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130" w:hanging="79"/>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30587,79</w:t>
            </w:r>
          </w:p>
        </w:tc>
      </w:tr>
      <w:tr>
        <w:trPr>
          <w:trHeight w:val="270" w:hRule="atLeast"/>
        </w:trPr>
        <w:tc>
          <w:tcPr>
            <w:tcW w:w="11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Питома вага активної частини основних фондів, %</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0,18</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-0,28</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-0,07</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-0,71</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0,45</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0,63</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0,07</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0,84</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0,02</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0,28</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0,24</w:t>
            </w:r>
          </w:p>
        </w:tc>
      </w:tr>
      <w:tr>
        <w:trPr>
          <w:trHeight w:val="270" w:hRule="atLeast"/>
        </w:trPr>
        <w:tc>
          <w:tcPr>
            <w:tcW w:w="11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Фондовіддача, грн</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-7764,04</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2586,05</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-14188,38</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11397,25</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23976,91</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-11204,44</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16244,95</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-1794,96</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24306,27</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-3791,04</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53604,21</w:t>
            </w:r>
          </w:p>
        </w:tc>
      </w:tr>
      <w:tr>
        <w:trPr>
          <w:trHeight w:val="270" w:hRule="atLeast"/>
        </w:trPr>
        <w:tc>
          <w:tcPr>
            <w:tcW w:w="116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Машиновіддача, грн</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-1,12</w:t>
            </w:r>
          </w:p>
        </w:tc>
        <w:tc>
          <w:tcPr>
            <w:tcW w:w="6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0,60</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-1,85</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2,26</w:t>
            </w:r>
          </w:p>
        </w:tc>
        <w:tc>
          <w:tcPr>
            <w:tcW w:w="75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2,86</w:t>
            </w:r>
          </w:p>
        </w:tc>
        <w:tc>
          <w:tcPr>
            <w:tcW w:w="80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-1,62</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1,57</w:t>
            </w:r>
          </w:p>
        </w:tc>
        <w:tc>
          <w:tcPr>
            <w:tcW w:w="77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-0,96</w:t>
            </w:r>
          </w:p>
        </w:tc>
        <w:tc>
          <w:tcPr>
            <w:tcW w:w="82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2,12</w:t>
            </w:r>
          </w:p>
        </w:tc>
        <w:tc>
          <w:tcPr>
            <w:tcW w:w="7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-0,61</w:t>
            </w:r>
          </w:p>
        </w:tc>
        <w:tc>
          <w:tcPr>
            <w:tcW w:w="7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right="-73" w:hanging="11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4,41</w:t>
            </w:r>
          </w:p>
        </w:tc>
      </w:tr>
    </w:tbl>
    <w:p>
      <w:pPr>
        <w:pStyle w:val="Normal"/>
        <w:spacing w:lineRule="auto" w:line="360"/>
        <w:rPr>
          <w:rFonts w:ascii="Times New Roman" w:hAnsi="Times New Roman"/>
          <w:sz w:val="28"/>
          <w:szCs w:val="28"/>
          <w:lang w:val="ru-RU" w:eastAsia="uk-UA"/>
        </w:rPr>
      </w:pPr>
      <w:r>
        <w:rPr>
          <w:rFonts w:ascii="Times New Roman" w:hAnsi="Times New Roman"/>
          <w:sz w:val="28"/>
          <w:szCs w:val="28"/>
          <w:lang w:val="ru-RU" w:eastAsia="uk-UA"/>
        </w:rPr>
      </w:r>
    </w:p>
    <w:p>
      <w:pPr>
        <w:pStyle w:val="Normal"/>
        <w:spacing w:lineRule="auto" w:line="360"/>
        <w:ind w:firstLine="851"/>
        <w:rPr>
          <w:rFonts w:ascii="Times New Roman" w:hAnsi="Times New Roman"/>
          <w:sz w:val="28"/>
          <w:szCs w:val="28"/>
        </w:rPr>
      </w:pPr>
      <w:r>
        <w:rPr>
          <w:rFonts w:ascii="Times New Roman" w:hAnsi="Times New Roman"/>
          <w:sz w:val="28"/>
          <w:szCs w:val="28"/>
        </w:rPr>
        <w:t xml:space="preserve">На рисунку 2.21 явно прослідковується певне коливання показників ефективності використання основних фондів: зміна фондовіддачі та машиновіддачі і показників фондоозброєності основних засобів мають схожі тенденції. </w:t>
      </w:r>
    </w:p>
    <w:p>
      <w:pPr>
        <w:pStyle w:val="Normal"/>
        <w:spacing w:lineRule="auto" w:line="360"/>
        <w:ind w:firstLine="851"/>
        <w:rPr>
          <w:rFonts w:ascii="Times New Roman" w:hAnsi="Times New Roman"/>
          <w:sz w:val="28"/>
          <w:szCs w:val="28"/>
        </w:rPr>
      </w:pPr>
      <w:r>
        <w:rPr>
          <w:rFonts w:ascii="Times New Roman" w:hAnsi="Times New Roman"/>
          <w:sz w:val="28"/>
          <w:szCs w:val="28"/>
        </w:rPr>
        <w:t>Проведемо факторний аналіз і визначимо що стало причиною падіння аналізованого показника. Всі необхідні дані представлені в таблиці 2.18.</w:t>
      </w:r>
    </w:p>
    <w:p>
      <w:pPr>
        <w:pStyle w:val="Normal"/>
        <w:spacing w:lineRule="auto" w:line="360"/>
        <w:ind w:firstLine="851"/>
        <w:rPr>
          <w:rFonts w:ascii="Times New Roman" w:hAnsi="Times New Roman"/>
          <w:sz w:val="28"/>
          <w:szCs w:val="28"/>
        </w:rPr>
      </w:pPr>
      <w:r>
        <w:rPr>
          <w:rFonts w:ascii="Times New Roman" w:hAnsi="Times New Roman"/>
          <w:sz w:val="28"/>
          <w:szCs w:val="28"/>
        </w:rPr>
        <w:t>Протягом аналізованого періоду рівень фондовіддачі зріс на 4,65 грн. Аналогічне зростання відбулося у 2012 р. на 0,32 грн, у 2014 р. на 1,56 грн, у 2015 р. на 3,31 грн, у 2017 р. на 1,65 грн та у 2019 р. на 2,14 грн. зменшення рівня фондовіддачі спостерігалося у 2011 р. на 0,94 грн, у 2013 р. на 1,92 грн, у 2016 р. на 0,99 грн, у 2018 р. на 0,13 грн та у 2017 р. на 0,33 грн. Ця зміна була викликана дією двох факторів:</w:t>
      </w:r>
    </w:p>
    <w:p>
      <w:pPr>
        <w:pStyle w:val="Normal"/>
        <w:spacing w:lineRule="auto" w:line="360"/>
        <w:ind w:firstLine="851"/>
        <w:rPr>
          <w:rFonts w:ascii="Times New Roman" w:hAnsi="Times New Roman"/>
          <w:sz w:val="28"/>
          <w:szCs w:val="28"/>
        </w:rPr>
      </w:pPr>
      <w:r>
        <w:rPr>
          <w:rFonts w:ascii="Times New Roman" w:hAnsi="Times New Roman"/>
          <w:sz w:val="28"/>
          <w:szCs w:val="28"/>
        </w:rPr>
        <w:t>1) зміни питомої ваги активної частини основних фондів:</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2010 р. по 2011 р. цього чинника на 2,0 п. забезпечило додаткове зростання рівня фондовіддачі на 0,18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2014 р. по 2015 р. питомої ваги активної частини основних фондів на 4,73 п. забезпечило додаткове зростання рівня фондовіддачі на 0,45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2015 р. по 2016 р. цього чинника на 4,49 п. забезпечило додаткове зростання рівня фондовіддачі на 0,63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2016 р. по 2017 р. питомої ваги активної частини основних засобів на 0,61 п. забезпечило додаткове зростання рівня фондовіддачі на 0,07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2017 р. по 2018 р. питомої ваги активної частини основних фондів на 5,99 п. забезпечило додаткове зростання рівня фондовіддачі на 0,84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2018 р. по 2019 р. питомої ваги активної частини основних фондів на 0,12 п. сприяло додатковому зростанню рівня фондовіддачі на 0,02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2019 р. по 2020 р. питомої ваги активної частини засобів праці на 1,84 п. забезпечило додаткове зростання рівня фондовіддачі на 0,28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зростання з 2010 р. по 2020 р. структури активної частини основних фондів на 2,71 п. забезпечило зростання рівня фондовіддачі на 0,24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зменшення з 2011 р. по 2012 р. питомої ваги активної частини основних фондів на 3,8 п. призвело до скорочення рівня фондовіддачі на 0,28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зменшення з 2012 р. по 2013 р. питомої ваги активної частини основних фондів на 0,86 п. призвело до скорочення рівня фондовіддачі на 0,07 грн;</w:t>
      </w:r>
    </w:p>
    <w:p>
      <w:pPr>
        <w:pStyle w:val="Normal"/>
        <w:spacing w:lineRule="auto" w:line="360"/>
        <w:ind w:firstLine="1418"/>
        <w:rPr>
          <w:rFonts w:ascii="Times New Roman" w:hAnsi="Times New Roman"/>
          <w:sz w:val="28"/>
          <w:szCs w:val="28"/>
        </w:rPr>
      </w:pPr>
      <w:r>
        <w:rPr>
          <w:rFonts w:ascii="Times New Roman" w:hAnsi="Times New Roman"/>
          <w:sz w:val="28"/>
          <w:szCs w:val="28"/>
        </w:rPr>
        <w:t>- зменшення з 2013 р. по 2014 р. питомої ваги активної частини основних фондів на 12,42 п. призвело до скорочення рівня фондовіддачі на 0,71 грн;</w:t>
      </w:r>
    </w:p>
    <w:p>
      <w:pPr>
        <w:pStyle w:val="Normal"/>
        <w:spacing w:lineRule="auto" w:line="360"/>
        <w:ind w:firstLine="851"/>
        <w:rPr>
          <w:rFonts w:ascii="Times New Roman" w:hAnsi="Times New Roman"/>
          <w:sz w:val="28"/>
          <w:szCs w:val="28"/>
        </w:rPr>
      </w:pPr>
      <w:r>
        <w:rPr>
          <w:rFonts w:ascii="Times New Roman" w:hAnsi="Times New Roman"/>
          <w:sz w:val="28"/>
          <w:szCs w:val="28"/>
        </w:rPr>
        <w:t>2) зміни машиновіддачі:</w:t>
      </w:r>
    </w:p>
    <w:p>
      <w:pPr>
        <w:pStyle w:val="Normal"/>
        <w:spacing w:lineRule="auto" w:line="360"/>
        <w:ind w:firstLine="1418"/>
        <w:rPr>
          <w:rFonts w:ascii="Times New Roman" w:hAnsi="Times New Roman"/>
          <w:sz w:val="28"/>
          <w:szCs w:val="28"/>
        </w:rPr>
      </w:pPr>
      <w:r>
        <w:rPr>
          <w:rFonts w:ascii="Times New Roman" w:hAnsi="Times New Roman"/>
          <w:sz w:val="28"/>
          <w:szCs w:val="28"/>
        </w:rPr>
        <w:t xml:space="preserve">- скорочення з 2010 р. по 2011 р. ефективності використання активної частини основних фондів на 1,47 грн призвело до зменшення рівня фондовіддачі на 1,12 грн; </w:t>
      </w:r>
    </w:p>
    <w:p>
      <w:pPr>
        <w:pStyle w:val="Normal"/>
        <w:spacing w:lineRule="auto" w:line="360"/>
        <w:ind w:firstLine="1418"/>
        <w:rPr>
          <w:rFonts w:ascii="Times New Roman" w:hAnsi="Times New Roman"/>
          <w:sz w:val="28"/>
          <w:szCs w:val="28"/>
        </w:rPr>
      </w:pPr>
      <w:r>
        <w:rPr>
          <w:rFonts w:ascii="Times New Roman" w:hAnsi="Times New Roman"/>
          <w:sz w:val="28"/>
          <w:szCs w:val="28"/>
        </w:rPr>
        <w:t>- скорочення з 2012 р. по 2013 р. рівня машиновіддачі на 1,92 грн призвело до зменшення рівня фондовіддачі на 1,85 грн;</w:t>
      </w:r>
    </w:p>
    <w:p>
      <w:pPr>
        <w:pStyle w:val="Normal"/>
        <w:spacing w:lineRule="auto" w:line="348"/>
        <w:ind w:firstLine="1418"/>
        <w:rPr>
          <w:rFonts w:ascii="Times New Roman" w:hAnsi="Times New Roman"/>
          <w:sz w:val="28"/>
          <w:szCs w:val="28"/>
        </w:rPr>
      </w:pPr>
      <w:r>
        <w:rPr>
          <w:rFonts w:ascii="Times New Roman" w:hAnsi="Times New Roman"/>
          <w:sz w:val="28"/>
          <w:szCs w:val="28"/>
        </w:rPr>
        <w:t>- погіршення з 2015 р. по 2016 р. ефективності використання активної частини основних фондів на 0,99 грн призвело до зменшення рівня фондовіддачі на 1,62 грн;</w:t>
      </w:r>
    </w:p>
    <w:p>
      <w:pPr>
        <w:pStyle w:val="Normal"/>
        <w:spacing w:lineRule="auto" w:line="348"/>
        <w:ind w:firstLine="1418"/>
        <w:rPr>
          <w:rFonts w:ascii="Times New Roman" w:hAnsi="Times New Roman"/>
          <w:sz w:val="28"/>
          <w:szCs w:val="28"/>
        </w:rPr>
      </w:pPr>
      <w:r>
        <w:rPr>
          <w:rFonts w:ascii="Times New Roman" w:hAnsi="Times New Roman"/>
          <w:sz w:val="28"/>
          <w:szCs w:val="28"/>
        </w:rPr>
        <w:t>- скорочення з 2017 р. по 2018 р. рівня машиновіддачі на 1,29 грн призвело до зменшення рівня фондовіддачі на 0,96 грн;</w:t>
      </w:r>
    </w:p>
    <w:p>
      <w:pPr>
        <w:pStyle w:val="Normal"/>
        <w:spacing w:lineRule="auto" w:line="348"/>
        <w:ind w:firstLine="1418"/>
        <w:rPr>
          <w:rFonts w:ascii="Times New Roman" w:hAnsi="Times New Roman"/>
          <w:sz w:val="28"/>
          <w:szCs w:val="28"/>
        </w:rPr>
      </w:pPr>
      <w:r>
        <w:rPr>
          <w:rFonts w:ascii="Times New Roman" w:hAnsi="Times New Roman"/>
          <w:sz w:val="28"/>
          <w:szCs w:val="28"/>
        </w:rPr>
        <w:t>- погіршення з 2019 р. по 2020 р. ефективності використання активної частини основних фондів на 0,33 грн призвело до зменшення рівня фондовіддачі на 0,61 грн;</w:t>
      </w:r>
    </w:p>
    <w:p>
      <w:pPr>
        <w:pStyle w:val="Normal"/>
        <w:spacing w:lineRule="auto" w:line="348"/>
        <w:ind w:firstLine="1418"/>
        <w:rPr>
          <w:rFonts w:ascii="Times New Roman" w:hAnsi="Times New Roman"/>
          <w:sz w:val="28"/>
          <w:szCs w:val="28"/>
        </w:rPr>
      </w:pPr>
      <w:r>
        <w:rPr>
          <w:rFonts w:ascii="Times New Roman" w:hAnsi="Times New Roman"/>
          <w:sz w:val="28"/>
          <w:szCs w:val="28"/>
        </w:rPr>
        <w:t>- зростання з 2011 р. по 2012 р. цього чинника на 0,83 грн забезпечило додаткове зростання рівня фондовіддачі на 0,60 грн;</w:t>
      </w:r>
    </w:p>
    <w:p>
      <w:pPr>
        <w:pStyle w:val="Normal"/>
        <w:spacing w:lineRule="auto" w:line="348"/>
        <w:ind w:firstLine="1418"/>
        <w:rPr>
          <w:rFonts w:ascii="Times New Roman" w:hAnsi="Times New Roman"/>
          <w:sz w:val="28"/>
          <w:szCs w:val="28"/>
        </w:rPr>
      </w:pPr>
      <w:r>
        <w:rPr>
          <w:rFonts w:ascii="Times New Roman" w:hAnsi="Times New Roman"/>
          <w:sz w:val="28"/>
          <w:szCs w:val="28"/>
        </w:rPr>
        <w:t>- покращення з 2013 р. по 2014 р. ефективності використання активної частини основних фондів на 1,56 грн забезпечило додаткове зростання рівня фондовіддачі на 2,26 грн;</w:t>
      </w:r>
    </w:p>
    <w:p>
      <w:pPr>
        <w:pStyle w:val="Normal"/>
        <w:spacing w:lineRule="auto" w:line="348"/>
        <w:ind w:firstLine="1418"/>
        <w:rPr>
          <w:rFonts w:ascii="Times New Roman" w:hAnsi="Times New Roman"/>
          <w:sz w:val="28"/>
          <w:szCs w:val="28"/>
        </w:rPr>
      </w:pPr>
      <w:r>
        <w:rPr>
          <w:rFonts w:ascii="Times New Roman" w:hAnsi="Times New Roman"/>
          <w:sz w:val="28"/>
          <w:szCs w:val="28"/>
        </w:rPr>
        <w:t>- зростання з 2014 р. по 2015 р. рівня машиновіддачі на 3,31 грн забезпечило додаткове зростання рівня фондовіддачі на 2,86 грн;</w:t>
      </w:r>
    </w:p>
    <w:p>
      <w:pPr>
        <w:pStyle w:val="Normal"/>
        <w:spacing w:lineRule="auto" w:line="348"/>
        <w:ind w:firstLine="1418"/>
        <w:rPr>
          <w:rFonts w:ascii="Times New Roman" w:hAnsi="Times New Roman"/>
          <w:sz w:val="28"/>
          <w:szCs w:val="28"/>
        </w:rPr>
      </w:pPr>
      <w:r>
        <w:rPr>
          <w:rFonts w:ascii="Times New Roman" w:hAnsi="Times New Roman"/>
          <w:sz w:val="28"/>
          <w:szCs w:val="28"/>
        </w:rPr>
        <w:t>- покращення з 2016 р. по 2017 р. ефективності використання активної частини основних фондів на 2,29 грн забезпечило додаткове зростання рівня фондовіддачі на 1,57 грн;</w:t>
      </w:r>
    </w:p>
    <w:p>
      <w:pPr>
        <w:pStyle w:val="Normal"/>
        <w:spacing w:lineRule="auto" w:line="348"/>
        <w:ind w:firstLine="1418"/>
        <w:rPr>
          <w:rFonts w:ascii="Times New Roman" w:hAnsi="Times New Roman"/>
          <w:sz w:val="28"/>
          <w:szCs w:val="28"/>
        </w:rPr>
      </w:pPr>
      <w:r>
        <w:rPr>
          <w:rFonts w:ascii="Times New Roman" w:hAnsi="Times New Roman"/>
          <w:sz w:val="28"/>
          <w:szCs w:val="28"/>
        </w:rPr>
        <w:t>- зростання з 2018 р. по 2019 р. рівня машиновіддачі на 2,83 грн забезпечило додаткове зростання рівня фондовіддачі на 2,12 грн;</w:t>
      </w:r>
    </w:p>
    <w:p>
      <w:pPr>
        <w:pStyle w:val="Normal"/>
        <w:spacing w:lineRule="auto" w:line="348"/>
        <w:ind w:firstLine="1418"/>
        <w:rPr>
          <w:rFonts w:ascii="Times New Roman" w:hAnsi="Times New Roman"/>
          <w:sz w:val="28"/>
          <w:szCs w:val="28"/>
        </w:rPr>
      </w:pPr>
      <w:r>
        <w:rPr>
          <w:rFonts w:ascii="Times New Roman" w:hAnsi="Times New Roman"/>
          <w:sz w:val="28"/>
          <w:szCs w:val="28"/>
        </w:rPr>
        <w:t>- покращення з 2010 р. по 2020 р. ефективності використання активної частини основних фондів на 5,75 грн забезпечило додаткове зростання рівня фондовіддачі на 4,41 грн.</w:t>
      </w:r>
    </w:p>
    <w:p>
      <w:pPr>
        <w:pStyle w:val="Normal"/>
        <w:spacing w:lineRule="auto" w:line="348"/>
        <w:ind w:firstLine="851"/>
        <w:rPr>
          <w:rFonts w:ascii="Times New Roman" w:hAnsi="Times New Roman"/>
          <w:sz w:val="28"/>
          <w:szCs w:val="28"/>
        </w:rPr>
      </w:pPr>
      <w:r>
        <w:rPr>
          <w:rFonts w:ascii="Times New Roman" w:hAnsi="Times New Roman"/>
          <w:sz w:val="28"/>
          <w:szCs w:val="28"/>
        </w:rPr>
        <w:t xml:space="preserve">За даними таблиці 2.18 способом абсолютних різниць визначимо зміну показників ефективності використання основних фондів на зміну обсягу товарної продукції </w:t>
      </w:r>
      <w:r>
        <w:rPr>
          <w:rFonts w:eastAsia="Times New Roman" w:ascii="Times New Roman" w:hAnsi="Times New Roman"/>
          <w:sz w:val="28"/>
          <w:szCs w:val="28"/>
          <w:lang w:eastAsia="ru-RU"/>
        </w:rPr>
        <w:t>ТОВ «НЕЙЛ»</w:t>
      </w:r>
      <w:r>
        <w:rPr>
          <w:rFonts w:ascii="Times New Roman" w:hAnsi="Times New Roman"/>
          <w:sz w:val="28"/>
          <w:szCs w:val="28"/>
        </w:rPr>
        <w:t xml:space="preserve"> за рахунок: </w:t>
      </w:r>
    </w:p>
    <w:p>
      <w:pPr>
        <w:pStyle w:val="Normal"/>
        <w:numPr>
          <w:ilvl w:val="0"/>
          <w:numId w:val="0"/>
        </w:numPr>
        <w:spacing w:lineRule="auto" w:line="348"/>
        <w:ind w:firstLine="709"/>
        <w:outlineLvl w:val="0"/>
        <w:rPr>
          <w:rFonts w:ascii="Times New Roman" w:hAnsi="Times New Roman"/>
          <w:sz w:val="28"/>
          <w:szCs w:val="28"/>
          <w:lang w:eastAsia="ru-RU"/>
        </w:rPr>
      </w:pPr>
      <w:r>
        <w:rPr>
          <w:rFonts w:ascii="Times New Roman" w:hAnsi="Times New Roman"/>
          <w:sz w:val="28"/>
          <w:szCs w:val="28"/>
        </w:rPr>
        <w:t>а) зміни середньорічної вартості основних фондів:</w:t>
      </w:r>
    </w:p>
    <w:p>
      <w:pPr>
        <w:pStyle w:val="Normal"/>
        <w:spacing w:lineRule="auto" w:line="348"/>
        <w:ind w:firstLine="1276"/>
        <w:rPr>
          <w:rFonts w:ascii="Times New Roman" w:hAnsi="Times New Roman"/>
          <w:sz w:val="28"/>
          <w:szCs w:val="28"/>
          <w:lang w:eastAsia="uk-UA"/>
        </w:rPr>
      </w:pPr>
      <w:r>
        <w:rPr>
          <w:rFonts w:ascii="Times New Roman" w:hAnsi="Times New Roman"/>
          <w:sz w:val="28"/>
          <w:szCs w:val="28"/>
        </w:rPr>
        <w:t>- з 2010 р. по 2011 р. зростання вартості основних фондів на 1342 тис. грн спричинило збільшення обсягу товарної продукції на 8875,04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2011 р. по 2012 р. скорочення вартості основних фондів на 70 тис. грн не дозволило випустити продукції на 397,05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2012 р. по 2013 р. скорочення вартості основних фондів на 799 тис. грн призвело до зменшення обсягу товарної продукції на 4784,62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2013 р. по 2014 р. скорочення вартості основних фондів на 57 тис. грн спричинило зменшення обсягу товарної продукції на 231,75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2014 р. по 2015 р. скорочення вартості основних фондів на 73 тис. грн не дозволило отримати обсягу товарної продукції на 410,41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2015 р. по 2016 р. зростання вартості основних фондів на 4040 тис. грн дозволило додатково отримати обсягу товарної продукції на 36074,14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2016 р. по 2017 р. скорочення вартості основних фондів на 1419 тис. грн спричинило зменшення обсягу товарної продукції на 11262,35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2017 р. по 2018 р. зростання вартості основних фондів на 4133 тис. грн дозволило додатково отримати обсягу товарної продукції на 39604,66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2018 р. по 2019 р. скорочення вартості основних фондів на 2624 тис. грн призвело до зменшення обсягу товарної продукції на 24808,27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2019 р. по 2020 р. зростання вартості основних фондів на 152,2 тис. грн дозволило додатково отримати обсягу товарної продукції на 1764,04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2010 р. по 2020 р. зростання вартості основних фондів на 4625,2 тис. грн забезпечило додаткове отримання обсягу товарної продукції на 30587,79 тис. грн;</w:t>
      </w:r>
    </w:p>
    <w:p>
      <w:pPr>
        <w:pStyle w:val="Normal"/>
        <w:numPr>
          <w:ilvl w:val="0"/>
          <w:numId w:val="0"/>
        </w:numPr>
        <w:spacing w:lineRule="auto" w:line="348"/>
        <w:ind w:firstLine="709"/>
        <w:outlineLvl w:val="0"/>
        <w:rPr>
          <w:rFonts w:ascii="Times New Roman" w:hAnsi="Times New Roman"/>
          <w:sz w:val="28"/>
          <w:szCs w:val="28"/>
        </w:rPr>
      </w:pPr>
      <w:r>
        <w:rPr>
          <w:rFonts w:ascii="Times New Roman" w:hAnsi="Times New Roman"/>
          <w:sz w:val="28"/>
          <w:szCs w:val="28"/>
        </w:rPr>
        <w:t>б) зміни фондовіддачі діючого обладнання:</w:t>
      </w:r>
    </w:p>
    <w:p>
      <w:pPr>
        <w:pStyle w:val="Normal"/>
        <w:spacing w:lineRule="auto" w:line="348"/>
        <w:ind w:firstLine="1276"/>
        <w:rPr>
          <w:rFonts w:ascii="Times New Roman" w:hAnsi="Times New Roman"/>
          <w:sz w:val="28"/>
          <w:szCs w:val="28"/>
        </w:rPr>
      </w:pPr>
      <w:r>
        <w:rPr>
          <w:rFonts w:ascii="Times New Roman" w:hAnsi="Times New Roman"/>
          <w:sz w:val="28"/>
          <w:szCs w:val="28"/>
        </w:rPr>
        <w:t>- з 2010 р. по 2011 р. скорочення фондовіддачі на 0,94 грн спричинило зменшення обсягу товарної продукції на 7764,04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2011 р. по 2012 р. зростання фондовіддачі на 0,32 грн призвело до збільшення обсягу товарної продукції на 2386,05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2012 р. по 2013 р. скорочення фондовіддачі на 1,92 грн спричинило спад виробництва на 14188,38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2013 р. по 2014 р. зростання фондовіддачі на 1,56 грн призвело до збільшення обсягу товарної продукції на 11397,25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xml:space="preserve">- з 2014 р. по 2015 р. зростання фондовіддачі на 3,31 грн дозволило додатково отримати обсягу товарної продукції на 23976,91 тис. грн; </w:t>
      </w:r>
    </w:p>
    <w:p>
      <w:pPr>
        <w:pStyle w:val="Normal"/>
        <w:spacing w:lineRule="auto" w:line="348"/>
        <w:ind w:firstLine="1276"/>
        <w:rPr>
          <w:rFonts w:ascii="Times New Roman" w:hAnsi="Times New Roman"/>
          <w:sz w:val="28"/>
          <w:szCs w:val="28"/>
        </w:rPr>
      </w:pPr>
      <w:r>
        <w:rPr>
          <w:rFonts w:ascii="Times New Roman" w:hAnsi="Times New Roman"/>
          <w:sz w:val="28"/>
          <w:szCs w:val="28"/>
        </w:rPr>
        <w:t>- з 2015 р. по 2016 р. скорочення рівня фондовіддачі на 0,99 грн призвело до спаду виробництва на 11204,44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2016 р. по 2017 р. зростання фондовіддачі на 1,65 грн спричинило зростання обсягу товарної продукції на 16244,95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2017 р. по 2018 р. скорочення фондовіддачі на 0,13 грн не дозволило отримати обсягу товарної продукції на 1794,96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2018 р. по 2019 р. зростання фондовіддачі на 2,14 грн забезпечило додатково отримання обсягу товарної продукції на 24306,27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2019 р. по 2020 р. зменшення рівня фондовіддачі на 0,33 грн призвело до спаду обсягу товарної продукції на 3791,04 тис. грн;</w:t>
      </w:r>
    </w:p>
    <w:p>
      <w:pPr>
        <w:pStyle w:val="Normal"/>
        <w:spacing w:lineRule="auto" w:line="348"/>
        <w:ind w:firstLine="1276"/>
        <w:rPr>
          <w:rFonts w:ascii="Times New Roman" w:hAnsi="Times New Roman"/>
          <w:sz w:val="28"/>
          <w:szCs w:val="28"/>
        </w:rPr>
      </w:pPr>
      <w:r>
        <w:rPr>
          <w:rFonts w:ascii="Times New Roman" w:hAnsi="Times New Roman"/>
          <w:sz w:val="28"/>
          <w:szCs w:val="28"/>
        </w:rPr>
        <w:t>- з 2010 р. по 2020 р. зростання фондовіддачі на 4,65 грн дозволило збільшити обсяг товарної продукції на 53604,21 тис. грн.</w:t>
      </w:r>
    </w:p>
    <w:p>
      <w:pPr>
        <w:pStyle w:val="Normal"/>
        <w:spacing w:lineRule="auto" w:line="348"/>
        <w:ind w:firstLine="851"/>
        <w:rPr>
          <w:rFonts w:ascii="Times New Roman" w:hAnsi="Times New Roman"/>
          <w:sz w:val="28"/>
          <w:szCs w:val="28"/>
        </w:rPr>
      </w:pPr>
      <w:r>
        <w:rPr>
          <w:rFonts w:ascii="Times New Roman" w:hAnsi="Times New Roman"/>
          <w:sz w:val="28"/>
          <w:szCs w:val="28"/>
        </w:rPr>
        <w:t xml:space="preserve">Таким чином, дія зазначених факторів (вартості основних фондів і рівня фондовіддачі) призвела до зростання обсягу товарної продукції у 2011 р. на 1111 тис. грн, у 2012 р. на 2189 тис. грн, у 2014 р. на 11165,5 тис. грн, у 2015 р. на 23566,5 тис. грн, у 2016 р. на 24869,7 тис. грн, у 2017 р. на 4982,6 тис. грн, у 2018 р. на 37809,5 тис. грн порівняно з попереднім роком. Скорочення обсягів товарної продукції відбулося у 2013 р. на 18973 тис. грн, у 2019 р. на 502 тис. грн, у 2020 р. на 2027 тис. грн порівняно з попереднім роком. Протягом аналізованого періоду обсяг товарної продукції збільшився на 84192 тис. грн. </w:t>
      </w:r>
    </w:p>
    <w:p>
      <w:pPr>
        <w:sectPr>
          <w:headerReference w:type="default" r:id="rId67"/>
          <w:footerReference w:type="default" r:id="rId68"/>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48"/>
        <w:ind w:firstLine="709"/>
        <w:rPr>
          <w:rFonts w:ascii="Times New Roman" w:hAnsi="Times New Roman"/>
          <w:sz w:val="28"/>
          <w:szCs w:val="28"/>
        </w:rPr>
      </w:pPr>
      <w:r>
        <w:rPr>
          <w:rFonts w:eastAsia="Times New Roman" w:ascii="Times New Roman" w:hAnsi="Times New Roman"/>
          <w:sz w:val="28"/>
          <w:szCs w:val="28"/>
          <w:lang w:eastAsia="ru-RU"/>
        </w:rPr>
        <w:t>Результати виробничо-господарської діяльності</w:t>
      </w:r>
      <w:r>
        <w:rPr>
          <w:rFonts w:ascii="Times New Roman" w:hAnsi="Times New Roman"/>
          <w:sz w:val="28"/>
          <w:szCs w:val="28"/>
        </w:rPr>
        <w:t xml:space="preserve"> </w:t>
      </w:r>
      <w:r>
        <w:rPr>
          <w:rFonts w:eastAsia="Times New Roman" w:ascii="Times New Roman" w:hAnsi="Times New Roman"/>
          <w:sz w:val="28"/>
          <w:szCs w:val="28"/>
          <w:lang w:eastAsia="ru-RU"/>
        </w:rPr>
        <w:t>ТОВ «НЕЙЛ»</w:t>
      </w:r>
      <w:r>
        <w:rPr>
          <w:rFonts w:ascii="Times New Roman" w:hAnsi="Times New Roman"/>
          <w:sz w:val="28"/>
          <w:szCs w:val="28"/>
        </w:rPr>
        <w:t xml:space="preserve"> є досить неоднозначними, оскільки </w:t>
      </w:r>
      <w:r>
        <w:rPr>
          <w:rFonts w:eastAsia="Times New Roman" w:ascii="Times New Roman" w:hAnsi="Times New Roman"/>
          <w:sz w:val="28"/>
          <w:szCs w:val="28"/>
          <w:lang w:eastAsia="ru-RU"/>
        </w:rPr>
        <w:t>товариство</w:t>
      </w:r>
      <w:r>
        <w:rPr>
          <w:rFonts w:ascii="Times New Roman" w:hAnsi="Times New Roman"/>
          <w:sz w:val="28"/>
          <w:szCs w:val="28"/>
        </w:rPr>
        <w:t xml:space="preserve"> нагально потребує залучення довгострокових інвестиційних коштів, проте при цьому обсяги виробництва та реалізації продукції переважно зростають. Збиткова діяльність підприємства у 2010 р. та зменшення розміру прибутку </w:t>
      </w:r>
      <w:r>
        <w:rPr>
          <w:rFonts w:ascii="Times New Roman" w:hAnsi="Times New Roman"/>
          <w:color w:val="000000"/>
          <w:sz w:val="28"/>
          <w:szCs w:val="28"/>
        </w:rPr>
        <w:t>з 2015 р. по 2020 р.</w:t>
      </w:r>
      <w:r>
        <w:rPr>
          <w:rFonts w:ascii="Times New Roman" w:hAnsi="Times New Roman"/>
          <w:sz w:val="28"/>
          <w:szCs w:val="28"/>
        </w:rPr>
        <w:t xml:space="preserve">, скорочення чисельності як персоналу так і робітників, неефективне використання засобів праці і матеріальних ресурсів компанії, зростання витрат на гривню товарної продукції потребують розробки програми їх покращення, що і буде зроблено у наступному розділі магістерської роботи. </w:t>
      </w:r>
    </w:p>
    <w:p>
      <w:pPr>
        <w:pStyle w:val="Normal"/>
        <w:spacing w:lineRule="auto" w:line="360"/>
        <w:ind w:firstLine="709"/>
        <w:rPr>
          <w:rFonts w:ascii="Times New Roman" w:hAnsi="Times New Roman"/>
          <w:b/>
          <w:b/>
          <w:sz w:val="28"/>
          <w:szCs w:val="28"/>
        </w:rPr>
      </w:pPr>
      <w:r>
        <w:rPr>
          <w:rFonts w:ascii="Times New Roman" w:hAnsi="Times New Roman"/>
          <w:b/>
          <w:sz w:val="28"/>
          <w:szCs w:val="28"/>
        </w:rPr>
        <w:t>3 ЕКОНОМЕТРИЧНЕ МОДЕЛЮВАННЯ ЕФЕКТИВНОСТІ ВИКОРИСТАННЯ ОСНОВНИХ ФОНДІВ ТОВ «НЕЙЛ»</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3.1 </w:t>
      </w:r>
      <w:r>
        <w:rPr>
          <w:rFonts w:ascii="Times New Roman" w:hAnsi="Times New Roman"/>
          <w:bCs/>
          <w:sz w:val="28"/>
          <w:szCs w:val="28"/>
        </w:rPr>
        <w:t xml:space="preserve">Вибір факторів впливу та побудова моделі ефективності використання засобів праці підприємства </w:t>
      </w:r>
    </w:p>
    <w:p>
      <w:pPr>
        <w:pStyle w:val="1"/>
        <w:spacing w:lineRule="auto" w:line="360"/>
        <w:ind w:firstLine="720"/>
        <w:jc w:val="both"/>
        <w:rPr>
          <w:rFonts w:ascii="Times New Roman" w:hAnsi="Times New Roman" w:cs="Times New Roman"/>
          <w:b w:val="false"/>
          <w:b w:val="false"/>
          <w:sz w:val="28"/>
          <w:szCs w:val="28"/>
          <w:lang w:val="uk-UA"/>
        </w:rPr>
      </w:pPr>
      <w:r>
        <w:rPr>
          <w:rFonts w:cs="Times New Roman" w:ascii="Times New Roman" w:hAnsi="Times New Roman"/>
          <w:b w:val="false"/>
          <w:sz w:val="28"/>
          <w:szCs w:val="28"/>
          <w:lang w:val="uk-UA"/>
        </w:rPr>
      </w:r>
    </w:p>
    <w:p>
      <w:pPr>
        <w:pStyle w:val="1"/>
        <w:spacing w:lineRule="auto" w:line="360"/>
        <w:ind w:firstLine="720"/>
        <w:jc w:val="both"/>
        <w:rPr>
          <w:rFonts w:ascii="Times New Roman" w:hAnsi="Times New Roman" w:cs="Times New Roman"/>
          <w:b w:val="false"/>
          <w:b w:val="false"/>
          <w:sz w:val="28"/>
          <w:szCs w:val="28"/>
          <w:lang w:val="uk-UA"/>
        </w:rPr>
      </w:pPr>
      <w:r>
        <w:rPr>
          <w:rFonts w:cs="Times New Roman" w:ascii="Times New Roman" w:hAnsi="Times New Roman"/>
          <w:b w:val="false"/>
          <w:sz w:val="28"/>
          <w:szCs w:val="28"/>
          <w:lang w:val="uk-UA"/>
        </w:rPr>
      </w:r>
    </w:p>
    <w:p>
      <w:pPr>
        <w:pStyle w:val="Normal"/>
        <w:spacing w:lineRule="auto" w:line="360"/>
        <w:ind w:firstLine="709"/>
        <w:rPr>
          <w:rFonts w:ascii="Times New Roman" w:hAnsi="Times New Roman"/>
          <w:sz w:val="28"/>
          <w:szCs w:val="28"/>
        </w:rPr>
      </w:pPr>
      <w:r>
        <w:rPr>
          <w:rFonts w:ascii="Times New Roman" w:hAnsi="Times New Roman"/>
          <w:sz w:val="28"/>
          <w:szCs w:val="28"/>
        </w:rPr>
        <w:t>Традиційно, основними показниками ефективності використання засобів праці є фондовіддача і фондомісткість, машиновіддача і машиномісткість, загальна та технічна фондоозброєності, питома вага активної частини основних фондів у їх загальному складі [19, 31] та з [36] по [41]. Їх зростання свідчить про покращення ефективності і навпаки. Показники віддачі і місткості є оберненими і характеризують результативність використання фондів та їх активної частини. В економічній літературі, для визначення ефективності основних фондів переважно застосовують фондовіддачу. Тому у якості результативного показника візьмемо саме цей показник. Засобами економетричного моделювання визначимо які фактори здійснюють найбільший вплив на його зміну</w:t>
      </w:r>
      <w:r>
        <w:rPr>
          <w:rFonts w:eastAsia="Times New Roman" w:ascii="Times New Roman" w:hAnsi="Times New Roman"/>
          <w:sz w:val="28"/>
          <w:szCs w:val="28"/>
          <w:lang w:eastAsia="ru-RU"/>
        </w:rPr>
        <w:t>.</w:t>
      </w:r>
    </w:p>
    <w:p>
      <w:pPr>
        <w:pStyle w:val="Normal"/>
        <w:spacing w:lineRule="auto" w:line="360"/>
        <w:ind w:firstLine="709"/>
        <w:rPr>
          <w:rFonts w:ascii="Times New Roman" w:hAnsi="Times New Roman"/>
          <w:sz w:val="28"/>
          <w:szCs w:val="28"/>
        </w:rPr>
      </w:pPr>
      <w:r>
        <w:rPr>
          <w:rFonts w:ascii="Times New Roman" w:hAnsi="Times New Roman"/>
          <w:sz w:val="28"/>
          <w:szCs w:val="28"/>
        </w:rPr>
        <w:t>У таблиці 3.1 наведено динаміку фондовіддачі</w:t>
      </w:r>
      <w:r>
        <w:rPr>
          <w:rFonts w:eastAsia="Times New Roman" w:ascii="Times New Roman" w:hAnsi="Times New Roman"/>
          <w:sz w:val="28"/>
          <w:szCs w:val="28"/>
          <w:lang w:eastAsia="ru-RU"/>
        </w:rPr>
        <w:t xml:space="preserve"> ТОВ «НЕЙЛ» та факторів, які на нашу думку можуть на неї впливати</w:t>
      </w:r>
      <w:r>
        <w:rPr>
          <w:rFonts w:ascii="Times New Roman" w:hAnsi="Times New Roman"/>
          <w:sz w:val="28"/>
          <w:szCs w:val="28"/>
        </w:rPr>
        <w:t>.</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Таблиця 3.1 – Динаміка фондовіддачі та факторів, які на неї впливають з 2010 р. по 2020 р.</w:t>
      </w:r>
    </w:p>
    <w:tbl>
      <w:tblPr>
        <w:tblW w:w="9596" w:type="dxa"/>
        <w:jc w:val="left"/>
        <w:tblInd w:w="-5" w:type="dxa"/>
        <w:tblCellMar>
          <w:top w:w="0" w:type="dxa"/>
          <w:left w:w="108" w:type="dxa"/>
          <w:bottom w:w="0" w:type="dxa"/>
          <w:right w:w="108" w:type="dxa"/>
        </w:tblCellMar>
        <w:tblLook w:firstRow="1" w:noVBand="1" w:lastRow="0" w:firstColumn="1" w:lastColumn="0" w:noHBand="0" w:val="04a0"/>
      </w:tblPr>
      <w:tblGrid>
        <w:gridCol w:w="2361"/>
        <w:gridCol w:w="405"/>
        <w:gridCol w:w="1"/>
        <w:gridCol w:w="619"/>
        <w:gridCol w:w="1"/>
        <w:gridCol w:w="619"/>
        <w:gridCol w:w="1"/>
        <w:gridCol w:w="619"/>
        <w:gridCol w:w="1"/>
        <w:gridCol w:w="619"/>
        <w:gridCol w:w="1"/>
        <w:gridCol w:w="619"/>
        <w:gridCol w:w="619"/>
        <w:gridCol w:w="1"/>
        <w:gridCol w:w="619"/>
        <w:gridCol w:w="1"/>
        <w:gridCol w:w="619"/>
        <w:gridCol w:w="1"/>
        <w:gridCol w:w="619"/>
        <w:gridCol w:w="1"/>
        <w:gridCol w:w="619"/>
        <w:gridCol w:w="1"/>
        <w:gridCol w:w="629"/>
      </w:tblGrid>
      <w:tr>
        <w:trPr>
          <w:trHeight w:val="20" w:hRule="atLeast"/>
        </w:trPr>
        <w:tc>
          <w:tcPr>
            <w:tcW w:w="2767" w:type="dxa"/>
            <w:gridSpan w:val="3"/>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Показники</w:t>
            </w:r>
          </w:p>
        </w:tc>
        <w:tc>
          <w:tcPr>
            <w:tcW w:w="6828" w:type="dxa"/>
            <w:gridSpan w:val="20"/>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ascii="Times New Roman" w:hAnsi="Times New Roman"/>
                <w:sz w:val="18"/>
                <w:szCs w:val="19"/>
              </w:rPr>
              <w:t>Рівень показника за роками, тис. грн</w:t>
            </w:r>
          </w:p>
        </w:tc>
      </w:tr>
      <w:tr>
        <w:trPr>
          <w:trHeight w:val="20" w:hRule="atLeast"/>
        </w:trPr>
        <w:tc>
          <w:tcPr>
            <w:tcW w:w="2767" w:type="dxa"/>
            <w:gridSpan w:val="3"/>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2010</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2012</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2013</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2014</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2016</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2018</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2019</w:t>
            </w:r>
          </w:p>
        </w:tc>
        <w:tc>
          <w:tcPr>
            <w:tcW w:w="62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2020</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Фондовіддача, грн</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Y</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6,61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5,99</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4,07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5,62</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8,93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7,94</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9,58</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9,45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11,59</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11,26</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Питома вага </w:t>
            </w:r>
          </w:p>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активної частини </w:t>
            </w:r>
          </w:p>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основних фондів (ОФ), %</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73,97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75,97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72,17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71,31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58,90</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63,63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68,11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68,73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74,72</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74,84</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76,68</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Коефіцієнт введення ОФ, п.</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2</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0,10</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0,08</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0,09</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0,04</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0,23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0,02</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0,10</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0,11</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Фондоозброєність </w:t>
            </w:r>
          </w:p>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технічна, грн</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24,10</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28,10</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27,33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24,25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19,78</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21,06</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33,58</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30,15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44,72</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36,55</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38,12</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Трудомісткість, грн</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4</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6,06</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5,73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5,41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8,90</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5,66</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3,71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2,71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2,58</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1,93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1,82</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sz w:val="18"/>
              </w:rPr>
            </w:pPr>
            <w:r>
              <w:rPr>
                <w:rFonts w:ascii="Times New Roman" w:hAnsi="Times New Roman"/>
                <w:sz w:val="18"/>
              </w:rPr>
              <w:t>1,84</w:t>
            </w:r>
          </w:p>
        </w:tc>
      </w:tr>
      <w:tr>
        <w:trPr>
          <w:trHeight w:val="20" w:hRule="atLeast"/>
        </w:trPr>
        <w:tc>
          <w:tcPr>
            <w:tcW w:w="236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робітників, %</w:t>
            </w:r>
          </w:p>
        </w:tc>
        <w:tc>
          <w:tcPr>
            <w:tcW w:w="40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76,53</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83,21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81,51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81,27</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93,56</w:t>
            </w:r>
          </w:p>
        </w:tc>
        <w:tc>
          <w:tcPr>
            <w:tcW w:w="61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91,25</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94,24</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92,21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91,41</w:t>
            </w:r>
          </w:p>
        </w:tc>
        <w:tc>
          <w:tcPr>
            <w:tcW w:w="62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97,08</w:t>
            </w:r>
          </w:p>
        </w:tc>
        <w:tc>
          <w:tcPr>
            <w:tcW w:w="630"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97,07</w:t>
            </w:r>
          </w:p>
        </w:tc>
      </w:tr>
    </w:tbl>
    <w:p>
      <w:pPr>
        <w:pStyle w:val="Style25"/>
        <w:spacing w:lineRule="auto" w:line="360" w:before="0" w:after="0"/>
        <w:ind w:firstLine="709"/>
        <w:rPr>
          <w:rFonts w:ascii="Times New Roman" w:hAnsi="Times New Roman"/>
          <w:sz w:val="28"/>
          <w:szCs w:val="28"/>
        </w:rPr>
      </w:pPr>
      <w:r>
        <w:rPr>
          <w:rFonts w:ascii="Times New Roman" w:hAnsi="Times New Roman"/>
          <w:sz w:val="28"/>
          <w:szCs w:val="28"/>
        </w:rPr>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 xml:space="preserve">Показник ефективності використання засобів праці </w:t>
      </w:r>
      <w:r>
        <w:rPr>
          <w:rStyle w:val="Style14"/>
          <w:rFonts w:ascii="Times New Roman" w:hAnsi="Times New Roman"/>
          <w:sz w:val="28"/>
          <w:szCs w:val="28"/>
          <w:lang w:eastAsia="ru-RU"/>
        </w:rPr>
        <w:t xml:space="preserve">суб’єкта підприємництва коливається </w:t>
      </w:r>
      <w:r>
        <w:rPr>
          <w:rFonts w:ascii="Times New Roman" w:hAnsi="Times New Roman"/>
          <w:sz w:val="28"/>
          <w:szCs w:val="28"/>
        </w:rPr>
        <w:t>протягом аналізованого періоду. Зокрема з 2010 р. по 2013 р. він поступово скорочується, а надалі стрімко зростає. Однак у звітному році порівняно з попереднім роком рівень фондовіддачі зменшився на 2,84 % або на 0,33 грн. Значне скорочення відбулося у 2013 р. на 1,92 грн, у 2011 р. на 0,94 грн, у 2016 р. на 0,99 грн та у 2018 р. на 0,13 грн.</w:t>
      </w:r>
    </w:p>
    <w:p>
      <w:pPr>
        <w:pStyle w:val="Normal"/>
        <w:spacing w:lineRule="auto" w:line="360"/>
        <w:ind w:firstLine="709"/>
        <w:rPr>
          <w:rFonts w:ascii="Times New Roman" w:hAnsi="Times New Roman"/>
          <w:sz w:val="28"/>
          <w:szCs w:val="28"/>
        </w:rPr>
      </w:pPr>
      <w:r>
        <w:rPr>
          <w:rFonts w:ascii="Times New Roman" w:hAnsi="Times New Roman"/>
          <w:sz w:val="28"/>
          <w:szCs w:val="28"/>
        </w:rPr>
        <w:t>Наочне відображення зміни фондовіддачі відобразимо графічно на рисунку 3.1.</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drawing>
          <wp:inline distT="0" distB="0" distL="0" distR="0">
            <wp:extent cx="6120130" cy="2204720"/>
            <wp:effectExtent l="0" t="0" r="0" b="0"/>
            <wp:docPr id="23" name="Рисунок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59" descr=""/>
                    <pic:cNvPicPr>
                      <a:picLocks noChangeAspect="1" noChangeArrowheads="1"/>
                    </pic:cNvPicPr>
                  </pic:nvPicPr>
                  <pic:blipFill>
                    <a:blip r:embed="rId69"/>
                    <a:stretch>
                      <a:fillRect/>
                    </a:stretch>
                  </pic:blipFill>
                  <pic:spPr bwMode="auto">
                    <a:xfrm>
                      <a:off x="0" y="0"/>
                      <a:ext cx="6120130" cy="2204720"/>
                    </a:xfrm>
                    <a:prstGeom prst="rect">
                      <a:avLst/>
                    </a:prstGeom>
                  </pic:spPr>
                </pic:pic>
              </a:graphicData>
            </a:graphic>
          </wp:inline>
        </w:drawing>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3.1 – Динаміка фондовіддачі </w:t>
      </w:r>
      <w:r>
        <w:rPr>
          <w:rFonts w:eastAsia="Times New Roman" w:ascii="Times New Roman" w:hAnsi="Times New Roman"/>
          <w:sz w:val="28"/>
          <w:szCs w:val="28"/>
          <w:lang w:eastAsia="ru-RU"/>
        </w:rPr>
        <w:t xml:space="preserve">ТОВ «НЕЙЛ» </w:t>
      </w:r>
      <w:r>
        <w:rPr>
          <w:rFonts w:ascii="Times New Roman" w:hAnsi="Times New Roman"/>
          <w:sz w:val="28"/>
          <w:szCs w:val="28"/>
        </w:rPr>
        <w:t>з 2010 р. по 2020 р.</w:t>
      </w:r>
    </w:p>
    <w:p>
      <w:pPr>
        <w:pStyle w:val="Normal"/>
        <w:spacing w:lineRule="auto" w:line="360"/>
        <w:jc w:val="center"/>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за рисунком 3.1 видно, що протягом досліджуваного періоду показника ефективності використання засобів праці </w:t>
      </w:r>
      <w:r>
        <w:rPr>
          <w:rFonts w:eastAsia="Times New Roman" w:ascii="Times New Roman" w:hAnsi="Times New Roman"/>
          <w:sz w:val="28"/>
          <w:szCs w:val="28"/>
          <w:lang w:eastAsia="ru-RU"/>
        </w:rPr>
        <w:t>ТОВ «НЕЙЛ»</w:t>
      </w:r>
      <w:r>
        <w:rPr>
          <w:rStyle w:val="Style14"/>
          <w:rFonts w:ascii="Times New Roman" w:hAnsi="Times New Roman"/>
          <w:sz w:val="28"/>
          <w:szCs w:val="28"/>
          <w:lang w:eastAsia="ru-RU"/>
        </w:rPr>
        <w:t xml:space="preserve"> має неоднозначну тенденцію</w:t>
      </w:r>
      <w:r>
        <w:rPr>
          <w:rFonts w:ascii="Times New Roman" w:hAnsi="Times New Roman"/>
          <w:sz w:val="28"/>
          <w:szCs w:val="28"/>
        </w:rPr>
        <w:t>. Найгірша ситуація спостерігається у 2013 р. – коли рівень фондовіддачі є найменшим 4,07 грн, однак до 2015 р. його значення поступово зростає до 8,93 грн, в наступному році скорочується на 0,99 грн, у 2017 р. він збільшився на 1,65 грн, а далі знов зменшився на 0,13 грн. Найбільше зростання фондовіддачі відбулося у 2019 р. – на 2,14 грн, проте у звітному році порівняно з попереднім роком її рівень знов скоротився на 0,33 грн і становив 11,26 грн.</w:t>
      </w:r>
    </w:p>
    <w:p>
      <w:pPr>
        <w:pStyle w:val="Style25"/>
        <w:spacing w:lineRule="auto" w:line="360" w:before="0" w:after="0"/>
        <w:ind w:firstLine="709"/>
        <w:rPr>
          <w:rFonts w:ascii="Times New Roman" w:hAnsi="Times New Roman" w:eastAsia="Times New Roman"/>
          <w:sz w:val="28"/>
          <w:szCs w:val="28"/>
          <w:lang w:eastAsia="ru-RU"/>
        </w:rPr>
      </w:pPr>
      <w:r>
        <w:rPr>
          <w:rFonts w:ascii="Times New Roman" w:hAnsi="Times New Roman"/>
          <w:sz w:val="28"/>
          <w:szCs w:val="28"/>
        </w:rPr>
        <w:t xml:space="preserve">Значення відібраних факторів визначено за даними звітності </w:t>
      </w:r>
      <w:r>
        <w:rPr>
          <w:rFonts w:eastAsia="Times New Roman" w:ascii="Times New Roman" w:hAnsi="Times New Roman"/>
          <w:sz w:val="28"/>
          <w:szCs w:val="28"/>
          <w:lang w:eastAsia="ru-RU"/>
        </w:rPr>
        <w:t>ТОВ «НЕЙЛ». Вони мають неоднакову тенденцію зміни, проте характеризують ефективність використання основних фондів виробничого підприємства.</w:t>
      </w:r>
    </w:p>
    <w:p>
      <w:pPr>
        <w:pStyle w:val="Style25"/>
        <w:spacing w:lineRule="auto" w:line="360" w:before="0" w:after="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За допомогою матриці попарних порівнянь (кореляційної матриці) визначимо наскільки відібрані фактори чинять вплив на результативний показник (таблиця 3.2).</w:t>
      </w:r>
    </w:p>
    <w:p>
      <w:pPr>
        <w:pStyle w:val="Style25"/>
        <w:spacing w:lineRule="auto" w:line="360" w:before="0" w:after="0"/>
        <w:ind w:firstLine="709"/>
        <w:rPr>
          <w:rFonts w:ascii="Times New Roman" w:hAnsi="Times New Roman"/>
          <w:sz w:val="24"/>
          <w:szCs w:val="24"/>
        </w:rPr>
      </w:pPr>
      <w:r>
        <w:rPr>
          <w:rFonts w:ascii="Times New Roman" w:hAnsi="Times New Roman"/>
          <w:sz w:val="24"/>
          <w:szCs w:val="24"/>
        </w:rPr>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Таблиця 3.2 – Кореляційна матриця</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2568"/>
        <w:gridCol w:w="1109"/>
        <w:gridCol w:w="1314"/>
        <w:gridCol w:w="1178"/>
        <w:gridCol w:w="1177"/>
        <w:gridCol w:w="1178"/>
        <w:gridCol w:w="1113"/>
      </w:tblGrid>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Умовне позначення</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Y</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1</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2</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3</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4</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5</w:t>
            </w:r>
          </w:p>
        </w:tc>
      </w:tr>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Y</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lang w:eastAsia="uk-UA"/>
              </w:rPr>
            </w:pPr>
            <w:r>
              <w:rPr>
                <w:rFonts w:ascii="Times New Roman" w:hAnsi="Times New Roman"/>
                <w:color w:val="000000"/>
              </w:rPr>
              <w:t>1</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0,2664</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0,3385</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0,6652</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- 0,9294</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0,7450</w:t>
            </w:r>
          </w:p>
        </w:tc>
      </w:tr>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1</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0,2664</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1</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-0,2286</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0,6319</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-0,1639</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-0,2157</w:t>
            </w:r>
          </w:p>
        </w:tc>
      </w:tr>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2</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0,3385</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- 0,22857</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1</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- 0,0588</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- 0,2179</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0,4049</w:t>
            </w:r>
          </w:p>
        </w:tc>
      </w:tr>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3</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0,6652</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0,63190</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- 0,0588</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1</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- 0,7195</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0,4640</w:t>
            </w:r>
          </w:p>
        </w:tc>
      </w:tr>
      <w:tr>
        <w:trPr>
          <w:trHeight w:val="288"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4</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-0,9294</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- 0,16385</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- 0,2179</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-0,7195</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1</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-0,7872</w:t>
            </w:r>
          </w:p>
        </w:tc>
      </w:tr>
      <w:tr>
        <w:trPr>
          <w:trHeight w:val="300" w:hRule="atLeast"/>
        </w:trPr>
        <w:tc>
          <w:tcPr>
            <w:tcW w:w="25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lang w:eastAsia="uk-UA"/>
              </w:rPr>
            </w:pPr>
            <w:r>
              <w:rPr>
                <w:rFonts w:eastAsia="Times New Roman" w:ascii="Times New Roman" w:hAnsi="Times New Roman"/>
                <w:color w:val="000000"/>
                <w:lang w:eastAsia="uk-UA"/>
              </w:rPr>
              <w:t>Х</w:t>
            </w:r>
            <w:r>
              <w:rPr>
                <w:rFonts w:eastAsia="Times New Roman" w:ascii="Times New Roman" w:hAnsi="Times New Roman"/>
                <w:color w:val="000000"/>
                <w:vertAlign w:val="subscript"/>
                <w:lang w:eastAsia="uk-UA"/>
              </w:rPr>
              <w:t>5</w:t>
            </w:r>
          </w:p>
        </w:tc>
        <w:tc>
          <w:tcPr>
            <w:tcW w:w="1109"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0,7450</w:t>
            </w:r>
          </w:p>
        </w:tc>
        <w:tc>
          <w:tcPr>
            <w:tcW w:w="13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- 0,21573</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0,4049</w:t>
            </w:r>
          </w:p>
        </w:tc>
        <w:tc>
          <w:tcPr>
            <w:tcW w:w="11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0,4640</w:t>
            </w:r>
          </w:p>
        </w:tc>
        <w:tc>
          <w:tcPr>
            <w:tcW w:w="117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-0,7872</w:t>
            </w:r>
          </w:p>
        </w:tc>
        <w:tc>
          <w:tcPr>
            <w:tcW w:w="1113"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rPr>
            </w:pPr>
            <w:r>
              <w:rPr>
                <w:rFonts w:ascii="Times New Roman" w:hAnsi="Times New Roman"/>
                <w:color w:val="000000"/>
              </w:rPr>
              <w:t>1</w:t>
            </w:r>
          </w:p>
        </w:tc>
      </w:tr>
    </w:tbl>
    <w:p>
      <w:pPr>
        <w:pStyle w:val="Style25"/>
        <w:spacing w:lineRule="auto" w:line="360" w:before="0" w:after="0"/>
        <w:ind w:firstLine="709"/>
        <w:rPr>
          <w:rFonts w:ascii="Times New Roman" w:hAnsi="Times New Roman"/>
          <w:sz w:val="24"/>
          <w:szCs w:val="24"/>
        </w:rPr>
      </w:pPr>
      <w:r>
        <w:rPr>
          <w:rFonts w:ascii="Times New Roman" w:hAnsi="Times New Roman"/>
          <w:sz w:val="24"/>
          <w:szCs w:val="24"/>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Усі відібрані п’ять факторів впливають на фондовіддачу. Проте суттєвість їх впливу є різною. </w:t>
      </w:r>
      <w:r>
        <w:rPr>
          <w:rFonts w:ascii="Times New Roman" w:hAnsi="Times New Roman"/>
          <w:sz w:val="28"/>
          <w:szCs w:val="28"/>
        </w:rPr>
        <w:t xml:space="preserve">За даними таблиці 3.2 найбільший, проте обернений вплив на зміну фондовіддачі здійснює трудомісткість (-0,9294), питома вага робітників у складі працівників (0,7450), технічна фондоозброєність (0,6652). Помітним є вплив і коефіцієнта введення основних фондів (0,3385). До речі вартість введених засобів праці протягом останніх п’яти років значно випереджає вартість вибулих, тому цей фактор і взято для дослідження. Незначний вплив на фондовіддачу чинить питома вага активної частини основних фондів (0,2664). Однак, оскільки на </w:t>
      </w:r>
      <w:r>
        <w:rPr>
          <w:rFonts w:eastAsia="Times New Roman" w:ascii="Times New Roman" w:hAnsi="Times New Roman"/>
          <w:sz w:val="28"/>
          <w:szCs w:val="28"/>
          <w:lang w:eastAsia="ru-RU"/>
        </w:rPr>
        <w:t xml:space="preserve">ТОВ «НЕЙЛ» цей показник має досить високе значення: коливається від 73,97 % у 2010 р. до 76,68 % у 2020 р. його теж варто включити до дослідження. </w:t>
      </w:r>
      <w:r>
        <w:rPr>
          <w:rFonts w:ascii="Times New Roman" w:hAnsi="Times New Roman"/>
          <w:sz w:val="28"/>
          <w:szCs w:val="28"/>
        </w:rPr>
        <w:t xml:space="preserve">Обернений вплив між фондовіддачею та трудомісткістю вказує на те, що на 92,94 % скорочення місткості праці у складі витрат </w:t>
      </w:r>
      <w:r>
        <w:rPr>
          <w:rFonts w:eastAsia="Times New Roman" w:ascii="Times New Roman" w:hAnsi="Times New Roman"/>
          <w:sz w:val="28"/>
          <w:szCs w:val="28"/>
          <w:lang w:eastAsia="ru-RU"/>
        </w:rPr>
        <w:t xml:space="preserve">ТОВ «НЕЙЛ» призведе до зростання </w:t>
      </w:r>
      <w:r>
        <w:rPr>
          <w:rFonts w:ascii="Times New Roman" w:hAnsi="Times New Roman"/>
          <w:sz w:val="28"/>
          <w:szCs w:val="28"/>
        </w:rPr>
        <w:t xml:space="preserve">фондовіддачі і покращення ефективності використання його засобів праці. </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 xml:space="preserve">Одночасно значної залежності між відібраними факторами не виявлено. Тому ми можемо включати їх разом у модель. Отже, вихідні дані для кореляційно-регресійного аналізу подано у таблиці 3.1. </w:t>
      </w:r>
      <w:bookmarkStart w:id="3" w:name="_Hlk503379540"/>
      <w:bookmarkEnd w:id="3"/>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Засобами економетричного моделювання побудуємо декілька моделей зміни рівня фондовіддачі, визначимо їх якісні характеристики та здійснимо його прогнозування. </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Для побудови економетричної моделі зміни </w:t>
      </w:r>
      <w:r>
        <w:rPr>
          <w:rFonts w:ascii="Times New Roman" w:hAnsi="Times New Roman"/>
          <w:sz w:val="28"/>
          <w:szCs w:val="28"/>
        </w:rPr>
        <w:t xml:space="preserve">фондовіддачі застосуємо </w:t>
      </w:r>
      <w:r>
        <w:rPr>
          <w:rFonts w:eastAsia="Times New Roman" w:ascii="Times New Roman" w:hAnsi="Times New Roman"/>
          <w:sz w:val="28"/>
          <w:szCs w:val="28"/>
          <w:lang w:eastAsia="ru-RU"/>
        </w:rPr>
        <w:t xml:space="preserve">інструмент аналізу даних «Регресія». Спочатку побудуємо п’ятифакторну економетричну модель зміни </w:t>
      </w:r>
      <w:r>
        <w:rPr>
          <w:rFonts w:ascii="Times New Roman" w:hAnsi="Times New Roman"/>
          <w:sz w:val="28"/>
          <w:szCs w:val="28"/>
        </w:rPr>
        <w:t>фондовіддачі</w:t>
      </w:r>
      <w:r>
        <w:rPr>
          <w:rFonts w:eastAsia="Times New Roman" w:ascii="Times New Roman" w:hAnsi="Times New Roman"/>
          <w:sz w:val="28"/>
          <w:szCs w:val="28"/>
          <w:lang w:eastAsia="ru-RU"/>
        </w:rPr>
        <w:t>:</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Y</m:t>
            </m:r>
          </m:e>
          <m:sub>
            <m:r>
              <w:rPr>
                <w:rFonts w:ascii="Cambria Math" w:hAnsi="Cambria Math"/>
              </w:rPr>
              <m:t xml:space="preserve">р</m:t>
            </m:r>
          </m:sub>
        </m:sSub>
        <m:r>
          <w:rPr>
            <w:rFonts w:ascii="Cambria Math" w:hAnsi="Cambria Math"/>
          </w:rPr>
          <m:t xml:space="preserve">=</m:t>
        </m:r>
        <m:r>
          <w:rPr>
            <w:rFonts w:ascii="Cambria Math" w:hAnsi="Cambria Math"/>
          </w:rPr>
          <m:t xml:space="preserve">−</m:t>
        </m:r>
        <m:r>
          <w:rPr>
            <w:rFonts w:ascii="Cambria Math" w:hAnsi="Cambria Math"/>
          </w:rPr>
          <m:t xml:space="preserve">6,41</m:t>
        </m:r>
        <m:r>
          <w:rPr>
            <w:rFonts w:ascii="Cambria Math" w:hAnsi="Cambria Math"/>
          </w:rPr>
          <m:t xml:space="preserve">+</m:t>
        </m:r>
        <m:r>
          <w:rPr>
            <w:rFonts w:ascii="Cambria Math" w:hAnsi="Cambria Math"/>
          </w:rPr>
          <m:t xml:space="preserve">0,19</m:t>
        </m:r>
        <m:sSub>
          <m:e>
            <m:r>
              <w:rPr>
                <w:rFonts w:ascii="Cambria Math" w:hAnsi="Cambria Math"/>
              </w:rPr>
              <m:t xml:space="preserve">х</m:t>
            </m:r>
          </m:e>
          <m:sub>
            <m:r>
              <w:rPr>
                <w:rFonts w:ascii="Cambria Math" w:hAnsi="Cambria Math"/>
              </w:rPr>
              <m:t xml:space="preserve">1</m:t>
            </m:r>
          </m:sub>
        </m:sSub>
        <m:r>
          <w:rPr>
            <w:rFonts w:ascii="Cambria Math" w:hAnsi="Cambria Math"/>
          </w:rPr>
          <m:t xml:space="preserve">+</m:t>
        </m:r>
        <m:r>
          <w:rPr>
            <w:rFonts w:ascii="Cambria Math" w:hAnsi="Cambria Math"/>
          </w:rPr>
          <m:t xml:space="preserve">4,90</m:t>
        </m:r>
        <m:sSub>
          <m:e>
            <m:r>
              <w:rPr>
                <w:rFonts w:ascii="Cambria Math" w:hAnsi="Cambria Math"/>
              </w:rPr>
              <m:t xml:space="preserve">х</m:t>
            </m:r>
          </m:e>
          <m:sub>
            <m:r>
              <w:rPr>
                <w:rFonts w:ascii="Cambria Math" w:hAnsi="Cambria Math"/>
              </w:rPr>
              <m:t xml:space="preserve">2</m:t>
            </m:r>
          </m:sub>
        </m:sSub>
        <m:r>
          <w:rPr>
            <w:rFonts w:ascii="Cambria Math" w:hAnsi="Cambria Math"/>
          </w:rPr>
          <m:t xml:space="preserve">−</m:t>
        </m:r>
        <m:r>
          <w:rPr>
            <w:rFonts w:ascii="Cambria Math" w:hAnsi="Cambria Math"/>
          </w:rPr>
          <m:t xml:space="preserve">0,11</m:t>
        </m:r>
        <m:sSub>
          <m:e>
            <m:r>
              <w:rPr>
                <w:rFonts w:ascii="Cambria Math" w:hAnsi="Cambria Math"/>
              </w:rPr>
              <m:t xml:space="preserve">х</m:t>
            </m:r>
          </m:e>
          <m:sub>
            <m:r>
              <w:rPr>
                <w:rFonts w:ascii="Cambria Math" w:hAnsi="Cambria Math"/>
              </w:rPr>
              <m:t xml:space="preserve">3</m:t>
            </m:r>
          </m:sub>
        </m:sSub>
        <m:r>
          <w:rPr>
            <w:rFonts w:ascii="Cambria Math" w:hAnsi="Cambria Math"/>
          </w:rPr>
          <m:t xml:space="preserve">−</m:t>
        </m:r>
        <m:r>
          <w:rPr>
            <w:rFonts w:ascii="Cambria Math" w:hAnsi="Cambria Math"/>
          </w:rPr>
          <m:t xml:space="preserve">0,96</m:t>
        </m:r>
        <m:sSub>
          <m:e>
            <m:r>
              <w:rPr>
                <w:rFonts w:ascii="Cambria Math" w:hAnsi="Cambria Math"/>
              </w:rPr>
              <m:t xml:space="preserve">х</m:t>
            </m:r>
          </m:e>
          <m:sub>
            <m:r>
              <w:rPr>
                <w:rFonts w:ascii="Cambria Math" w:hAnsi="Cambria Math"/>
              </w:rPr>
              <m:t xml:space="preserve">4</m:t>
            </m:r>
          </m:sub>
        </m:sSub>
        <m:r>
          <w:rPr>
            <w:rFonts w:ascii="Cambria Math" w:hAnsi="Cambria Math"/>
          </w:rPr>
          <m:t xml:space="preserve">+</m:t>
        </m:r>
        <m:r>
          <w:rPr>
            <w:rFonts w:ascii="Cambria Math" w:hAnsi="Cambria Math"/>
          </w:rPr>
          <m:t xml:space="preserve">0,09</m:t>
        </m:r>
        <m:sSub>
          <m:e>
            <m:r>
              <w:rPr>
                <w:rFonts w:ascii="Cambria Math" w:hAnsi="Cambria Math"/>
              </w:rPr>
              <m:t xml:space="preserve">х</m:t>
            </m:r>
          </m:e>
          <m:sub>
            <m:r>
              <w:rPr>
                <w:rFonts w:ascii="Cambria Math" w:hAnsi="Cambria Math"/>
              </w:rPr>
              <m:t xml:space="preserve">5</m:t>
            </m:r>
          </m:sub>
        </m:sSub>
        <m:r>
          <w:rPr>
            <w:rFonts w:ascii="Cambria Math" w:hAnsi="Cambria Math"/>
          </w:rPr>
          <m:t xml:space="preserve">.</m:t>
        </m:r>
      </m:oMath>
      <w:r>
        <w:rPr>
          <w:rFonts w:eastAsia="Times New Roman" w:ascii="Times New Roman" w:hAnsi="Times New Roman"/>
          <w:sz w:val="28"/>
          <w:szCs w:val="28"/>
          <w:lang w:eastAsia="ru-RU"/>
        </w:rPr>
        <w:tab/>
        <w:t xml:space="preserve">      (3.1)</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За побудованою моделлю найбільший вплив на зміну </w:t>
      </w:r>
      <w:r>
        <w:rPr>
          <w:rFonts w:ascii="Times New Roman" w:hAnsi="Times New Roman"/>
          <w:sz w:val="28"/>
          <w:szCs w:val="28"/>
        </w:rPr>
        <w:t xml:space="preserve">показника ефективності використання засобів праці </w:t>
      </w:r>
      <w:r>
        <w:rPr>
          <w:rFonts w:eastAsia="Times New Roman" w:ascii="Times New Roman" w:hAnsi="Times New Roman"/>
          <w:sz w:val="28"/>
          <w:szCs w:val="28"/>
          <w:lang w:eastAsia="ru-RU"/>
        </w:rPr>
        <w:t xml:space="preserve">ТОВ «НЕЙЛ» здійснює </w:t>
      </w:r>
      <w:r>
        <w:rPr>
          <w:rFonts w:ascii="Times New Roman" w:hAnsi="Times New Roman"/>
          <w:sz w:val="28"/>
          <w:szCs w:val="28"/>
        </w:rPr>
        <w:t>коефіцієнт введення основних фондів</w:t>
      </w:r>
      <w:r>
        <w:rPr>
          <w:rFonts w:eastAsia="Times New Roman" w:ascii="Times New Roman" w:hAnsi="Times New Roman"/>
          <w:sz w:val="28"/>
          <w:szCs w:val="28"/>
          <w:lang w:eastAsia="ru-RU"/>
        </w:rPr>
        <w:t xml:space="preserve">, що доводить високе абсолютне значення параметра моделі (4,90). Воно доводить, що за зростання цього коефіцієнта рівень </w:t>
      </w:r>
      <w:r>
        <w:rPr>
          <w:rFonts w:ascii="Times New Roman" w:hAnsi="Times New Roman"/>
          <w:sz w:val="28"/>
          <w:szCs w:val="28"/>
        </w:rPr>
        <w:t xml:space="preserve">фондовіддачі збільшиться на 4,90 грн. Достатньо </w:t>
      </w:r>
      <w:r>
        <w:rPr>
          <w:rFonts w:eastAsia="Times New Roman" w:ascii="Times New Roman" w:hAnsi="Times New Roman"/>
          <w:sz w:val="28"/>
          <w:szCs w:val="28"/>
          <w:lang w:eastAsia="ru-RU"/>
        </w:rPr>
        <w:t xml:space="preserve">високе абсолютне значення параметра моделі (-0,96) при четвертій змінній – </w:t>
      </w:r>
      <w:r>
        <w:rPr>
          <w:rFonts w:ascii="Times New Roman" w:hAnsi="Times New Roman"/>
          <w:sz w:val="28"/>
          <w:szCs w:val="28"/>
        </w:rPr>
        <w:t>трудомісткості</w:t>
      </w:r>
      <w:r>
        <w:rPr>
          <w:rFonts w:eastAsia="Times New Roman" w:ascii="Times New Roman" w:hAnsi="Times New Roman"/>
          <w:sz w:val="28"/>
          <w:szCs w:val="28"/>
          <w:lang w:eastAsia="ru-RU"/>
        </w:rPr>
        <w:t xml:space="preserve"> показує, що за зростання місткості праці у складі витрат підприємства </w:t>
      </w:r>
      <w:r>
        <w:rPr>
          <w:rFonts w:ascii="Times New Roman" w:hAnsi="Times New Roman"/>
          <w:sz w:val="28"/>
          <w:szCs w:val="28"/>
        </w:rPr>
        <w:t xml:space="preserve">рівень ефективності засобів праці </w:t>
      </w:r>
      <w:r>
        <w:rPr>
          <w:rStyle w:val="Style14"/>
          <w:rFonts w:ascii="Times New Roman" w:hAnsi="Times New Roman"/>
          <w:sz w:val="28"/>
          <w:szCs w:val="28"/>
          <w:lang w:eastAsia="ru-RU"/>
        </w:rPr>
        <w:t>суб’єкта підприємництва буде скорочуватися</w:t>
      </w:r>
      <w:r>
        <w:rPr>
          <w:rFonts w:ascii="Times New Roman" w:hAnsi="Times New Roman"/>
          <w:sz w:val="28"/>
          <w:szCs w:val="28"/>
        </w:rPr>
        <w:t xml:space="preserve"> на 0,96 грн.</w:t>
      </w:r>
      <w:r>
        <w:rPr>
          <w:rFonts w:eastAsia="Times New Roman" w:ascii="Times New Roman" w:hAnsi="Times New Roman"/>
          <w:sz w:val="28"/>
          <w:szCs w:val="28"/>
          <w:lang w:eastAsia="ru-RU"/>
        </w:rPr>
        <w:t xml:space="preserve"> </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Ця модель (3.1) має високе значення коефіцієнта детермінації (0,9334). Воно вказує на те що на 93,34 % усі п’ять факторів впливають на зміну </w:t>
      </w:r>
      <w:r>
        <w:rPr>
          <w:rFonts w:ascii="Times New Roman" w:hAnsi="Times New Roman"/>
          <w:sz w:val="28"/>
          <w:szCs w:val="28"/>
        </w:rPr>
        <w:t>фондовіддачі</w:t>
      </w:r>
      <w:r>
        <w:rPr>
          <w:rFonts w:eastAsia="Times New Roman" w:ascii="Times New Roman" w:hAnsi="Times New Roman"/>
          <w:sz w:val="28"/>
          <w:szCs w:val="28"/>
          <w:lang w:eastAsia="ru-RU"/>
        </w:rPr>
        <w:t xml:space="preserve"> і лише 6,66 % припадає на дію факторів що не включені у цю модель (3.1). Тому, модель (3.1) є адекватною за високого значення коефіцієнта детермінації, оскільки воно перевищує 0,75. </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Традиційно для визначення адекватності економетричної моделі (3.1) застосовують критерій Фішера. Оскільки його розрахункове значення (14,01) більше за табличне (5,05), то модель (3.1) є адекватною і за критерієм Фішера. Підтвердивши факт адекватності, за моделлю (3.1) можна здійснювати прогнозування </w:t>
      </w:r>
      <w:r>
        <w:rPr>
          <w:rFonts w:ascii="Times New Roman" w:hAnsi="Times New Roman"/>
          <w:sz w:val="28"/>
          <w:szCs w:val="28"/>
        </w:rPr>
        <w:t>показника ефективності використання засобів праці.</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Достовірність параметрів п’ятифакторної моделі (3.1) оцінено за критерієм Стьюдента. В разі, якщо розрахункові значення цього критерію перевищують їх табличне значення (2,57), то параметри достовірні. За нашими підрахунками достовірними є лише параметри моделі при змінній </w:t>
      </w:r>
      <w:r>
        <w:rPr/>
      </w:r>
      <m:oMath xmlns:m="http://schemas.openxmlformats.org/officeDocument/2006/math">
        <m:sSub>
          <m:e>
            <m:r>
              <w:rPr>
                <w:rFonts w:ascii="Cambria Math" w:hAnsi="Cambria Math"/>
              </w:rPr>
              <m:t xml:space="preserve">х</m:t>
            </m:r>
          </m:e>
          <m:sub>
            <m:r>
              <w:rPr>
                <w:rFonts w:ascii="Cambria Math" w:hAnsi="Cambria Math"/>
              </w:rPr>
              <m:t xml:space="preserve">4</m:t>
            </m:r>
          </m:sub>
        </m:sSub>
      </m:oMath>
      <w:r>
        <w:rPr>
          <w:rFonts w:eastAsia="Times New Roman" w:ascii="Times New Roman" w:hAnsi="Times New Roman"/>
          <w:sz w:val="28"/>
          <w:szCs w:val="28"/>
          <w:lang w:eastAsia="ru-RU"/>
        </w:rPr>
        <w:t xml:space="preserve"> </w:t>
      </w:r>
      <w:r>
        <w:rPr>
          <w:rFonts w:ascii="Times New Roman" w:hAnsi="Times New Roman"/>
          <w:color w:val="000000"/>
          <w:sz w:val="28"/>
          <w:szCs w:val="28"/>
        </w:rPr>
        <w:t>–</w:t>
      </w:r>
      <w:r>
        <w:rPr>
          <w:rFonts w:eastAsia="Times New Roman" w:ascii="Times New Roman" w:hAnsi="Times New Roman"/>
          <w:sz w:val="28"/>
          <w:szCs w:val="28"/>
          <w:lang w:eastAsia="ru-RU"/>
        </w:rPr>
        <w:t xml:space="preserve"> параметр а</w:t>
      </w:r>
      <w:r>
        <w:rPr>
          <w:rFonts w:eastAsia="Times New Roman" w:ascii="Times New Roman" w:hAnsi="Times New Roman"/>
          <w:sz w:val="28"/>
          <w:szCs w:val="28"/>
          <w:vertAlign w:val="subscript"/>
          <w:lang w:eastAsia="ru-RU"/>
        </w:rPr>
        <w:t>4</w:t>
      </w:r>
      <w:r>
        <w:rPr>
          <w:rFonts w:eastAsia="Times New Roman" w:ascii="Times New Roman" w:hAnsi="Times New Roman"/>
          <w:sz w:val="28"/>
          <w:szCs w:val="28"/>
          <w:lang w:eastAsia="ru-RU"/>
        </w:rPr>
        <w:t>, оскільки його значення (3,62) більше за табличне значення критерію Стьюдента (таблиця 3.3).</w:t>
      </w:r>
    </w:p>
    <w:p>
      <w:pPr>
        <w:pStyle w:val="Normal"/>
        <w:spacing w:lineRule="auto" w:line="360"/>
        <w:ind w:firstLine="709"/>
        <w:rPr>
          <w:rFonts w:ascii="Times New Roman" w:hAnsi="Times New Roman" w:eastAsia="Times New Roman"/>
          <w:sz w:val="6"/>
          <w:szCs w:val="24"/>
          <w:lang w:eastAsia="ru-RU"/>
        </w:rPr>
      </w:pPr>
      <w:r>
        <w:rPr>
          <w:rFonts w:eastAsia="Times New Roman" w:ascii="Times New Roman" w:hAnsi="Times New Roman"/>
          <w:sz w:val="6"/>
          <w:szCs w:val="24"/>
          <w:lang w:eastAsia="ru-RU"/>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color w:val="000000"/>
          <w:sz w:val="28"/>
          <w:szCs w:val="28"/>
        </w:rPr>
        <w:t>Таблиця 3.3 – Оцінка достовірності параметрів за критерієм Стьюдента</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636"/>
        <w:gridCol w:w="636"/>
        <w:gridCol w:w="912"/>
        <w:gridCol w:w="1121"/>
        <w:gridCol w:w="1117"/>
        <w:gridCol w:w="912"/>
        <w:gridCol w:w="3"/>
        <w:gridCol w:w="4300"/>
      </w:tblGrid>
      <w:tr>
        <w:trPr>
          <w:trHeight w:val="20" w:hRule="atLeast"/>
        </w:trPr>
        <w:tc>
          <w:tcPr>
            <w:tcW w:w="5337" w:type="dxa"/>
            <w:gridSpan w:val="7"/>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Розрахункові значення критерія Стьюдента</w:t>
            </w:r>
          </w:p>
        </w:tc>
        <w:tc>
          <w:tcPr>
            <w:tcW w:w="430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Табличне значення критерія Стьюдента</w:t>
            </w:r>
          </w:p>
        </w:tc>
      </w:tr>
      <w:tr>
        <w:trPr>
          <w:trHeight w:val="20" w:hRule="atLeast"/>
        </w:trPr>
        <w:tc>
          <w:tcPr>
            <w:tcW w:w="636"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a5</w:t>
            </w:r>
          </w:p>
        </w:tc>
        <w:tc>
          <w:tcPr>
            <w:tcW w:w="636" w:type="dxa"/>
            <w:tcBorders>
              <w:top w:val="single" w:sz="4" w:space="0" w:color="000000"/>
              <w:left w:val="single" w:sz="4" w:space="0" w:color="000000"/>
              <w:bottom w:val="single" w:sz="4" w:space="0" w:color="000000"/>
              <w:right w:val="single" w:sz="4" w:space="0" w:color="000000"/>
            </w:tcBorders>
            <w:shd w:fill="auto" w:val="clear"/>
          </w:tcPr>
          <w:p>
            <w:pPr>
              <w:pStyle w:val="Normal"/>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a4</w:t>
            </w:r>
          </w:p>
        </w:tc>
        <w:tc>
          <w:tcPr>
            <w:tcW w:w="91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a3</w:t>
            </w:r>
          </w:p>
        </w:tc>
        <w:tc>
          <w:tcPr>
            <w:tcW w:w="11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a2</w:t>
            </w:r>
          </w:p>
        </w:tc>
        <w:tc>
          <w:tcPr>
            <w:tcW w:w="11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a1</w:t>
            </w:r>
          </w:p>
        </w:tc>
        <w:tc>
          <w:tcPr>
            <w:tcW w:w="91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a0</w:t>
            </w:r>
          </w:p>
        </w:tc>
        <w:tc>
          <w:tcPr>
            <w:tcW w:w="4303"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табл</w:t>
            </w:r>
          </w:p>
        </w:tc>
      </w:tr>
      <w:tr>
        <w:trPr>
          <w:trHeight w:val="20" w:hRule="atLeast"/>
        </w:trPr>
        <w:tc>
          <w:tcPr>
            <w:tcW w:w="63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0,97</w:t>
            </w:r>
          </w:p>
        </w:tc>
        <w:tc>
          <w:tcPr>
            <w:tcW w:w="63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3,62</w:t>
            </w:r>
          </w:p>
        </w:tc>
        <w:tc>
          <w:tcPr>
            <w:tcW w:w="91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1,27</w:t>
            </w:r>
          </w:p>
        </w:tc>
        <w:tc>
          <w:tcPr>
            <w:tcW w:w="112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0,88</w:t>
            </w:r>
          </w:p>
        </w:tc>
        <w:tc>
          <w:tcPr>
            <w:tcW w:w="11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1,89</w:t>
            </w:r>
          </w:p>
        </w:tc>
        <w:tc>
          <w:tcPr>
            <w:tcW w:w="912"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0,51</w:t>
            </w:r>
          </w:p>
        </w:tc>
        <w:tc>
          <w:tcPr>
            <w:tcW w:w="4303"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2,57</w:t>
            </w:r>
          </w:p>
        </w:tc>
      </w:tr>
    </w:tbl>
    <w:p>
      <w:pPr>
        <w:pStyle w:val="Normal"/>
        <w:spacing w:lineRule="auto" w:line="360"/>
        <w:ind w:firstLine="709"/>
        <w:rPr>
          <w:rFonts w:ascii="Times New Roman" w:hAnsi="Times New Roman" w:eastAsia="Times New Roman"/>
          <w:sz w:val="24"/>
          <w:szCs w:val="24"/>
          <w:lang w:eastAsia="ru-RU"/>
        </w:rPr>
      </w:pPr>
      <w:r>
        <w:rPr>
          <w:rFonts w:eastAsia="Times New Roman" w:ascii="Times New Roman" w:hAnsi="Times New Roman"/>
          <w:sz w:val="24"/>
          <w:szCs w:val="24"/>
          <w:lang w:eastAsia="ru-RU"/>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Оскільки побудована модель (3.1) є адекватною як за високого значення коефіцієнта детермінації так і за критерієм Фішера, тому за нею варто визначити змодельовані значення та здійснити подальше прогнозування </w:t>
      </w:r>
      <w:r>
        <w:rPr>
          <w:rFonts w:ascii="Times New Roman" w:hAnsi="Times New Roman"/>
          <w:sz w:val="28"/>
          <w:szCs w:val="28"/>
        </w:rPr>
        <w:t xml:space="preserve">інтегрального показника ефективності використання засобів праці </w:t>
      </w:r>
      <w:r>
        <w:rPr>
          <w:rFonts w:eastAsia="Times New Roman" w:ascii="Times New Roman" w:hAnsi="Times New Roman"/>
          <w:sz w:val="28"/>
          <w:szCs w:val="28"/>
          <w:lang w:eastAsia="ru-RU"/>
        </w:rPr>
        <w:t>ТОВ «НЕЙЛ»</w:t>
      </w:r>
      <w:r>
        <w:rPr>
          <w:rStyle w:val="Style14"/>
          <w:rFonts w:ascii="Times New Roman" w:hAnsi="Times New Roman"/>
          <w:sz w:val="28"/>
          <w:szCs w:val="28"/>
          <w:lang w:eastAsia="ru-RU"/>
        </w:rPr>
        <w:t xml:space="preserve"> </w:t>
      </w:r>
      <w:r>
        <w:rPr>
          <w:rFonts w:ascii="Times New Roman" w:hAnsi="Times New Roman"/>
          <w:sz w:val="28"/>
          <w:szCs w:val="28"/>
        </w:rPr>
        <w:t xml:space="preserve">(таблиця 3.4). </w:t>
      </w:r>
    </w:p>
    <w:p>
      <w:pPr>
        <w:pStyle w:val="Normal"/>
        <w:spacing w:lineRule="auto" w:line="360"/>
        <w:ind w:firstLine="709"/>
        <w:rPr>
          <w:rFonts w:ascii="Times New Roman" w:hAnsi="Times New Roman" w:eastAsia="Times New Roman"/>
          <w:sz w:val="24"/>
          <w:szCs w:val="24"/>
        </w:rPr>
      </w:pPr>
      <w:r>
        <w:rPr>
          <w:rFonts w:eastAsia="Times New Roman" w:ascii="Times New Roman" w:hAnsi="Times New Roman"/>
          <w:sz w:val="24"/>
          <w:szCs w:val="24"/>
        </w:rPr>
      </w:r>
    </w:p>
    <w:p>
      <w:pPr>
        <w:pStyle w:val="Normal"/>
        <w:spacing w:lineRule="auto" w:line="360"/>
        <w:ind w:firstLine="709"/>
        <w:rPr>
          <w:rFonts w:ascii="Times New Roman" w:hAnsi="Times New Roman"/>
          <w:sz w:val="28"/>
          <w:szCs w:val="28"/>
        </w:rPr>
      </w:pPr>
      <w:r>
        <w:rPr>
          <w:rFonts w:ascii="Times New Roman" w:hAnsi="Times New Roman"/>
          <w:color w:val="000000"/>
          <w:sz w:val="28"/>
          <w:szCs w:val="28"/>
        </w:rPr>
        <w:t xml:space="preserve">Таблиця 3.4 – Результати економетричного моделювання </w:t>
      </w:r>
      <w:r>
        <w:rPr>
          <w:rFonts w:ascii="Times New Roman" w:hAnsi="Times New Roman"/>
          <w:sz w:val="28"/>
          <w:szCs w:val="28"/>
        </w:rPr>
        <w:t>фондовіддачі</w:t>
      </w:r>
    </w:p>
    <w:tbl>
      <w:tblPr>
        <w:tblW w:w="9630" w:type="dxa"/>
        <w:jc w:val="left"/>
        <w:tblInd w:w="0" w:type="dxa"/>
        <w:tblCellMar>
          <w:top w:w="0" w:type="dxa"/>
          <w:left w:w="108" w:type="dxa"/>
          <w:bottom w:w="0" w:type="dxa"/>
          <w:right w:w="108" w:type="dxa"/>
        </w:tblCellMar>
        <w:tblLook w:firstRow="1" w:noVBand="1" w:lastRow="0" w:firstColumn="1" w:lastColumn="0" w:noHBand="0" w:val="04a0"/>
      </w:tblPr>
      <w:tblGrid>
        <w:gridCol w:w="406"/>
        <w:gridCol w:w="1780"/>
        <w:gridCol w:w="467"/>
        <w:gridCol w:w="1"/>
        <w:gridCol w:w="635"/>
        <w:gridCol w:w="1"/>
        <w:gridCol w:w="636"/>
        <w:gridCol w:w="1"/>
        <w:gridCol w:w="634"/>
        <w:gridCol w:w="1"/>
        <w:gridCol w:w="635"/>
        <w:gridCol w:w="1"/>
        <w:gridCol w:w="634"/>
        <w:gridCol w:w="1"/>
        <w:gridCol w:w="635"/>
        <w:gridCol w:w="1"/>
        <w:gridCol w:w="635"/>
        <w:gridCol w:w="1"/>
        <w:gridCol w:w="634"/>
        <w:gridCol w:w="1"/>
        <w:gridCol w:w="635"/>
        <w:gridCol w:w="1"/>
        <w:gridCol w:w="634"/>
        <w:gridCol w:w="1"/>
        <w:gridCol w:w="618"/>
      </w:tblGrid>
      <w:tr>
        <w:trPr>
          <w:trHeight w:val="20" w:hRule="atLeast"/>
        </w:trPr>
        <w:tc>
          <w:tcPr>
            <w:tcW w:w="2654" w:type="dxa"/>
            <w:gridSpan w:val="4"/>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Показники</w:t>
            </w:r>
          </w:p>
        </w:tc>
        <w:tc>
          <w:tcPr>
            <w:tcW w:w="6975" w:type="dxa"/>
            <w:gridSpan w:val="21"/>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Роки</w:t>
            </w:r>
          </w:p>
        </w:tc>
      </w:tr>
      <w:tr>
        <w:trPr>
          <w:trHeight w:val="20" w:hRule="atLeast"/>
        </w:trPr>
        <w:tc>
          <w:tcPr>
            <w:tcW w:w="2654" w:type="dxa"/>
            <w:gridSpan w:val="4"/>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2010</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2012</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2013</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2014</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2016</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2017</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2018</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2019</w:t>
            </w:r>
          </w:p>
        </w:tc>
        <w:tc>
          <w:tcPr>
            <w:tcW w:w="61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2020</w:t>
            </w:r>
          </w:p>
        </w:tc>
      </w:tr>
      <w:tr>
        <w:trPr>
          <w:trHeight w:val="20" w:hRule="atLeast"/>
        </w:trPr>
        <w:tc>
          <w:tcPr>
            <w:tcW w:w="406" w:type="dxa"/>
            <w:vMerge w:val="restart"/>
            <w:tcBorders>
              <w:top w:val="single" w:sz="4" w:space="0" w:color="000000"/>
              <w:left w:val="single" w:sz="4" w:space="0" w:color="000000"/>
              <w:bottom w:val="single" w:sz="4" w:space="0" w:color="000000"/>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Фактичні дані:</w:t>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Фондовіддача, грн</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Y</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6,61</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5,67</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5,99</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4,07</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5,62</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8,93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7,94</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9,58</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9,45</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11,59</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11,26</w:t>
            </w:r>
          </w:p>
        </w:tc>
      </w:tr>
      <w:tr>
        <w:trPr>
          <w:trHeight w:val="20" w:hRule="atLeast"/>
        </w:trPr>
        <w:tc>
          <w:tcPr>
            <w:tcW w:w="40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 xml:space="preserve">Питома вага </w:t>
            </w:r>
          </w:p>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активної частини ОФ, %</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1</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73,97</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75,97</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72,17</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71,31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58,90</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63,63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68,11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68,73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74,72</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74,84</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76,68</w:t>
            </w:r>
          </w:p>
        </w:tc>
      </w:tr>
      <w:tr>
        <w:trPr>
          <w:trHeight w:val="20" w:hRule="atLeast"/>
        </w:trPr>
        <w:tc>
          <w:tcPr>
            <w:tcW w:w="40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Коефіцієнт введення, п</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2</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0,01</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0,03</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0,10</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0,08</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0,09</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0,04</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0,23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0,02</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0,10</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0,11</w:t>
            </w:r>
          </w:p>
        </w:tc>
      </w:tr>
      <w:tr>
        <w:trPr>
          <w:trHeight w:val="20" w:hRule="atLeast"/>
        </w:trPr>
        <w:tc>
          <w:tcPr>
            <w:tcW w:w="40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Фондоозброєність технічна, грн</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24,10</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28,10</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27,33</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24,25</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19,78</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21,06</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33,58</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30,15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44,72</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36,55</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38,12</w:t>
            </w:r>
          </w:p>
        </w:tc>
      </w:tr>
      <w:tr>
        <w:trPr>
          <w:trHeight w:val="20" w:hRule="atLeast"/>
        </w:trPr>
        <w:tc>
          <w:tcPr>
            <w:tcW w:w="40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Трудомісткість, грн</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4</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lang w:eastAsia="uk-UA"/>
              </w:rPr>
            </w:pPr>
            <w:r>
              <w:rPr>
                <w:rFonts w:ascii="Times New Roman" w:hAnsi="Times New Roman"/>
                <w:color w:val="000000"/>
                <w:sz w:val="18"/>
              </w:rPr>
              <w:t>6,06</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5,73</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5,41</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8,90</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5,66</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3,71</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2,71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2,58</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1,93</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1,82</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18"/>
              </w:rPr>
            </w:pPr>
            <w:r>
              <w:rPr>
                <w:rFonts w:ascii="Times New Roman" w:hAnsi="Times New Roman"/>
                <w:color w:val="000000"/>
                <w:sz w:val="18"/>
              </w:rPr>
              <w:t>1,84</w:t>
            </w:r>
          </w:p>
        </w:tc>
      </w:tr>
      <w:tr>
        <w:trPr>
          <w:trHeight w:val="20" w:hRule="atLeast"/>
        </w:trPr>
        <w:tc>
          <w:tcPr>
            <w:tcW w:w="40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r>
          </w:p>
        </w:tc>
        <w:tc>
          <w:tcPr>
            <w:tcW w:w="178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99"/>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Питома вага робітників, %</w:t>
            </w:r>
          </w:p>
        </w:tc>
        <w:tc>
          <w:tcPr>
            <w:tcW w:w="46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X</w:t>
            </w:r>
            <w:r>
              <w:rPr>
                <w:rFonts w:eastAsia="Times New Roman" w:ascii="Times New Roman" w:hAnsi="Times New Roman"/>
                <w:color w:val="000000"/>
                <w:sz w:val="18"/>
                <w:szCs w:val="20"/>
                <w:vertAlign w:val="subscript"/>
                <w:lang w:eastAsia="uk-UA"/>
              </w:rPr>
              <w:t>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76,53</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83,21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81,51</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81,27</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93,56</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91,25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94,24</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92,21</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91,41</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97,08</w:t>
            </w:r>
          </w:p>
        </w:tc>
        <w:tc>
          <w:tcPr>
            <w:tcW w:w="619"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97,07</w:t>
            </w:r>
          </w:p>
        </w:tc>
      </w:tr>
      <w:tr>
        <w:trPr>
          <w:trHeight w:val="20" w:hRule="atLeast"/>
        </w:trPr>
        <w:tc>
          <w:tcPr>
            <w:tcW w:w="218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left="284" w:hanging="28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Змодельовані значення фондовіддачі за моделлю (3.1)</w:t>
            </w:r>
          </w:p>
        </w:tc>
        <w:tc>
          <w:tcPr>
            <w:tcW w:w="468"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Y</w:t>
            </w:r>
            <w:r>
              <w:rPr>
                <w:rFonts w:eastAsia="Times New Roman" w:ascii="Times New Roman" w:hAnsi="Times New Roman"/>
                <w:color w:val="000000"/>
                <w:sz w:val="18"/>
                <w:szCs w:val="20"/>
                <w:vertAlign w:val="subscript"/>
                <w:lang w:eastAsia="uk-UA"/>
              </w:rPr>
              <w:t>p</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5,92</w:t>
            </w:r>
          </w:p>
        </w:tc>
        <w:tc>
          <w:tcPr>
            <w:tcW w:w="637"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6,86</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6,47</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3,54</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5,78</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8,25</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8,64</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10,02</w:t>
            </w:r>
          </w:p>
        </w:tc>
        <w:tc>
          <w:tcPr>
            <w:tcW w:w="636"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9,05</w:t>
            </w:r>
          </w:p>
        </w:tc>
        <w:tc>
          <w:tcPr>
            <w:tcW w:w="635"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24"/>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10,99</w:t>
            </w:r>
          </w:p>
        </w:tc>
        <w:tc>
          <w:tcPr>
            <w:tcW w:w="61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hanging="50"/>
              <w:jc w:val="center"/>
              <w:rPr>
                <w:rFonts w:ascii="Times New Roman" w:hAnsi="Times New Roman" w:eastAsia="Times New Roman"/>
                <w:color w:val="000000"/>
                <w:sz w:val="18"/>
                <w:szCs w:val="20"/>
                <w:lang w:eastAsia="uk-UA"/>
              </w:rPr>
            </w:pPr>
            <w:r>
              <w:rPr>
                <w:rFonts w:eastAsia="Times New Roman" w:ascii="Times New Roman" w:hAnsi="Times New Roman"/>
                <w:color w:val="000000"/>
                <w:sz w:val="18"/>
                <w:szCs w:val="20"/>
                <w:lang w:eastAsia="uk-UA"/>
              </w:rPr>
              <w:t>11,18</w:t>
            </w:r>
          </w:p>
        </w:tc>
      </w:tr>
    </w:tbl>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За даними таблиці 3.4 видно, що змодельовані значення наближаються до фактичних значень </w:t>
      </w:r>
      <w:r>
        <w:rPr>
          <w:rFonts w:ascii="Times New Roman" w:hAnsi="Times New Roman"/>
          <w:sz w:val="28"/>
          <w:szCs w:val="28"/>
        </w:rPr>
        <w:t xml:space="preserve">показника ефективності використання засобів праці </w:t>
      </w:r>
      <w:r>
        <w:rPr>
          <w:rStyle w:val="Style14"/>
          <w:rFonts w:ascii="Times New Roman" w:hAnsi="Times New Roman"/>
          <w:sz w:val="28"/>
          <w:szCs w:val="28"/>
          <w:lang w:eastAsia="ru-RU"/>
        </w:rPr>
        <w:t>суб’єкта підприємництва</w:t>
      </w:r>
      <w:r>
        <w:rPr>
          <w:rFonts w:ascii="Times New Roman" w:hAnsi="Times New Roman"/>
          <w:sz w:val="28"/>
          <w:szCs w:val="28"/>
        </w:rPr>
        <w:t>.</w:t>
      </w:r>
    </w:p>
    <w:p>
      <w:pPr>
        <w:pStyle w:val="Normal"/>
        <w:spacing w:lineRule="auto" w:line="360"/>
        <w:ind w:firstLine="709"/>
        <w:rPr>
          <w:rFonts w:ascii="Times New Roman" w:hAnsi="Times New Roman"/>
          <w:sz w:val="28"/>
          <w:szCs w:val="28"/>
        </w:rPr>
      </w:pPr>
      <w:r>
        <w:rPr>
          <w:rFonts w:ascii="Times New Roman" w:hAnsi="Times New Roman"/>
          <w:sz w:val="28"/>
          <w:szCs w:val="28"/>
        </w:rPr>
        <w:t>Припустимо, що у найближчих три роки можна збільшити, лише на один відсоток, розмір відібраних факторів. Результати прогнозування подано у таблиці 3.5.</w:t>
      </w:r>
    </w:p>
    <w:p>
      <w:pPr>
        <w:pStyle w:val="Normal"/>
        <w:spacing w:lineRule="auto" w:line="360"/>
        <w:ind w:firstLine="709"/>
        <w:rPr>
          <w:rFonts w:ascii="Times New Roman" w:hAnsi="Times New Roman"/>
          <w:sz w:val="24"/>
          <w:szCs w:val="24"/>
        </w:rPr>
      </w:pPr>
      <w:r>
        <w:rPr>
          <w:rFonts w:ascii="Times New Roman" w:hAnsi="Times New Roman"/>
          <w:sz w:val="24"/>
          <w:szCs w:val="24"/>
        </w:rPr>
      </w:r>
    </w:p>
    <w:p>
      <w:pPr>
        <w:pStyle w:val="Normal"/>
        <w:spacing w:lineRule="auto" w:line="360"/>
        <w:ind w:firstLine="709"/>
        <w:rPr>
          <w:rFonts w:ascii="Times New Roman" w:hAnsi="Times New Roman"/>
          <w:color w:val="000000"/>
          <w:sz w:val="28"/>
          <w:szCs w:val="28"/>
        </w:rPr>
      </w:pPr>
      <w:r>
        <w:rPr>
          <w:rFonts w:ascii="Times New Roman" w:hAnsi="Times New Roman"/>
          <w:color w:val="000000"/>
          <w:sz w:val="28"/>
          <w:szCs w:val="28"/>
        </w:rPr>
        <w:t xml:space="preserve">Таблиця 3.5 – Результати прогнозування </w:t>
      </w:r>
      <w:r>
        <w:rPr>
          <w:rFonts w:ascii="Times New Roman" w:hAnsi="Times New Roman"/>
          <w:sz w:val="28"/>
          <w:szCs w:val="28"/>
        </w:rPr>
        <w:t xml:space="preserve">фондовіддачі </w:t>
      </w:r>
      <w:r>
        <w:rPr>
          <w:rFonts w:ascii="Times New Roman" w:hAnsi="Times New Roman"/>
          <w:color w:val="000000"/>
          <w:sz w:val="28"/>
          <w:szCs w:val="28"/>
        </w:rPr>
        <w:t>за моделлю (3.1)</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6755"/>
        <w:gridCol w:w="470"/>
        <w:gridCol w:w="816"/>
        <w:gridCol w:w="817"/>
        <w:gridCol w:w="780"/>
      </w:tblGrid>
      <w:tr>
        <w:trPr>
          <w:trHeight w:val="20" w:hRule="atLeast"/>
        </w:trPr>
        <w:tc>
          <w:tcPr>
            <w:tcW w:w="722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Показники</w:t>
            </w:r>
          </w:p>
        </w:tc>
        <w:tc>
          <w:tcPr>
            <w:tcW w:w="2413" w:type="dxa"/>
            <w:gridSpan w:val="3"/>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Рік</w:t>
            </w:r>
          </w:p>
        </w:tc>
      </w:tr>
      <w:tr>
        <w:trPr>
          <w:trHeight w:val="20" w:hRule="atLeast"/>
        </w:trPr>
        <w:tc>
          <w:tcPr>
            <w:tcW w:w="722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Прогнозні  дані факторів:</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2021</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2022</w:t>
            </w:r>
          </w:p>
        </w:tc>
        <w:tc>
          <w:tcPr>
            <w:tcW w:w="78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color w:val="000000"/>
                <w:sz w:val="20"/>
              </w:rPr>
            </w:pPr>
            <w:r>
              <w:rPr>
                <w:rFonts w:ascii="Times New Roman" w:hAnsi="Times New Roman"/>
                <w:color w:val="000000"/>
                <w:sz w:val="20"/>
              </w:rPr>
              <w:t>2023</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питомої ваги активної частини ОФ, %</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X</w:t>
            </w:r>
            <w:r>
              <w:rPr>
                <w:rFonts w:eastAsia="Times New Roman" w:ascii="Times New Roman" w:hAnsi="Times New Roman"/>
                <w:color w:val="000000"/>
                <w:sz w:val="20"/>
                <w:vertAlign w:val="subscript"/>
                <w:lang w:eastAsia="uk-UA"/>
              </w:rPr>
              <w:t>1</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77,45</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78,23</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79,01</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коефіцієнта введення ОФ, п</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X</w:t>
            </w:r>
            <w:r>
              <w:rPr>
                <w:rFonts w:eastAsia="Times New Roman" w:ascii="Times New Roman" w:hAnsi="Times New Roman"/>
                <w:color w:val="000000"/>
                <w:sz w:val="20"/>
                <w:vertAlign w:val="subscript"/>
                <w:lang w:eastAsia="uk-UA"/>
              </w:rPr>
              <w:t>2</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0,108</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0,109</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0,110</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фондоозброєності технічної, грн</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X</w:t>
            </w:r>
            <w:r>
              <w:rPr>
                <w:rFonts w:eastAsia="Times New Roman" w:ascii="Times New Roman" w:hAnsi="Times New Roman"/>
                <w:color w:val="000000"/>
                <w:sz w:val="20"/>
                <w:vertAlign w:val="subscript"/>
                <w:lang w:eastAsia="uk-UA"/>
              </w:rPr>
              <w:t>3</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38,50</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38,88</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39,27</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трудомісткості, грн</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X</w:t>
            </w:r>
            <w:r>
              <w:rPr>
                <w:rFonts w:eastAsia="Times New Roman" w:ascii="Times New Roman" w:hAnsi="Times New Roman"/>
                <w:color w:val="000000"/>
                <w:sz w:val="20"/>
                <w:vertAlign w:val="subscript"/>
                <w:lang w:eastAsia="uk-UA"/>
              </w:rPr>
              <w:t>4</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1,86</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1,88</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1,90</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ind w:hanging="99"/>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питомої ваги робітників, %</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X</w:t>
            </w:r>
            <w:r>
              <w:rPr>
                <w:rFonts w:eastAsia="Times New Roman" w:ascii="Times New Roman" w:hAnsi="Times New Roman"/>
                <w:color w:val="000000"/>
                <w:sz w:val="20"/>
                <w:vertAlign w:val="subscript"/>
                <w:lang w:eastAsia="uk-UA"/>
              </w:rPr>
              <w:t>5</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98,04</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99,02</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100,01</w:t>
            </w:r>
          </w:p>
        </w:tc>
      </w:tr>
      <w:tr>
        <w:trPr>
          <w:trHeight w:val="20" w:hRule="atLeast"/>
        </w:trPr>
        <w:tc>
          <w:tcPr>
            <w:tcW w:w="6755" w:type="dxa"/>
            <w:tcBorders>
              <w:top w:val="single" w:sz="4" w:space="0" w:color="000000"/>
              <w:left w:val="single" w:sz="4" w:space="0" w:color="000000"/>
              <w:bottom w:val="single" w:sz="4" w:space="0" w:color="000000"/>
              <w:right w:val="single" w:sz="4" w:space="0" w:color="000000"/>
            </w:tcBorders>
            <w:shd w:fill="auto" w:val="clear"/>
          </w:tcPr>
          <w:p>
            <w:pPr>
              <w:pStyle w:val="Normal"/>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Прогнозні дані фондовіддачі</w:t>
            </w:r>
          </w:p>
        </w:tc>
        <w:tc>
          <w:tcPr>
            <w:tcW w:w="47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lang w:eastAsia="uk-UA"/>
              </w:rPr>
            </w:pPr>
            <w:r>
              <w:rPr>
                <w:rFonts w:eastAsia="Times New Roman" w:ascii="Times New Roman" w:hAnsi="Times New Roman"/>
                <w:color w:val="000000"/>
                <w:sz w:val="20"/>
                <w:lang w:eastAsia="uk-UA"/>
              </w:rPr>
              <w:t>Y</w:t>
            </w:r>
            <w:r>
              <w:rPr>
                <w:rFonts w:eastAsia="Times New Roman" w:ascii="Times New Roman" w:hAnsi="Times New Roman"/>
                <w:color w:val="000000"/>
                <w:sz w:val="20"/>
                <w:vertAlign w:val="subscript"/>
                <w:lang w:eastAsia="uk-UA"/>
              </w:rPr>
              <w:t>p</w:t>
            </w:r>
          </w:p>
        </w:tc>
        <w:tc>
          <w:tcPr>
            <w:tcW w:w="81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11,36</w:t>
            </w:r>
          </w:p>
        </w:tc>
        <w:tc>
          <w:tcPr>
            <w:tcW w:w="81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11,53</w:t>
            </w:r>
          </w:p>
        </w:tc>
        <w:tc>
          <w:tcPr>
            <w:tcW w:w="78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11,71</w:t>
            </w:r>
          </w:p>
        </w:tc>
      </w:tr>
    </w:tbl>
    <w:p>
      <w:pPr>
        <w:pStyle w:val="Normal"/>
        <w:spacing w:lineRule="auto" w:line="360"/>
        <w:ind w:firstLine="709"/>
        <w:rPr>
          <w:rFonts w:ascii="Times New Roman" w:hAnsi="Times New Roman" w:eastAsia="Times New Roman"/>
          <w:sz w:val="10"/>
          <w:szCs w:val="24"/>
          <w:lang w:eastAsia="ru-RU"/>
        </w:rPr>
      </w:pPr>
      <w:r>
        <w:rPr>
          <w:rFonts w:eastAsia="Times New Roman" w:ascii="Times New Roman" w:hAnsi="Times New Roman"/>
          <w:sz w:val="10"/>
          <w:szCs w:val="24"/>
          <w:lang w:eastAsia="ru-RU"/>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Отже, якщо у 2021 р. </w:t>
      </w:r>
      <w:r>
        <w:rPr>
          <w:rFonts w:ascii="Times New Roman" w:hAnsi="Times New Roman"/>
          <w:sz w:val="28"/>
          <w:szCs w:val="28"/>
        </w:rPr>
        <w:t xml:space="preserve">питома вага активної частини основних фондів </w:t>
      </w:r>
      <w:r>
        <w:rPr>
          <w:rFonts w:eastAsia="Times New Roman" w:ascii="Times New Roman" w:hAnsi="Times New Roman"/>
          <w:sz w:val="28"/>
          <w:szCs w:val="28"/>
          <w:lang w:eastAsia="ru-RU"/>
        </w:rPr>
        <w:t xml:space="preserve">буде становити 77,45 %, </w:t>
      </w:r>
      <w:r>
        <w:rPr>
          <w:rFonts w:ascii="Times New Roman" w:hAnsi="Times New Roman"/>
          <w:sz w:val="28"/>
          <w:szCs w:val="28"/>
        </w:rPr>
        <w:t xml:space="preserve">коефіцієнта введення основних фондів </w:t>
      </w:r>
      <w:r>
        <w:rPr>
          <w:rFonts w:eastAsia="Times New Roman" w:ascii="Times New Roman" w:hAnsi="Times New Roman"/>
          <w:sz w:val="28"/>
          <w:szCs w:val="28"/>
          <w:lang w:eastAsia="ru-RU"/>
        </w:rPr>
        <w:t xml:space="preserve">0,108 п., </w:t>
      </w:r>
      <w:r>
        <w:rPr>
          <w:rFonts w:ascii="Times New Roman" w:hAnsi="Times New Roman"/>
          <w:sz w:val="28"/>
          <w:szCs w:val="28"/>
        </w:rPr>
        <w:t xml:space="preserve">технічна фондоозброєність 38,50 грн, трудомісткість 1,86 грн та питома вага робітників у складі працівників 98,04 %, то розмір фондовіддачі становитиме 11,36 грн, що більше на 0,84 % порівняно з фактичним його значенням та на 1,57 % порівняно з змодельованим значенням за моделлю (3.1) у 2020 р.  </w:t>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У майбутньому ситуація також покращиться: у 2022 р. фондовіддача становитиме 11,53 грн та зросте на 2,42 % порівняно з фактичним його значенням та на 3,16 % щодо змодельованих даних за 2020 р.; у 2023 р. рівень фондовіддачі становитиме 11,71 грн, що на 4,01 % більше за фактичне його значенням та на 4,77 % щодо змодельованих даних за 2020 р.</w:t>
      </w:r>
    </w:p>
    <w:p>
      <w:pPr>
        <w:pStyle w:val="Normal"/>
        <w:spacing w:lineRule="auto" w:line="360"/>
        <w:ind w:firstLine="709"/>
        <w:rPr>
          <w:rStyle w:val="Style14"/>
          <w:rFonts w:ascii="Times New Roman" w:hAnsi="Times New Roman"/>
          <w:sz w:val="28"/>
          <w:szCs w:val="28"/>
          <w:lang w:eastAsia="ru-RU"/>
        </w:rPr>
      </w:pPr>
      <w:r>
        <w:rPr>
          <w:rFonts w:eastAsia="Times New Roman" w:ascii="Times New Roman" w:hAnsi="Times New Roman"/>
          <w:sz w:val="28"/>
          <w:szCs w:val="28"/>
          <w:lang w:eastAsia="ru-RU"/>
        </w:rPr>
        <w:t>Графічне зображення зміни рівня</w:t>
      </w:r>
      <w:r>
        <w:rPr>
          <w:rFonts w:ascii="Times New Roman" w:hAnsi="Times New Roman"/>
          <w:sz w:val="28"/>
          <w:szCs w:val="28"/>
        </w:rPr>
        <w:t xml:space="preserve"> фондовіддачі </w:t>
      </w:r>
      <w:r>
        <w:rPr>
          <w:rStyle w:val="Style14"/>
          <w:rFonts w:ascii="Times New Roman" w:hAnsi="Times New Roman"/>
          <w:sz w:val="28"/>
          <w:szCs w:val="28"/>
          <w:lang w:eastAsia="ru-RU"/>
        </w:rPr>
        <w:t>суб’єкта підприємництва подано на рисунку 3.2, та доводить наближеність змодельованих даних до фактичних.</w:t>
      </w:r>
    </w:p>
    <w:p>
      <w:pPr>
        <w:pStyle w:val="Normal"/>
        <w:spacing w:lineRule="auto" w:line="360"/>
        <w:jc w:val="center"/>
        <w:rPr>
          <w:rStyle w:val="Style14"/>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Style w:val="Style14"/>
          <w:rFonts w:ascii="Times New Roman" w:hAnsi="Times New Roman"/>
          <w:sz w:val="28"/>
          <w:szCs w:val="28"/>
          <w:lang w:eastAsia="ru-RU"/>
        </w:rPr>
      </w:pPr>
      <w:r>
        <w:rPr/>
        <w:drawing>
          <wp:inline distT="0" distB="0" distL="0" distR="0">
            <wp:extent cx="6120130" cy="2204085"/>
            <wp:effectExtent l="0" t="0" r="0" b="0"/>
            <wp:docPr id="24" name="Рисунок 6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62" descr=""/>
                    <pic:cNvPicPr>
                      <a:picLocks noChangeAspect="1" noChangeArrowheads="1"/>
                    </pic:cNvPicPr>
                  </pic:nvPicPr>
                  <pic:blipFill>
                    <a:blip r:embed="rId70"/>
                    <a:stretch>
                      <a:fillRect/>
                    </a:stretch>
                  </pic:blipFill>
                  <pic:spPr bwMode="auto">
                    <a:xfrm>
                      <a:off x="0" y="0"/>
                      <a:ext cx="6120130" cy="2204085"/>
                    </a:xfrm>
                    <a:prstGeom prst="rect">
                      <a:avLst/>
                    </a:prstGeom>
                  </pic:spPr>
                </pic:pic>
              </a:graphicData>
            </a:graphic>
          </wp:inline>
        </w:drawing>
      </w:r>
    </w:p>
    <w:p>
      <w:pPr>
        <w:pStyle w:val="Normal"/>
        <w:spacing w:lineRule="auto" w:line="360"/>
        <w:jc w:val="center"/>
        <w:rPr>
          <w:rStyle w:val="Style14"/>
          <w:rFonts w:ascii="Times New Roman" w:hAnsi="Times New Roman"/>
          <w:sz w:val="28"/>
          <w:szCs w:val="28"/>
          <w:lang w:eastAsia="ru-RU"/>
        </w:rPr>
      </w:pPr>
      <w:r>
        <w:rPr>
          <w:rFonts w:ascii="Times New Roman" w:hAnsi="Times New Roman"/>
          <w:sz w:val="28"/>
          <w:szCs w:val="28"/>
          <w:lang w:eastAsia="ru-RU"/>
        </w:rPr>
      </w:r>
    </w:p>
    <w:p>
      <w:p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3.2 – Динаміка фактичних, змодельованих та зпрогнозованих даних фондовіддачі </w:t>
      </w:r>
      <w:r>
        <w:rPr>
          <w:rFonts w:eastAsia="Times New Roman" w:ascii="Times New Roman" w:hAnsi="Times New Roman"/>
          <w:sz w:val="28"/>
          <w:szCs w:val="28"/>
          <w:lang w:eastAsia="ru-RU"/>
        </w:rPr>
        <w:t xml:space="preserve">ТОВ «НЕЙЛ» </w:t>
      </w:r>
      <w:r>
        <w:rPr>
          <w:rFonts w:ascii="Times New Roman" w:hAnsi="Times New Roman"/>
          <w:sz w:val="28"/>
          <w:szCs w:val="28"/>
        </w:rPr>
        <w:t>з 2010 р. по 2023 р. за моделлю (3.1)</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Результати прогнозування за моделлю (3.1) вказують на подальше зростання </w:t>
      </w:r>
      <w:r>
        <w:rPr>
          <w:rFonts w:ascii="Times New Roman" w:hAnsi="Times New Roman"/>
          <w:sz w:val="28"/>
          <w:szCs w:val="28"/>
        </w:rPr>
        <w:t>фондовіддачі, що засвідчує покращення ефективності використання засобів праці у перспективі.</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Оскільки найвищий вплив на зміну </w:t>
      </w:r>
      <w:r>
        <w:rPr>
          <w:rFonts w:ascii="Times New Roman" w:hAnsi="Times New Roman"/>
          <w:sz w:val="28"/>
          <w:szCs w:val="28"/>
        </w:rPr>
        <w:t>фондовіддачі здійснюють</w:t>
      </w:r>
      <w:r>
        <w:rPr>
          <w:rFonts w:eastAsia="Times New Roman" w:ascii="Times New Roman" w:hAnsi="Times New Roman"/>
          <w:sz w:val="28"/>
          <w:szCs w:val="28"/>
          <w:lang w:eastAsia="ru-RU"/>
        </w:rPr>
        <w:t xml:space="preserve"> три останніх фактори, тому побудуємо моделі, які включають такі фактори: </w:t>
      </w:r>
      <w:r>
        <w:rPr>
          <w:rFonts w:ascii="Times New Roman" w:hAnsi="Times New Roman"/>
          <w:sz w:val="28"/>
          <w:szCs w:val="28"/>
        </w:rPr>
        <w:t>технічна фондоозброєність (Х</w:t>
      </w:r>
      <w:r>
        <w:rPr>
          <w:rFonts w:ascii="Times New Roman" w:hAnsi="Times New Roman"/>
          <w:sz w:val="28"/>
          <w:szCs w:val="28"/>
          <w:vertAlign w:val="subscript"/>
        </w:rPr>
        <w:t>3</w:t>
      </w:r>
      <w:r>
        <w:rPr>
          <w:rFonts w:ascii="Times New Roman" w:hAnsi="Times New Roman"/>
          <w:sz w:val="28"/>
          <w:szCs w:val="28"/>
        </w:rPr>
        <w:t>), трудомісткість (Х</w:t>
      </w:r>
      <w:r>
        <w:rPr>
          <w:rFonts w:ascii="Times New Roman" w:hAnsi="Times New Roman"/>
          <w:sz w:val="28"/>
          <w:szCs w:val="28"/>
          <w:vertAlign w:val="subscript"/>
        </w:rPr>
        <w:t>4</w:t>
      </w:r>
      <w:r>
        <w:rPr>
          <w:rFonts w:ascii="Times New Roman" w:hAnsi="Times New Roman"/>
          <w:sz w:val="28"/>
          <w:szCs w:val="28"/>
        </w:rPr>
        <w:t>) та питому вагу робітників у складі працівників</w:t>
      </w:r>
      <w:r>
        <w:rPr>
          <w:rFonts w:eastAsia="Times New Roman" w:ascii="Times New Roman" w:hAnsi="Times New Roman"/>
          <w:sz w:val="28"/>
          <w:szCs w:val="28"/>
          <w:lang w:eastAsia="ru-RU"/>
        </w:rPr>
        <w:t xml:space="preserve"> (Х</w:t>
      </w:r>
      <w:r>
        <w:rPr>
          <w:rFonts w:eastAsia="Times New Roman" w:ascii="Times New Roman" w:hAnsi="Times New Roman"/>
          <w:sz w:val="28"/>
          <w:szCs w:val="28"/>
          <w:vertAlign w:val="subscript"/>
          <w:lang w:eastAsia="ru-RU"/>
        </w:rPr>
        <w:t>5</w:t>
      </w:r>
      <w:r>
        <w:rPr>
          <w:rFonts w:eastAsia="Times New Roman" w:ascii="Times New Roman" w:hAnsi="Times New Roman"/>
          <w:sz w:val="28"/>
          <w:szCs w:val="28"/>
          <w:lang w:eastAsia="ru-RU"/>
        </w:rPr>
        <w:t>)</w:t>
      </w:r>
      <w:r>
        <w:rPr>
          <w:rFonts w:ascii="Times New Roman" w:hAnsi="Times New Roman"/>
          <w:sz w:val="28"/>
          <w:szCs w:val="28"/>
        </w:rPr>
        <w:t xml:space="preserve">. </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Застосувавши функцію «LINEST» визначено параметри та основні характеристики </w:t>
      </w:r>
      <w:r>
        <w:rPr>
          <w:rFonts w:ascii="Times New Roman" w:hAnsi="Times New Roman"/>
          <w:sz w:val="28"/>
          <w:szCs w:val="28"/>
        </w:rPr>
        <w:t xml:space="preserve">наступної трьофакторної залежності: </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Y</m:t>
            </m:r>
          </m:e>
          <m:sub>
            <m:r>
              <w:rPr>
                <w:rFonts w:ascii="Cambria Math" w:hAnsi="Cambria Math"/>
              </w:rPr>
              <m:t xml:space="preserve">р</m:t>
            </m:r>
            <m:r>
              <w:rPr>
                <w:rFonts w:ascii="Cambria Math" w:hAnsi="Cambria Math"/>
              </w:rPr>
              <m:t xml:space="preserve">1</m:t>
            </m:r>
          </m:sub>
        </m:sSub>
        <m:r>
          <w:rPr>
            <w:rFonts w:ascii="Cambria Math" w:hAnsi="Cambria Math"/>
          </w:rPr>
          <m:t xml:space="preserve">=</m:t>
        </m:r>
        <m:r>
          <w:rPr>
            <w:rFonts w:ascii="Cambria Math" w:hAnsi="Cambria Math"/>
          </w:rPr>
          <m:t xml:space="preserve">10,89</m:t>
        </m:r>
        <m:r>
          <w:rPr>
            <w:rFonts w:ascii="Cambria Math" w:hAnsi="Cambria Math"/>
          </w:rPr>
          <m:t xml:space="preserve">+</m:t>
        </m:r>
        <m:r>
          <w:rPr>
            <w:rFonts w:ascii="Cambria Math" w:hAnsi="Cambria Math"/>
          </w:rPr>
          <m:t xml:space="preserve">0,00002</m:t>
        </m:r>
        <m:sSub>
          <m:e>
            <m:r>
              <w:rPr>
                <w:rFonts w:ascii="Cambria Math" w:hAnsi="Cambria Math"/>
              </w:rPr>
              <m:t xml:space="preserve">х</m:t>
            </m:r>
          </m:e>
          <m:sub>
            <m:r>
              <w:rPr>
                <w:rFonts w:ascii="Cambria Math" w:hAnsi="Cambria Math"/>
              </w:rPr>
              <m:t xml:space="preserve">3</m:t>
            </m:r>
          </m:sub>
        </m:sSub>
        <m:r>
          <w:rPr>
            <w:rFonts w:ascii="Cambria Math" w:hAnsi="Cambria Math"/>
          </w:rPr>
          <m:t xml:space="preserve">−</m:t>
        </m:r>
        <m:r>
          <w:rPr>
            <w:rFonts w:ascii="Cambria Math" w:hAnsi="Cambria Math"/>
          </w:rPr>
          <m:t xml:space="preserve">0,97</m:t>
        </m:r>
        <m:sSub>
          <m:e>
            <m:r>
              <w:rPr>
                <w:rFonts w:ascii="Cambria Math" w:hAnsi="Cambria Math"/>
              </w:rPr>
              <m:t xml:space="preserve">х</m:t>
            </m:r>
          </m:e>
          <m:sub>
            <m:r>
              <w:rPr>
                <w:rFonts w:ascii="Cambria Math" w:hAnsi="Cambria Math"/>
              </w:rPr>
              <m:t xml:space="preserve">4</m:t>
            </m:r>
          </m:sub>
        </m:sSub>
        <m:r>
          <w:rPr>
            <w:rFonts w:ascii="Cambria Math" w:hAnsi="Cambria Math"/>
          </w:rPr>
          <m:t xml:space="preserve">+</m:t>
        </m:r>
        <m:r>
          <w:rPr>
            <w:rFonts w:ascii="Cambria Math" w:hAnsi="Cambria Math"/>
          </w:rPr>
          <m:t xml:space="preserve">0,01</m:t>
        </m:r>
        <m:sSub>
          <m:e>
            <m:r>
              <w:rPr>
                <w:rFonts w:ascii="Cambria Math" w:hAnsi="Cambria Math"/>
              </w:rPr>
              <m:t xml:space="preserve">х</m:t>
            </m:r>
          </m:e>
          <m:sub>
            <m:r>
              <w:rPr>
                <w:rFonts w:ascii="Cambria Math" w:hAnsi="Cambria Math"/>
              </w:rPr>
              <m:t xml:space="preserve">5</m:t>
            </m:r>
          </m:sub>
        </m:sSub>
      </m:oMath>
      <w:r>
        <w:rPr>
          <w:rFonts w:eastAsia="Times New Roman" w:ascii="Times New Roman" w:hAnsi="Times New Roman"/>
          <w:sz w:val="28"/>
          <w:szCs w:val="28"/>
          <w:lang w:eastAsia="ru-RU"/>
        </w:rPr>
        <w:t>.</w:t>
        <w:tab/>
        <w:tab/>
        <w:tab/>
        <w:tab/>
        <w:t>(3.2)</w:t>
      </w:r>
    </w:p>
    <w:p>
      <w:pPr>
        <w:pStyle w:val="Normal"/>
        <w:spacing w:lineRule="auto" w:line="36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sz w:val="28"/>
          <w:szCs w:val="28"/>
        </w:rPr>
      </w:pPr>
      <w:r>
        <w:rPr>
          <w:rFonts w:ascii="Times New Roman" w:hAnsi="Times New Roman"/>
          <w:sz w:val="28"/>
          <w:szCs w:val="28"/>
        </w:rPr>
        <w:t>За моделлю (3.2) найбільше впливає на зміну фондовіддачі зміна трудомісткості. Значення параметра при цій зміні (-0,97) вказує на обернений зв'язок між показниками і засвідчує, що за скорочення рівня трудомісткості на одну гривню ефективність використання засобів праці покращується, адже рівень фондовіддачі зростає на 0,97 грн.</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Достовірність параметрів трьохфакторної моделі (3.2) оцінено за критерієм Стьюдента. Розрахункове значення цього критерію при змінній Х</w:t>
      </w:r>
      <w:r>
        <w:rPr>
          <w:rFonts w:eastAsia="Times New Roman" w:ascii="Times New Roman" w:hAnsi="Times New Roman"/>
          <w:sz w:val="28"/>
          <w:szCs w:val="28"/>
          <w:vertAlign w:val="subscript"/>
          <w:lang w:eastAsia="ru-RU"/>
        </w:rPr>
        <w:t>4</w:t>
      </w:r>
      <w:r>
        <w:rPr>
          <w:rFonts w:eastAsia="Times New Roman" w:ascii="Times New Roman" w:hAnsi="Times New Roman"/>
          <w:sz w:val="28"/>
          <w:szCs w:val="28"/>
          <w:lang w:eastAsia="ru-RU"/>
        </w:rPr>
        <w:t xml:space="preserve"> перевищує його табличне значення (2,36), тому цей параметр побудованої моделі (3.2) достовірний за критерієм Стьюдента (таблиця 3.6). </w:t>
      </w:r>
    </w:p>
    <w:p>
      <w:pPr>
        <w:pStyle w:val="Normal"/>
        <w:spacing w:lineRule="auto" w:line="360"/>
        <w:ind w:firstLine="709"/>
        <w:rPr>
          <w:rFonts w:ascii="Times New Roman" w:hAnsi="Times New Roman" w:eastAsia="Times New Roman"/>
          <w:sz w:val="24"/>
          <w:szCs w:val="24"/>
          <w:lang w:eastAsia="ru-RU"/>
        </w:rPr>
      </w:pPr>
      <w:r>
        <w:rPr>
          <w:rFonts w:eastAsia="Times New Roman" w:ascii="Times New Roman" w:hAnsi="Times New Roman"/>
          <w:sz w:val="24"/>
          <w:szCs w:val="24"/>
          <w:lang w:eastAsia="ru-RU"/>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color w:val="000000"/>
          <w:sz w:val="28"/>
          <w:szCs w:val="28"/>
        </w:rPr>
        <w:t>Таблиця 3.6 – Оцінка достовірності параметрів за критерієм Стьюдента</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1459"/>
        <w:gridCol w:w="1459"/>
        <w:gridCol w:w="1207"/>
        <w:gridCol w:w="1210"/>
        <w:gridCol w:w="2"/>
        <w:gridCol w:w="4301"/>
      </w:tblGrid>
      <w:tr>
        <w:trPr>
          <w:trHeight w:val="20" w:hRule="atLeast"/>
        </w:trPr>
        <w:tc>
          <w:tcPr>
            <w:tcW w:w="5337" w:type="dxa"/>
            <w:gridSpan w:val="5"/>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Розрахункові значення критерія Стьюдента</w:t>
            </w:r>
          </w:p>
        </w:tc>
        <w:tc>
          <w:tcPr>
            <w:tcW w:w="430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Табличне значення критерія Стьюдента</w:t>
            </w:r>
          </w:p>
        </w:tc>
      </w:tr>
      <w:tr>
        <w:trPr>
          <w:trHeight w:val="20" w:hRule="atLeast"/>
        </w:trPr>
        <w:tc>
          <w:tcPr>
            <w:tcW w:w="1459"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a3</w:t>
            </w:r>
          </w:p>
        </w:tc>
        <w:tc>
          <w:tcPr>
            <w:tcW w:w="145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a2</w:t>
            </w:r>
          </w:p>
        </w:tc>
        <w:tc>
          <w:tcPr>
            <w:tcW w:w="120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a1</w:t>
            </w:r>
          </w:p>
        </w:tc>
        <w:tc>
          <w:tcPr>
            <w:tcW w:w="121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a0</w:t>
            </w:r>
          </w:p>
        </w:tc>
        <w:tc>
          <w:tcPr>
            <w:tcW w:w="4303"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табл</w:t>
            </w:r>
          </w:p>
        </w:tc>
      </w:tr>
      <w:tr>
        <w:trPr>
          <w:trHeight w:val="20" w:hRule="atLeast"/>
        </w:trPr>
        <w:tc>
          <w:tcPr>
            <w:tcW w:w="1459"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color w:val="000000"/>
                <w:sz w:val="24"/>
                <w:szCs w:val="24"/>
              </w:rPr>
            </w:pPr>
            <w:r>
              <w:rPr>
                <w:rFonts w:ascii="Times New Roman" w:hAnsi="Times New Roman"/>
                <w:color w:val="000000"/>
                <w:sz w:val="24"/>
                <w:szCs w:val="24"/>
              </w:rPr>
              <w:t>0,15</w:t>
            </w:r>
          </w:p>
        </w:tc>
        <w:tc>
          <w:tcPr>
            <w:tcW w:w="1459"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rPr>
              <w:t>3,04</w:t>
            </w:r>
          </w:p>
        </w:tc>
        <w:tc>
          <w:tcPr>
            <w:tcW w:w="120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0,0003</w:t>
            </w:r>
          </w:p>
        </w:tc>
        <w:tc>
          <w:tcPr>
            <w:tcW w:w="121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1,20</w:t>
            </w:r>
          </w:p>
        </w:tc>
        <w:tc>
          <w:tcPr>
            <w:tcW w:w="4303"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2,36</w:t>
            </w:r>
          </w:p>
        </w:tc>
      </w:tr>
    </w:tbl>
    <w:p>
      <w:pPr>
        <w:pStyle w:val="Normal"/>
        <w:spacing w:lineRule="auto" w:line="360"/>
        <w:ind w:firstLine="709"/>
        <w:rPr>
          <w:rFonts w:ascii="Times New Roman" w:hAnsi="Times New Roman" w:eastAsia="Times New Roman"/>
          <w:sz w:val="24"/>
          <w:szCs w:val="24"/>
          <w:lang w:eastAsia="ru-RU"/>
        </w:rPr>
      </w:pPr>
      <w:r>
        <w:rPr>
          <w:rFonts w:eastAsia="Times New Roman" w:ascii="Times New Roman" w:hAnsi="Times New Roman"/>
          <w:sz w:val="24"/>
          <w:szCs w:val="24"/>
          <w:lang w:eastAsia="ru-RU"/>
        </w:rPr>
      </w:r>
    </w:p>
    <w:p>
      <w:pPr>
        <w:sectPr>
          <w:headerReference w:type="default" r:id="rId71"/>
          <w:footerReference w:type="default" r:id="rId72"/>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60"/>
        <w:ind w:firstLine="709"/>
        <w:rPr>
          <w:rFonts w:ascii="Times New Roman" w:hAnsi="Times New Roman"/>
          <w:sz w:val="28"/>
          <w:szCs w:val="28"/>
        </w:rPr>
      </w:pPr>
      <w:r>
        <w:rPr>
          <w:rFonts w:ascii="Times New Roman" w:hAnsi="Times New Roman"/>
          <w:sz w:val="28"/>
          <w:szCs w:val="28"/>
        </w:rPr>
        <w:t>Модель (3.2) має високе значення коефіцієнта детермінації (0,8643). Воно показує, що на 86,43 % відібраних три фактори впливають на фондовіддачу. Одночасно, його значення більше за 0,75, що доводить адекватність побудованої моделі (3.2). Ця модель є адекватною і за критерієм Фішера, адже його розрахункове значення (14,87) є більшим за табличне значення (4,35). Тому за моделлю (3.2) також варто здійснити прогнозування фондовіддачі. Результати моделювання та прогнозування подано у таблиці 3.7.</w:t>
      </w:r>
    </w:p>
    <w:p>
      <w:pPr>
        <w:pStyle w:val="Normal"/>
        <w:spacing w:lineRule="auto" w:line="360"/>
        <w:ind w:firstLine="709"/>
        <w:rPr>
          <w:rFonts w:ascii="Times New Roman" w:hAnsi="Times New Roman"/>
          <w:color w:val="000000"/>
          <w:sz w:val="28"/>
          <w:szCs w:val="28"/>
        </w:rPr>
      </w:pPr>
      <w:r>
        <w:rPr>
          <w:rFonts w:ascii="Times New Roman" w:hAnsi="Times New Roman"/>
          <w:color w:val="000000"/>
          <w:sz w:val="28"/>
          <w:szCs w:val="28"/>
        </w:rPr>
      </w:r>
      <w:r>
        <mc:AlternateContent>
          <mc:Choice Requires="wps">
            <w:drawing>
              <wp:anchor behindDoc="0" distT="0" distB="0" distL="0" distR="0" simplePos="0" locked="0" layoutInCell="1" allowOverlap="1" relativeHeight="26">
                <wp:simplePos x="0" y="0"/>
                <wp:positionH relativeFrom="column">
                  <wp:posOffset>3865245</wp:posOffset>
                </wp:positionH>
                <wp:positionV relativeFrom="paragraph">
                  <wp:align>top</wp:align>
                </wp:positionV>
                <wp:extent cx="2922270" cy="301625"/>
                <wp:effectExtent l="0" t="0" r="0" b="0"/>
                <wp:wrapNone/>
                <wp:docPr id="25" name="Врезка1"/>
                <a:graphic xmlns:a="http://schemas.openxmlformats.org/drawingml/2006/main">
                  <a:graphicData uri="http://schemas.microsoft.com/office/word/2010/wordprocessingShape">
                    <wps:wsp>
                      <wps:cNvSpPr txBox="1"/>
                      <wps:spPr>
                        <a:xfrm>
                          <a:off x="0" y="0"/>
                          <a:ext cx="2922270" cy="301625"/>
                        </a:xfrm>
                        <a:prstGeom prst="rect"/>
                      </wps:spPr>
                      <wps:txbx>
                        <w:txbxContent>
                          <w:p>
                            <w:pPr>
                              <w:pStyle w:val="Style38"/>
                              <w:rPr/>
                            </w:pPr>
                            <w:r>
                              <w:rPr/>
                            </w:r>
                          </w:p>
                        </w:txbxContent>
                      </wps:txbx>
                      <wps:bodyPr anchor="t" lIns="0" tIns="0" rIns="0" bIns="0">
                        <a:noAutofit/>
                      </wps:bodyPr>
                    </wps:wsp>
                  </a:graphicData>
                </a:graphic>
              </wp:anchor>
            </w:drawing>
          </mc:Choice>
          <mc:Fallback>
            <w:pict>
              <v:rect style="position:absolute;rotation:0;width:230.1pt;height:23.75pt;mso-wrap-distance-left:5.7pt;mso-wrap-distance-right:5.7pt;mso-wrap-distance-top:5.7pt;mso-wrap-distance-bottom:5.7pt;margin-top:5.7pt;mso-position-vertical:top;mso-position-vertical-relative:text;margin-left:304.35pt;mso-position-horizontal-relative:text">
                <v:textbox inset="0in,0in,0in,0in">
                  <w:txbxContent>
                    <w:p>
                      <w:pPr>
                        <w:pStyle w:val="Style38"/>
                        <w:rPr/>
                      </w:pPr>
                      <w:r>
                        <w:rPr/>
                      </w:r>
                    </w:p>
                  </w:txbxContent>
                </v:textbox>
              </v:rect>
            </w:pict>
          </mc:Fallback>
        </mc:AlternateContent>
      </w:r>
      <w:r>
        <mc:AlternateContent>
          <mc:Choice Requires="wps">
            <w:drawing>
              <wp:anchor behindDoc="0" distT="0" distB="0" distL="0" distR="0" simplePos="0" locked="0" layoutInCell="1" allowOverlap="1" relativeHeight="27">
                <wp:simplePos x="0" y="0"/>
                <wp:positionH relativeFrom="column">
                  <wp:posOffset>733425</wp:posOffset>
                </wp:positionH>
                <wp:positionV relativeFrom="paragraph">
                  <wp:align>top</wp:align>
                </wp:positionV>
                <wp:extent cx="191135" cy="167005"/>
                <wp:effectExtent l="0" t="0" r="0" b="0"/>
                <wp:wrapNone/>
                <wp:docPr id="26" name="Врезка2"/>
                <a:graphic xmlns:a="http://schemas.openxmlformats.org/drawingml/2006/main">
                  <a:graphicData uri="http://schemas.microsoft.com/office/word/2010/wordprocessingShape">
                    <wps:wsp>
                      <wps:cNvSpPr txBox="1"/>
                      <wps:spPr>
                        <a:xfrm>
                          <a:off x="0" y="0"/>
                          <a:ext cx="191135" cy="167005"/>
                        </a:xfrm>
                        <a:prstGeom prst="rect"/>
                      </wps:spPr>
                      <wps:txbx>
                        <w:txbxContent>
                          <w:p>
                            <w:pPr>
                              <w:pStyle w:val="Style38"/>
                              <w:rPr/>
                            </w:pPr>
                            <w:r>
                              <w:rPr/>
                            </w:r>
                          </w:p>
                        </w:txbxContent>
                      </wps:txbx>
                      <wps:bodyPr anchor="t" lIns="0" tIns="0" rIns="0" bIns="0">
                        <a:noAutofit/>
                      </wps:bodyPr>
                    </wps:wsp>
                  </a:graphicData>
                </a:graphic>
              </wp:anchor>
            </w:drawing>
          </mc:Choice>
          <mc:Fallback>
            <w:pict>
              <v:rect style="position:absolute;rotation:0;width:15.05pt;height:13.15pt;mso-wrap-distance-left:5.7pt;mso-wrap-distance-right:5.7pt;mso-wrap-distance-top:5.7pt;mso-wrap-distance-bottom:5.7pt;margin-top:5.7pt;mso-position-vertical:top;mso-position-vertical-relative:text;margin-left:57.75pt;mso-position-horizontal-relative:text">
                <v:textbox inset="0in,0in,0in,0in">
                  <w:txbxContent>
                    <w:p>
                      <w:pPr>
                        <w:pStyle w:val="Style38"/>
                        <w:rPr/>
                      </w:pPr>
                      <w:r>
                        <w:rPr/>
                      </w:r>
                    </w:p>
                  </w:txbxContent>
                </v:textbox>
              </v:rect>
            </w:pict>
          </mc:Fallback>
        </mc:AlternateContent>
      </w:r>
    </w:p>
    <w:p>
      <w:pPr>
        <w:pStyle w:val="Normal"/>
        <w:spacing w:lineRule="auto" w:line="360"/>
        <w:ind w:firstLine="709"/>
        <w:rPr>
          <w:rFonts w:ascii="Times New Roman" w:hAnsi="Times New Roman"/>
          <w:color w:val="000000"/>
          <w:sz w:val="28"/>
          <w:szCs w:val="28"/>
        </w:rPr>
      </w:pPr>
      <w:r>
        <w:rPr>
          <w:rFonts w:ascii="Times New Roman" w:hAnsi="Times New Roman"/>
          <w:color w:val="000000"/>
          <w:sz w:val="28"/>
          <w:szCs w:val="28"/>
        </w:rPr>
        <w:t xml:space="preserve">Таблиця 3.7 – Динаміка </w:t>
      </w:r>
      <w:r>
        <w:rPr>
          <w:rFonts w:ascii="Times New Roman" w:hAnsi="Times New Roman"/>
          <w:sz w:val="28"/>
          <w:szCs w:val="28"/>
        </w:rPr>
        <w:t xml:space="preserve">фондовіддачі </w:t>
      </w:r>
      <w:r>
        <w:rPr>
          <w:rFonts w:ascii="Times New Roman" w:hAnsi="Times New Roman"/>
          <w:color w:val="000000"/>
          <w:sz w:val="28"/>
          <w:szCs w:val="28"/>
        </w:rPr>
        <w:t>та основних факторів, що здійснюють на неї вплив</w:t>
      </w:r>
    </w:p>
    <w:tbl>
      <w:tblPr>
        <w:tblW w:w="14562" w:type="dxa"/>
        <w:jc w:val="left"/>
        <w:tblInd w:w="0" w:type="dxa"/>
        <w:tblCellMar>
          <w:top w:w="0" w:type="dxa"/>
          <w:left w:w="108" w:type="dxa"/>
          <w:bottom w:w="0" w:type="dxa"/>
          <w:right w:w="108" w:type="dxa"/>
        </w:tblCellMar>
        <w:tblLook w:firstRow="1" w:noVBand="1" w:lastRow="0" w:firstColumn="1" w:lastColumn="0" w:noHBand="0" w:val="04a0"/>
      </w:tblPr>
      <w:tblGrid>
        <w:gridCol w:w="1226"/>
        <w:gridCol w:w="3417"/>
        <w:gridCol w:w="491"/>
        <w:gridCol w:w="666"/>
        <w:gridCol w:w="665"/>
        <w:gridCol w:w="666"/>
        <w:gridCol w:w="665"/>
        <w:gridCol w:w="665"/>
        <w:gridCol w:w="666"/>
        <w:gridCol w:w="665"/>
        <w:gridCol w:w="666"/>
        <w:gridCol w:w="665"/>
        <w:gridCol w:w="666"/>
        <w:gridCol w:w="665"/>
        <w:gridCol w:w="666"/>
        <w:gridCol w:w="665"/>
        <w:gridCol w:w="777"/>
      </w:tblGrid>
      <w:tr>
        <w:trPr>
          <w:trHeight w:val="20" w:hRule="atLeast"/>
        </w:trPr>
        <w:tc>
          <w:tcPr>
            <w:tcW w:w="5134" w:type="dxa"/>
            <w:gridSpan w:val="3"/>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9428" w:type="dxa"/>
            <w:gridSpan w:val="14"/>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за роками</w:t>
            </w:r>
          </w:p>
        </w:tc>
      </w:tr>
      <w:tr>
        <w:trPr>
          <w:trHeight w:val="20" w:hRule="atLeast"/>
        </w:trPr>
        <w:tc>
          <w:tcPr>
            <w:tcW w:w="5134" w:type="dxa"/>
            <w:gridSpan w:val="3"/>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2022</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2023</w:t>
            </w:r>
          </w:p>
        </w:tc>
      </w:tr>
      <w:tr>
        <w:trPr>
          <w:trHeight w:val="20" w:hRule="atLeast"/>
        </w:trPr>
        <w:tc>
          <w:tcPr>
            <w:tcW w:w="1226"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Фактичні дані:</w:t>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 грн</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5,67</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11,59</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11,26</w:t>
            </w:r>
          </w:p>
        </w:tc>
        <w:tc>
          <w:tcPr>
            <w:tcW w:w="2108" w:type="dxa"/>
            <w:gridSpan w:val="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 w:val="20"/>
                <w:szCs w:val="20"/>
                <w:lang w:eastAsia="uk-UA"/>
              </w:rPr>
            </w:pPr>
            <w:r>
              <w:rPr>
                <w:rFonts w:eastAsia="Times New Roman" w:ascii="Times New Roman" w:hAnsi="Times New Roman"/>
                <w:sz w:val="20"/>
                <w:szCs w:val="20"/>
                <w:lang w:eastAsia="uk-UA"/>
              </w:rPr>
              <w:t>прогноз</w:t>
            </w:r>
          </w:p>
        </w:tc>
      </w:tr>
      <w:tr>
        <w:trPr>
          <w:trHeight w:val="20" w:hRule="atLeast"/>
        </w:trPr>
        <w:tc>
          <w:tcPr>
            <w:tcW w:w="122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активної частини ОФ, %</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73,97</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75,97</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72,17</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71,31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63,63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74,84</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76,68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77,45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78,23</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79,01</w:t>
            </w:r>
          </w:p>
        </w:tc>
      </w:tr>
      <w:tr>
        <w:trPr>
          <w:trHeight w:val="20" w:hRule="atLeast"/>
        </w:trPr>
        <w:tc>
          <w:tcPr>
            <w:tcW w:w="122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введення, п</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0,108</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0,109</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0,110</w:t>
            </w:r>
          </w:p>
        </w:tc>
      </w:tr>
      <w:tr>
        <w:trPr>
          <w:trHeight w:val="20" w:hRule="atLeast"/>
        </w:trPr>
        <w:tc>
          <w:tcPr>
            <w:tcW w:w="122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технічна, грн</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24,10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28,10</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21,06</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33,58</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38,12</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38,50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38,88</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39,27</w:t>
            </w:r>
          </w:p>
        </w:tc>
      </w:tr>
      <w:tr>
        <w:trPr>
          <w:trHeight w:val="20" w:hRule="atLeast"/>
        </w:trPr>
        <w:tc>
          <w:tcPr>
            <w:tcW w:w="122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Трудомісткість, грн</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6,06</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5,66</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2,58</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1,86</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1,88</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1,90</w:t>
            </w:r>
          </w:p>
        </w:tc>
      </w:tr>
      <w:tr>
        <w:trPr>
          <w:trHeight w:val="20" w:hRule="atLeast"/>
        </w:trPr>
        <w:tc>
          <w:tcPr>
            <w:tcW w:w="1226"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3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робітників, %</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5</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76,53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83,21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81,27</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93,56</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91,25</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94,24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92,21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91,41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97,08</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97,07</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98,04</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99,02</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100,01</w:t>
            </w:r>
          </w:p>
        </w:tc>
      </w:tr>
      <w:tr>
        <w:trPr>
          <w:trHeight w:val="20" w:hRule="atLeast"/>
        </w:trPr>
        <w:tc>
          <w:tcPr>
            <w:tcW w:w="4643" w:type="dxa"/>
            <w:gridSpan w:val="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Змодельовані та прогнозні дані фондовіддачі:</w:t>
            </w:r>
          </w:p>
        </w:tc>
        <w:tc>
          <w:tcPr>
            <w:tcW w:w="49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r>
              <w:rPr>
                <w:rFonts w:eastAsia="Times New Roman" w:ascii="Times New Roman" w:hAnsi="Times New Roman"/>
                <w:color w:val="000000"/>
                <w:sz w:val="20"/>
                <w:szCs w:val="20"/>
                <w:vertAlign w:val="subscript"/>
                <w:lang w:eastAsia="uk-UA"/>
              </w:rPr>
              <w:t>p1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6,34</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6,63</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3,24</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6,53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8,40</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9,41</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10,13</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10,31</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10,29</w:t>
            </w:r>
          </w:p>
        </w:tc>
        <w:tc>
          <w:tcPr>
            <w:tcW w:w="6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10,28</w:t>
            </w:r>
          </w:p>
        </w:tc>
        <w:tc>
          <w:tcPr>
            <w:tcW w:w="6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10,27</w:t>
            </w:r>
          </w:p>
        </w:tc>
        <w:tc>
          <w:tcPr>
            <w:tcW w:w="77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10,27</w:t>
            </w:r>
          </w:p>
        </w:tc>
      </w:tr>
    </w:tbl>
    <w:p>
      <w:pPr>
        <w:pStyle w:val="Normal"/>
        <w:spacing w:lineRule="auto" w:line="360"/>
        <w:jc w:val="center"/>
        <w:rPr>
          <w:rFonts w:ascii="Times New Roman" w:hAnsi="Times New Roman"/>
          <w:color w:val="000000"/>
          <w:sz w:val="28"/>
          <w:szCs w:val="28"/>
        </w:rPr>
      </w:pPr>
      <w:r>
        <w:rPr>
          <w:rFonts w:ascii="Times New Roman" w:hAnsi="Times New Roman"/>
          <w:color w:val="000000"/>
          <w:sz w:val="28"/>
          <w:szCs w:val="28"/>
        </w:rPr>
      </w:r>
    </w:p>
    <w:p>
      <w:pPr>
        <w:pStyle w:val="Normal"/>
        <w:spacing w:lineRule="auto" w:line="360"/>
        <w:jc w:val="center"/>
        <w:rPr>
          <w:rFonts w:ascii="Times New Roman" w:hAnsi="Times New Roman"/>
          <w:color w:val="000000"/>
          <w:sz w:val="28"/>
          <w:szCs w:val="28"/>
        </w:rPr>
      </w:pPr>
      <w:r>
        <w:rPr/>
        <w:drawing>
          <wp:inline distT="0" distB="0" distL="0" distR="0">
            <wp:extent cx="7587615" cy="2547620"/>
            <wp:effectExtent l="0" t="0" r="0" b="0"/>
            <wp:docPr id="27" name="Рисунок 6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63" descr=""/>
                    <pic:cNvPicPr>
                      <a:picLocks noChangeAspect="1" noChangeArrowheads="1"/>
                    </pic:cNvPicPr>
                  </pic:nvPicPr>
                  <pic:blipFill>
                    <a:blip r:embed="rId73"/>
                    <a:stretch>
                      <a:fillRect/>
                    </a:stretch>
                  </pic:blipFill>
                  <pic:spPr bwMode="auto">
                    <a:xfrm>
                      <a:off x="0" y="0"/>
                      <a:ext cx="7587615" cy="2547620"/>
                    </a:xfrm>
                    <a:prstGeom prst="rect">
                      <a:avLst/>
                    </a:prstGeom>
                  </pic:spPr>
                </pic:pic>
              </a:graphicData>
            </a:graphic>
          </wp:inline>
        </w:drawing>
      </w:r>
    </w:p>
    <w:p>
      <w:pPr>
        <w:pStyle w:val="Normal"/>
        <w:spacing w:lineRule="auto" w:line="360"/>
        <w:jc w:val="center"/>
        <w:rPr>
          <w:rFonts w:ascii="Times New Roman" w:hAnsi="Times New Roman"/>
          <w:color w:val="000000"/>
          <w:sz w:val="28"/>
          <w:szCs w:val="28"/>
        </w:rPr>
      </w:pPr>
      <w:r>
        <w:rPr>
          <w:rFonts w:ascii="Times New Roman" w:hAnsi="Times New Roman"/>
          <w:color w:val="000000"/>
          <w:sz w:val="28"/>
          <w:szCs w:val="28"/>
        </w:rPr>
      </w:r>
    </w:p>
    <w:p>
      <w:pPr>
        <w:sectPr>
          <w:headerReference w:type="default" r:id="rId74"/>
          <w:footerReference w:type="default" r:id="rId75"/>
          <w:type w:val="nextPage"/>
          <w:pgSz w:orient="landscape" w:w="16838" w:h="11906"/>
          <w:pgMar w:left="1134" w:right="1134" w:header="708" w:top="765" w:footer="708" w:bottom="1701" w:gutter="0"/>
          <w:pgNumType w:fmt="decimal"/>
          <w:formProt w:val="false"/>
          <w:textDirection w:val="lrTb"/>
          <w:docGrid w:type="default" w:linePitch="360" w:charSpace="0"/>
        </w:sectPr>
        <w:pStyle w:val="Normal"/>
        <w:spacing w:lineRule="auto" w:line="360"/>
        <w:jc w:val="center"/>
        <w:rPr>
          <w:rFonts w:ascii="Times New Roman" w:hAnsi="Times New Roman"/>
          <w:sz w:val="28"/>
          <w:szCs w:val="28"/>
        </w:rPr>
      </w:pPr>
      <w:r>
        <w:rPr>
          <w:rFonts w:ascii="Times New Roman" w:hAnsi="Times New Roman"/>
          <w:sz w:val="28"/>
          <w:szCs w:val="28"/>
        </w:rPr>
        <w:t xml:space="preserve">Рисунок 3.3 – Динаміка фактичних, змодельованих та прогнозних даних фондовіддачі </w:t>
      </w:r>
      <w:r>
        <w:rPr>
          <w:rFonts w:eastAsia="Times New Roman" w:ascii="Times New Roman" w:hAnsi="Times New Roman"/>
          <w:sz w:val="28"/>
          <w:szCs w:val="28"/>
          <w:lang w:eastAsia="ru-RU"/>
        </w:rPr>
        <w:t xml:space="preserve">ТОВ «НЕЙЛ» </w:t>
      </w:r>
      <w:r>
        <w:rPr>
          <w:rFonts w:ascii="Times New Roman" w:hAnsi="Times New Roman"/>
          <w:sz w:val="28"/>
          <w:szCs w:val="28"/>
        </w:rPr>
        <w:t>з 2010 р. по 2023 р. за моделлю (3.2)</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Результати прогнозування фондовіддачі за моделлю (3.2), що подані у таблиці 3.7 та на рисунку 3.3 показують більш стабільну ситуацію щодо зміни цього показника. </w:t>
      </w:r>
    </w:p>
    <w:p>
      <w:pPr>
        <w:pStyle w:val="Normal"/>
        <w:spacing w:lineRule="auto" w:line="360"/>
        <w:ind w:firstLine="709"/>
        <w:rPr>
          <w:rFonts w:ascii="Times New Roman" w:hAnsi="Times New Roman"/>
          <w:sz w:val="28"/>
          <w:szCs w:val="28"/>
        </w:rPr>
      </w:pPr>
      <w:r>
        <w:rPr>
          <w:rFonts w:ascii="Times New Roman" w:hAnsi="Times New Roman"/>
          <w:sz w:val="28"/>
          <w:szCs w:val="28"/>
        </w:rPr>
        <w:t>Зокрема, за зростання відібраних факторів на один відсоток рівень фондовіддачі буде становити: у 2021 р. 10,28 грн, що на 0,98 грн або на 8,71 % менше за фактичне його значення та на 0,01 грн менше за розрахункове значення; у 2022 р. та 2023 р. його рівень не зміниться і становитиме 10,27 грн, що на 8,76 % менше за фактичне його значення та на 0,02 грн менше за розрахункове значення.</w:t>
      </w:r>
    </w:p>
    <w:p>
      <w:pPr>
        <w:pStyle w:val="Normal"/>
        <w:spacing w:lineRule="auto" w:line="360"/>
        <w:ind w:firstLine="709"/>
        <w:rPr>
          <w:rFonts w:ascii="Times New Roman" w:hAnsi="Times New Roman"/>
          <w:sz w:val="28"/>
          <w:szCs w:val="28"/>
        </w:rPr>
      </w:pPr>
      <w:r>
        <w:rPr>
          <w:rFonts w:ascii="Times New Roman" w:hAnsi="Times New Roman"/>
          <w:sz w:val="28"/>
          <w:szCs w:val="28"/>
        </w:rPr>
        <w:t>Надалі визначимо окремий вплив цих трьох факторів на зміну фондовіддачі і побудуємо три однофакторних моделі:</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sz w:val="28"/>
          <w:szCs w:val="28"/>
        </w:rPr>
      </w:pPr>
      <w:r>
        <w:rPr/>
      </w:r>
      <m:oMath xmlns:m="http://schemas.openxmlformats.org/officeDocument/2006/math">
        <m:sSub>
          <m:e>
            <m:r>
              <w:rPr>
                <w:rFonts w:ascii="Cambria Math" w:hAnsi="Cambria Math"/>
              </w:rPr>
              <m:t xml:space="preserve">Y</m:t>
            </m:r>
          </m:e>
          <m:sub>
            <m:r>
              <w:rPr>
                <w:rFonts w:ascii="Cambria Math" w:hAnsi="Cambria Math"/>
              </w:rPr>
              <m:t xml:space="preserve">р</m:t>
            </m:r>
            <m:r>
              <w:rPr>
                <w:rFonts w:ascii="Cambria Math" w:hAnsi="Cambria Math"/>
              </w:rPr>
              <m:t xml:space="preserve">2</m:t>
            </m:r>
          </m:sub>
        </m:sSub>
        <m:r>
          <w:rPr>
            <w:rFonts w:ascii="Cambria Math" w:hAnsi="Cambria Math"/>
          </w:rPr>
          <m:t xml:space="preserve">=</m:t>
        </m:r>
        <m:r>
          <w:rPr>
            <w:rFonts w:ascii="Cambria Math" w:hAnsi="Cambria Math"/>
          </w:rPr>
          <m:t xml:space="preserve">1,55</m:t>
        </m:r>
        <m:r>
          <w:rPr>
            <w:rFonts w:ascii="Cambria Math" w:hAnsi="Cambria Math"/>
          </w:rPr>
          <m:t xml:space="preserve">+</m:t>
        </m:r>
        <m:r>
          <w:rPr>
            <w:rFonts w:ascii="Cambria Math" w:hAnsi="Cambria Math"/>
          </w:rPr>
          <m:t xml:space="preserve">0,21</m:t>
        </m:r>
        <m:sSub>
          <m:e>
            <m:r>
              <w:rPr>
                <w:rFonts w:ascii="Cambria Math" w:hAnsi="Cambria Math"/>
              </w:rPr>
              <m:t xml:space="preserve">х</m:t>
            </m:r>
          </m:e>
          <m:sub>
            <m:r>
              <w:rPr>
                <w:rFonts w:ascii="Cambria Math" w:hAnsi="Cambria Math"/>
              </w:rPr>
              <m:t xml:space="preserve">3</m:t>
            </m:r>
          </m:sub>
        </m:sSub>
        <m:r>
          <w:rPr>
            <w:rFonts w:ascii="Cambria Math" w:hAnsi="Cambria Math"/>
          </w:rPr>
          <m:t xml:space="preserve">;</m:t>
        </m:r>
      </m:oMath>
      <w:r>
        <w:rPr>
          <w:rFonts w:ascii="Times New Roman" w:hAnsi="Times New Roman"/>
          <w:sz w:val="28"/>
          <w:szCs w:val="28"/>
          <w:lang w:eastAsia="ru-RU"/>
        </w:rPr>
        <w:t xml:space="preserve"> </w:t>
      </w:r>
      <w:r>
        <w:rPr>
          <w:rFonts w:ascii="Times New Roman" w:hAnsi="Times New Roman"/>
          <w:sz w:val="28"/>
          <w:szCs w:val="28"/>
          <w:lang w:eastAsia="ru-RU"/>
        </w:rPr>
        <w:tab/>
        <w:tab/>
        <w:tab/>
        <w:tab/>
        <w:tab/>
        <w:tab/>
        <w:t>(3.3)</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sz w:val="28"/>
          <w:szCs w:val="28"/>
        </w:rPr>
      </w:pPr>
      <w:r>
        <w:rPr/>
      </w:r>
      <m:oMath xmlns:m="http://schemas.openxmlformats.org/officeDocument/2006/math">
        <m:sSub>
          <m:e>
            <m:r>
              <w:rPr>
                <w:rFonts w:ascii="Cambria Math" w:hAnsi="Cambria Math"/>
              </w:rPr>
              <m:t xml:space="preserve">Y</m:t>
            </m:r>
          </m:e>
          <m:sub>
            <m:r>
              <w:rPr>
                <w:rFonts w:ascii="Cambria Math" w:hAnsi="Cambria Math"/>
              </w:rPr>
              <m:t xml:space="preserve">р</m:t>
            </m:r>
            <m:r>
              <w:rPr>
                <w:rFonts w:ascii="Cambria Math" w:hAnsi="Cambria Math"/>
              </w:rPr>
              <m:t xml:space="preserve">3</m:t>
            </m:r>
          </m:sub>
        </m:sSub>
        <m:r>
          <w:rPr>
            <w:rFonts w:ascii="Cambria Math" w:hAnsi="Cambria Math"/>
          </w:rPr>
          <m:t xml:space="preserve">=</m:t>
        </m:r>
        <m:r>
          <w:rPr>
            <w:rFonts w:ascii="Cambria Math" w:hAnsi="Cambria Math"/>
          </w:rPr>
          <m:t xml:space="preserve">12,10</m:t>
        </m:r>
        <m:r>
          <w:rPr>
            <w:rFonts w:ascii="Cambria Math" w:hAnsi="Cambria Math"/>
          </w:rPr>
          <m:t xml:space="preserve">−</m:t>
        </m:r>
        <m:r>
          <w:rPr>
            <w:rFonts w:ascii="Cambria Math" w:hAnsi="Cambria Math"/>
          </w:rPr>
          <m:t xml:space="preserve">1,0</m:t>
        </m:r>
        <m:sSub>
          <m:e>
            <m:r>
              <w:rPr>
                <w:rFonts w:ascii="Cambria Math" w:hAnsi="Cambria Math"/>
              </w:rPr>
              <m:t xml:space="preserve">х</m:t>
            </m:r>
          </m:e>
          <m:sub>
            <m:r>
              <w:rPr>
                <w:rFonts w:ascii="Cambria Math" w:hAnsi="Cambria Math"/>
              </w:rPr>
              <m:t xml:space="preserve">4</m:t>
            </m:r>
          </m:sub>
        </m:sSub>
        <m:r>
          <w:rPr>
            <w:rFonts w:ascii="Cambria Math" w:hAnsi="Cambria Math"/>
          </w:rPr>
          <m:t xml:space="preserve">;</m:t>
        </m:r>
      </m:oMath>
      <w:r>
        <w:rPr>
          <w:rFonts w:ascii="Times New Roman" w:hAnsi="Times New Roman"/>
          <w:sz w:val="28"/>
          <w:szCs w:val="28"/>
          <w:lang w:eastAsia="ru-RU"/>
        </w:rPr>
        <w:t xml:space="preserve"> </w:t>
      </w:r>
      <w:r>
        <w:rPr>
          <w:rFonts w:ascii="Times New Roman" w:hAnsi="Times New Roman"/>
          <w:sz w:val="28"/>
          <w:szCs w:val="28"/>
          <w:lang w:eastAsia="ru-RU"/>
        </w:rPr>
        <w:tab/>
        <w:tab/>
        <w:tab/>
        <w:tab/>
        <w:tab/>
        <w:tab/>
        <w:t>(3.4)</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sz w:val="28"/>
          <w:szCs w:val="28"/>
        </w:rPr>
      </w:pPr>
      <w:r>
        <w:rPr/>
      </w:r>
      <m:oMath xmlns:m="http://schemas.openxmlformats.org/officeDocument/2006/math">
        <m:sSub>
          <m:e>
            <m:r>
              <w:rPr>
                <w:rFonts w:ascii="Cambria Math" w:hAnsi="Cambria Math"/>
              </w:rPr>
              <m:t xml:space="preserve">Y</m:t>
            </m:r>
          </m:e>
          <m:sub>
            <m:r>
              <w:rPr>
                <w:rFonts w:ascii="Cambria Math" w:hAnsi="Cambria Math"/>
              </w:rPr>
              <m:t xml:space="preserve">р</m:t>
            </m:r>
            <m:r>
              <w:rPr>
                <w:rFonts w:ascii="Cambria Math" w:hAnsi="Cambria Math"/>
              </w:rPr>
              <m:t xml:space="preserve">4</m:t>
            </m:r>
          </m:sub>
        </m:sSub>
        <m:r>
          <w:rPr>
            <w:rFonts w:ascii="Cambria Math" w:hAnsi="Cambria Math"/>
          </w:rPr>
          <m:t xml:space="preserve">=</m:t>
        </m:r>
        <m:r>
          <w:rPr>
            <w:rFonts w:ascii="Cambria Math" w:hAnsi="Cambria Math"/>
          </w:rPr>
          <m:t xml:space="preserve">−</m:t>
        </m:r>
        <m:r>
          <w:rPr>
            <w:rFonts w:ascii="Cambria Math" w:hAnsi="Cambria Math"/>
          </w:rPr>
          <m:t xml:space="preserve">15,25</m:t>
        </m:r>
        <m:r>
          <w:rPr>
            <w:rFonts w:ascii="Cambria Math" w:hAnsi="Cambria Math"/>
          </w:rPr>
          <m:t xml:space="preserve">+</m:t>
        </m:r>
        <m:r>
          <w:rPr>
            <w:rFonts w:ascii="Cambria Math" w:hAnsi="Cambria Math"/>
          </w:rPr>
          <m:t xml:space="preserve">0,28</m:t>
        </m:r>
        <m:sSub>
          <m:e>
            <m:r>
              <w:rPr>
                <w:rFonts w:ascii="Cambria Math" w:hAnsi="Cambria Math"/>
              </w:rPr>
              <m:t xml:space="preserve">х</m:t>
            </m:r>
          </m:e>
          <m:sub>
            <m:r>
              <w:rPr>
                <w:rFonts w:ascii="Cambria Math" w:hAnsi="Cambria Math"/>
              </w:rPr>
              <m:t xml:space="preserve">5</m:t>
            </m:r>
          </m:sub>
        </m:sSub>
      </m:oMath>
      <w:r>
        <w:rPr>
          <w:rFonts w:ascii="Times New Roman" w:hAnsi="Times New Roman"/>
          <w:sz w:val="28"/>
          <w:szCs w:val="28"/>
          <w:lang w:eastAsia="ru-RU"/>
        </w:rPr>
        <w:t xml:space="preserve"> </w:t>
      </w:r>
      <w:r>
        <w:rPr>
          <w:rFonts w:ascii="Times New Roman" w:hAnsi="Times New Roman"/>
          <w:sz w:val="28"/>
          <w:szCs w:val="28"/>
          <w:lang w:eastAsia="ru-RU"/>
        </w:rPr>
        <w:tab/>
        <w:tab/>
        <w:tab/>
        <w:tab/>
        <w:tab/>
        <w:t>(3.5)</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Побудовані однофакторні моделі (3.3) – (3.5) має таке значення коефіцієнта детермінації: модель (3.3) </w:t>
      </w:r>
      <w:r>
        <w:rPr>
          <w:rFonts w:ascii="Times New Roman" w:hAnsi="Times New Roman"/>
          <w:color w:val="000000"/>
          <w:sz w:val="28"/>
          <w:szCs w:val="28"/>
        </w:rPr>
        <w:t>–</w:t>
      </w:r>
      <w:r>
        <w:rPr>
          <w:rFonts w:eastAsia="Times New Roman" w:ascii="Times New Roman" w:hAnsi="Times New Roman"/>
          <w:sz w:val="28"/>
          <w:szCs w:val="28"/>
          <w:lang w:eastAsia="ru-RU"/>
        </w:rPr>
        <w:t xml:space="preserve"> (</w:t>
      </w:r>
      <w:r>
        <w:rPr>
          <w:rFonts w:eastAsia="Times New Roman" w:ascii="Times New Roman" w:hAnsi="Times New Roman"/>
          <w:sz w:val="28"/>
          <w:szCs w:val="28"/>
          <w:lang w:val="en-US" w:eastAsia="ru-RU"/>
        </w:rPr>
        <w:t>R</w:t>
      </w:r>
      <w:r>
        <w:rPr>
          <w:rFonts w:eastAsia="Times New Roman" w:ascii="Times New Roman" w:hAnsi="Times New Roman"/>
          <w:sz w:val="28"/>
          <w:szCs w:val="28"/>
          <w:vertAlign w:val="superscript"/>
          <w:lang w:eastAsia="ru-RU"/>
        </w:rPr>
        <w:t>2</w:t>
      </w:r>
      <w:r>
        <w:rPr>
          <w:rFonts w:eastAsia="Times New Roman" w:ascii="Times New Roman" w:hAnsi="Times New Roman"/>
          <w:sz w:val="28"/>
          <w:szCs w:val="28"/>
          <w:lang w:eastAsia="ru-RU"/>
        </w:rPr>
        <w:t xml:space="preserve"> = 0,4425), яке вказує на те, що лише на 44,25 % </w:t>
      </w:r>
      <w:r>
        <w:rPr>
          <w:rFonts w:ascii="Times New Roman" w:hAnsi="Times New Roman"/>
          <w:sz w:val="28"/>
          <w:szCs w:val="28"/>
        </w:rPr>
        <w:t xml:space="preserve">технічна фондоозброєність </w:t>
      </w:r>
      <w:r>
        <w:rPr>
          <w:rFonts w:eastAsia="Times New Roman" w:ascii="Times New Roman" w:hAnsi="Times New Roman"/>
          <w:sz w:val="28"/>
          <w:szCs w:val="28"/>
          <w:lang w:eastAsia="ru-RU"/>
        </w:rPr>
        <w:t xml:space="preserve">чинить вплив на зміну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 xml:space="preserve">модель (3.4) </w:t>
      </w:r>
      <w:r>
        <w:rPr>
          <w:rFonts w:ascii="Times New Roman" w:hAnsi="Times New Roman"/>
          <w:color w:val="000000"/>
          <w:sz w:val="28"/>
          <w:szCs w:val="28"/>
        </w:rPr>
        <w:t>–</w:t>
      </w:r>
      <w:r>
        <w:rPr>
          <w:rFonts w:eastAsia="Times New Roman" w:ascii="Times New Roman" w:hAnsi="Times New Roman"/>
          <w:sz w:val="28"/>
          <w:szCs w:val="28"/>
          <w:lang w:eastAsia="ru-RU"/>
        </w:rPr>
        <w:t xml:space="preserve"> (</w:t>
      </w:r>
      <w:r>
        <w:rPr>
          <w:rFonts w:eastAsia="Times New Roman" w:ascii="Times New Roman" w:hAnsi="Times New Roman"/>
          <w:sz w:val="28"/>
          <w:szCs w:val="28"/>
          <w:lang w:val="en-US" w:eastAsia="ru-RU"/>
        </w:rPr>
        <w:t>R</w:t>
      </w:r>
      <w:r>
        <w:rPr>
          <w:rFonts w:eastAsia="Times New Roman" w:ascii="Times New Roman" w:hAnsi="Times New Roman"/>
          <w:sz w:val="28"/>
          <w:szCs w:val="28"/>
          <w:vertAlign w:val="superscript"/>
          <w:lang w:eastAsia="ru-RU"/>
        </w:rPr>
        <w:t>2</w:t>
      </w:r>
      <w:r>
        <w:rPr>
          <w:rFonts w:eastAsia="Times New Roman" w:ascii="Times New Roman" w:hAnsi="Times New Roman"/>
          <w:sz w:val="28"/>
          <w:szCs w:val="28"/>
          <w:lang w:eastAsia="ru-RU"/>
        </w:rPr>
        <w:t xml:space="preserve"> = 0,8639), яке вказує на те, що на 86,39 % </w:t>
      </w:r>
      <w:r>
        <w:rPr>
          <w:rFonts w:ascii="Times New Roman" w:hAnsi="Times New Roman"/>
          <w:sz w:val="28"/>
          <w:szCs w:val="28"/>
        </w:rPr>
        <w:t xml:space="preserve">трудомісткість </w:t>
      </w:r>
      <w:r>
        <w:rPr>
          <w:rFonts w:eastAsia="Times New Roman" w:ascii="Times New Roman" w:hAnsi="Times New Roman"/>
          <w:sz w:val="28"/>
          <w:szCs w:val="28"/>
          <w:lang w:eastAsia="ru-RU"/>
        </w:rPr>
        <w:t xml:space="preserve">впливає на зміну </w:t>
      </w:r>
      <w:r>
        <w:rPr>
          <w:rFonts w:ascii="Times New Roman" w:hAnsi="Times New Roman"/>
          <w:sz w:val="28"/>
          <w:szCs w:val="28"/>
        </w:rPr>
        <w:t xml:space="preserve">фондовіддачі і 13,61 % припадає на дію факторів, що не включено у цю модель (3.4); </w:t>
      </w:r>
      <w:r>
        <w:rPr>
          <w:rFonts w:eastAsia="Times New Roman" w:ascii="Times New Roman" w:hAnsi="Times New Roman"/>
          <w:sz w:val="28"/>
          <w:szCs w:val="28"/>
          <w:lang w:eastAsia="ru-RU"/>
        </w:rPr>
        <w:t xml:space="preserve">модель (3.5) </w:t>
      </w:r>
      <w:r>
        <w:rPr>
          <w:rFonts w:ascii="Times New Roman" w:hAnsi="Times New Roman"/>
          <w:color w:val="000000"/>
          <w:sz w:val="28"/>
          <w:szCs w:val="28"/>
        </w:rPr>
        <w:t>–</w:t>
      </w:r>
      <w:r>
        <w:rPr>
          <w:rFonts w:eastAsia="Times New Roman" w:ascii="Times New Roman" w:hAnsi="Times New Roman"/>
          <w:sz w:val="28"/>
          <w:szCs w:val="28"/>
          <w:lang w:eastAsia="ru-RU"/>
        </w:rPr>
        <w:t xml:space="preserve"> (</w:t>
      </w:r>
      <w:r>
        <w:rPr>
          <w:rFonts w:eastAsia="Times New Roman" w:ascii="Times New Roman" w:hAnsi="Times New Roman"/>
          <w:sz w:val="28"/>
          <w:szCs w:val="28"/>
          <w:lang w:val="en-US" w:eastAsia="ru-RU"/>
        </w:rPr>
        <w:t>R</w:t>
      </w:r>
      <w:r>
        <w:rPr>
          <w:rFonts w:eastAsia="Times New Roman" w:ascii="Times New Roman" w:hAnsi="Times New Roman"/>
          <w:sz w:val="28"/>
          <w:szCs w:val="28"/>
          <w:vertAlign w:val="superscript"/>
          <w:lang w:eastAsia="ru-RU"/>
        </w:rPr>
        <w:t>2</w:t>
      </w:r>
      <w:r>
        <w:rPr>
          <w:rFonts w:eastAsia="Times New Roman" w:ascii="Times New Roman" w:hAnsi="Times New Roman"/>
          <w:sz w:val="28"/>
          <w:szCs w:val="28"/>
          <w:lang w:eastAsia="ru-RU"/>
        </w:rPr>
        <w:t xml:space="preserve"> = 0,5550), яке вказує на те, що на 55,50 % </w:t>
      </w:r>
      <w:r>
        <w:rPr>
          <w:rFonts w:ascii="Times New Roman" w:hAnsi="Times New Roman"/>
          <w:sz w:val="28"/>
          <w:szCs w:val="28"/>
        </w:rPr>
        <w:t xml:space="preserve">питома вага робітників у складі працівників </w:t>
      </w:r>
      <w:r>
        <w:rPr>
          <w:rFonts w:eastAsia="Times New Roman" w:ascii="Times New Roman" w:hAnsi="Times New Roman"/>
          <w:sz w:val="28"/>
          <w:szCs w:val="28"/>
          <w:lang w:eastAsia="ru-RU"/>
        </w:rPr>
        <w:t xml:space="preserve">здійснює вплив на зміну </w:t>
      </w:r>
      <w:r>
        <w:rPr>
          <w:rFonts w:ascii="Times New Roman" w:hAnsi="Times New Roman"/>
          <w:sz w:val="28"/>
          <w:szCs w:val="28"/>
        </w:rPr>
        <w:t>фондовіддачі</w:t>
      </w:r>
      <w:r>
        <w:rPr>
          <w:rStyle w:val="11"/>
          <w:rFonts w:eastAsia="Calibri" w:ascii="Times New Roman" w:hAnsi="Times New Roman"/>
          <w:sz w:val="28"/>
          <w:szCs w:val="28"/>
          <w:lang w:val="uk-UA" w:eastAsia="ru-RU"/>
        </w:rPr>
        <w:t xml:space="preserve"> </w:t>
      </w:r>
      <w:r>
        <w:rPr>
          <w:rStyle w:val="Style14"/>
          <w:rFonts w:ascii="Times New Roman" w:hAnsi="Times New Roman"/>
          <w:sz w:val="28"/>
          <w:szCs w:val="28"/>
          <w:lang w:eastAsia="ru-RU"/>
        </w:rPr>
        <w:t>суб’єкта підприємництва</w:t>
      </w:r>
      <w:r>
        <w:rPr>
          <w:rFonts w:ascii="Times New Roman" w:hAnsi="Times New Roman"/>
          <w:sz w:val="28"/>
          <w:szCs w:val="28"/>
        </w:rPr>
        <w:t xml:space="preserve">. </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У моделі (3.3) за зростання технічної фондоозброєності показник рівня ефективності використання засобів праці </w:t>
      </w:r>
      <w:r>
        <w:rPr>
          <w:rFonts w:eastAsia="Times New Roman" w:ascii="Times New Roman" w:hAnsi="Times New Roman"/>
          <w:sz w:val="28"/>
          <w:szCs w:val="28"/>
          <w:lang w:eastAsia="ru-RU"/>
        </w:rPr>
        <w:t>ТОВ «НЕЙЛ»</w:t>
      </w:r>
      <w:r>
        <w:rPr>
          <w:rStyle w:val="Style14"/>
          <w:rFonts w:ascii="Times New Roman" w:hAnsi="Times New Roman"/>
          <w:sz w:val="28"/>
          <w:szCs w:val="28"/>
          <w:lang w:eastAsia="ru-RU"/>
        </w:rPr>
        <w:t xml:space="preserve"> </w:t>
      </w:r>
      <w:r>
        <w:rPr>
          <w:rFonts w:ascii="Times New Roman" w:hAnsi="Times New Roman"/>
          <w:sz w:val="28"/>
          <w:szCs w:val="28"/>
        </w:rPr>
        <w:t xml:space="preserve">зросте на 0,21 грн. За моделлю (3.4), якщо трудомісткість зменшиться, то на 1,0 грн збільшиться фондовіддача. За моделлю (3.5) помітне, що якщо зросте питома вага робітників у складі працівників </w:t>
      </w:r>
      <w:r>
        <w:rPr>
          <w:rStyle w:val="Style14"/>
          <w:rFonts w:ascii="Times New Roman" w:hAnsi="Times New Roman"/>
          <w:sz w:val="28"/>
          <w:szCs w:val="28"/>
          <w:lang w:eastAsia="ru-RU"/>
        </w:rPr>
        <w:t xml:space="preserve">суб’єкта підприємництва, то рівень </w:t>
      </w:r>
      <w:r>
        <w:rPr>
          <w:rFonts w:ascii="Times New Roman" w:hAnsi="Times New Roman"/>
          <w:sz w:val="28"/>
          <w:szCs w:val="28"/>
        </w:rPr>
        <w:t>фондовіддачі збільшиться на 0,28 грн.</w:t>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 xml:space="preserve">За високого значення коефіцієнта детермінації у моделі (3.4) слід здійснювати прогнозування результуючого показника – фондовіддачі </w:t>
      </w:r>
      <w:r>
        <w:rPr>
          <w:rStyle w:val="Style14"/>
          <w:rFonts w:ascii="Times New Roman" w:hAnsi="Times New Roman"/>
          <w:sz w:val="28"/>
          <w:szCs w:val="28"/>
          <w:lang w:eastAsia="ru-RU"/>
        </w:rPr>
        <w:t>виробничого підприємства</w:t>
      </w:r>
      <w:r>
        <w:rPr>
          <w:rFonts w:ascii="Times New Roman" w:hAnsi="Times New Roman"/>
          <w:sz w:val="28"/>
          <w:szCs w:val="28"/>
        </w:rPr>
        <w:t xml:space="preserve">. </w:t>
      </w:r>
      <w:r>
        <w:rPr>
          <w:rFonts w:eastAsia="Times New Roman" w:ascii="Times New Roman" w:hAnsi="Times New Roman"/>
          <w:sz w:val="28"/>
          <w:szCs w:val="28"/>
          <w:lang w:eastAsia="ru-RU"/>
        </w:rPr>
        <w:t>Також, підставою для подальшого його прогнозування є те, що у цій моделі розрахункове значення критерію Фішера (57,11) є більшим за табличне (5,12) (F</w:t>
      </w:r>
      <w:r>
        <w:rPr>
          <w:rFonts w:eastAsia="Times New Roman" w:ascii="Times New Roman" w:hAnsi="Times New Roman"/>
          <w:sz w:val="28"/>
          <w:szCs w:val="28"/>
          <w:vertAlign w:val="subscript"/>
          <w:lang w:eastAsia="ru-RU"/>
        </w:rPr>
        <w:t>розрах.</w:t>
      </w:r>
      <w:r>
        <w:rPr>
          <w:rFonts w:eastAsia="Times New Roman" w:ascii="Times New Roman" w:hAnsi="Times New Roman"/>
          <w:sz w:val="28"/>
          <w:szCs w:val="28"/>
          <w:lang w:eastAsia="ru-RU"/>
        </w:rPr>
        <w:t xml:space="preserve"> &gt; F</w:t>
      </w:r>
      <w:r>
        <w:rPr>
          <w:rFonts w:eastAsia="Times New Roman" w:ascii="Times New Roman" w:hAnsi="Times New Roman"/>
          <w:sz w:val="28"/>
          <w:szCs w:val="28"/>
          <w:vertAlign w:val="subscript"/>
          <w:lang w:eastAsia="ru-RU"/>
        </w:rPr>
        <w:t>табл.</w:t>
      </w:r>
      <w:r>
        <w:rPr>
          <w:rFonts w:eastAsia="Times New Roman" w:ascii="Times New Roman" w:hAnsi="Times New Roman"/>
          <w:sz w:val="28"/>
          <w:szCs w:val="28"/>
          <w:lang w:eastAsia="ru-RU"/>
        </w:rPr>
        <w:t xml:space="preserve">). Також адекватними є і моделі (3.3) та (3.5), оскільки розрахункове значення критерія Фішера за цими моделями (7,14 та 11,22 відповідно) перевищує табличне значення (5,12). Тому за усіма трьома однофакторними моделями доречно здійснювати прогнозування </w:t>
      </w:r>
      <w:r>
        <w:rPr>
          <w:rFonts w:ascii="Times New Roman" w:hAnsi="Times New Roman"/>
          <w:sz w:val="28"/>
          <w:szCs w:val="28"/>
        </w:rPr>
        <w:t>фондовіддачі.</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Достовірність параметрів однофакторних моделей (3.3). (3.4) та (3.5) оцінено за критерієм Стьюдента. У моделях (3.4) та (3.5) усі розрахункові значення цього критерію перевищують їх табличне значення (2,26), тому параметри побудованих моделей (3.4) та (3.5) достовірні за критерієм Стьюдента. У моделі (3.3) достовірним є лише параметр а</w:t>
      </w:r>
      <w:r>
        <w:rPr>
          <w:rFonts w:eastAsia="Times New Roman" w:ascii="Times New Roman" w:hAnsi="Times New Roman"/>
          <w:sz w:val="28"/>
          <w:szCs w:val="28"/>
          <w:vertAlign w:val="subscript"/>
          <w:lang w:eastAsia="ru-RU"/>
        </w:rPr>
        <w:t>1</w:t>
      </w:r>
      <w:r>
        <w:rPr>
          <w:rFonts w:eastAsia="Times New Roman" w:ascii="Times New Roman" w:hAnsi="Times New Roman"/>
          <w:sz w:val="28"/>
          <w:szCs w:val="28"/>
          <w:lang w:eastAsia="ru-RU"/>
        </w:rPr>
        <w:t xml:space="preserve">, оскільки його розрахункове значення (2,67) більше за табличне значення (2,26) (таблиця 3.8). </w:t>
      </w:r>
    </w:p>
    <w:p>
      <w:pPr>
        <w:pStyle w:val="Normal"/>
        <w:spacing w:lineRule="auto" w:line="360"/>
        <w:ind w:firstLine="709"/>
        <w:rPr>
          <w:rFonts w:ascii="Times New Roman" w:hAnsi="Times New Roman" w:eastAsia="Times New Roman"/>
          <w:sz w:val="24"/>
          <w:szCs w:val="24"/>
          <w:lang w:eastAsia="ru-RU"/>
        </w:rPr>
      </w:pPr>
      <w:r>
        <w:rPr>
          <w:rFonts w:eastAsia="Times New Roman" w:ascii="Times New Roman" w:hAnsi="Times New Roman"/>
          <w:sz w:val="24"/>
          <w:szCs w:val="24"/>
          <w:lang w:eastAsia="ru-RU"/>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color w:val="000000"/>
          <w:sz w:val="28"/>
          <w:szCs w:val="28"/>
        </w:rPr>
        <w:t>Таблиця 3.8 – Оцінка достовірності параметрів за критерієм Стьюдента</w:t>
      </w:r>
    </w:p>
    <w:tbl>
      <w:tblPr>
        <w:tblW w:w="5000" w:type="pct"/>
        <w:jc w:val="left"/>
        <w:tblInd w:w="0" w:type="dxa"/>
        <w:tblCellMar>
          <w:top w:w="0" w:type="dxa"/>
          <w:left w:w="108" w:type="dxa"/>
          <w:bottom w:w="0" w:type="dxa"/>
          <w:right w:w="108" w:type="dxa"/>
        </w:tblCellMar>
        <w:tblLook w:firstRow="1" w:noVBand="1" w:lastRow="0" w:firstColumn="1" w:lastColumn="0" w:noHBand="0" w:val="04a0"/>
      </w:tblPr>
      <w:tblGrid>
        <w:gridCol w:w="1873"/>
        <w:gridCol w:w="1574"/>
        <w:gridCol w:w="1574"/>
        <w:gridCol w:w="1"/>
        <w:gridCol w:w="4615"/>
      </w:tblGrid>
      <w:tr>
        <w:trPr>
          <w:trHeight w:val="20" w:hRule="atLeast"/>
        </w:trPr>
        <w:tc>
          <w:tcPr>
            <w:tcW w:w="1873"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Модель</w:t>
            </w:r>
          </w:p>
        </w:tc>
        <w:tc>
          <w:tcPr>
            <w:tcW w:w="3149" w:type="dxa"/>
            <w:gridSpan w:val="3"/>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Розрахункові значення критерія Стьюдента</w:t>
            </w:r>
          </w:p>
        </w:tc>
        <w:tc>
          <w:tcPr>
            <w:tcW w:w="461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Табличне значення критерія Стьюдента</w:t>
            </w:r>
          </w:p>
        </w:tc>
      </w:tr>
      <w:tr>
        <w:trPr>
          <w:trHeight w:val="20" w:hRule="atLeast"/>
        </w:trPr>
        <w:tc>
          <w:tcPr>
            <w:tcW w:w="1873"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a1</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a0</w:t>
            </w:r>
          </w:p>
        </w:tc>
        <w:tc>
          <w:tcPr>
            <w:tcW w:w="461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bscript"/>
                <w:lang w:eastAsia="uk-UA"/>
              </w:rPr>
              <w:t>табл</w:t>
            </w:r>
          </w:p>
        </w:tc>
      </w:tr>
      <w:tr>
        <w:trPr>
          <w:trHeight w:val="20" w:hRule="atLeast"/>
        </w:trPr>
        <w:tc>
          <w:tcPr>
            <w:tcW w:w="187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lang w:eastAsia="uk-UA"/>
              </w:rPr>
              <w:t>(3.3)</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2,67</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0,63</w:t>
            </w:r>
          </w:p>
        </w:tc>
        <w:tc>
          <w:tcPr>
            <w:tcW w:w="4616" w:type="dxa"/>
            <w:gridSpan w:val="2"/>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2,26</w:t>
            </w:r>
          </w:p>
        </w:tc>
      </w:tr>
      <w:tr>
        <w:trPr>
          <w:trHeight w:val="20" w:hRule="atLeast"/>
        </w:trPr>
        <w:tc>
          <w:tcPr>
            <w:tcW w:w="187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lang w:eastAsia="uk-UA"/>
              </w:rPr>
              <w:t>(3.4)</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7,56</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19,23</w:t>
            </w:r>
          </w:p>
        </w:tc>
        <w:tc>
          <w:tcPr>
            <w:tcW w:w="4616"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r>
          </w:p>
        </w:tc>
      </w:tr>
      <w:tr>
        <w:trPr>
          <w:trHeight w:val="20" w:hRule="atLeast"/>
        </w:trPr>
        <w:tc>
          <w:tcPr>
            <w:tcW w:w="187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lang w:eastAsia="uk-UA"/>
              </w:rPr>
              <w:t>(3.5)</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3,35</w:t>
            </w:r>
          </w:p>
        </w:tc>
        <w:tc>
          <w:tcPr>
            <w:tcW w:w="157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2,20</w:t>
            </w:r>
          </w:p>
        </w:tc>
        <w:tc>
          <w:tcPr>
            <w:tcW w:w="4616"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r>
          </w:p>
        </w:tc>
      </w:tr>
    </w:tbl>
    <w:p>
      <w:pPr>
        <w:pStyle w:val="Normal"/>
        <w:spacing w:lineRule="auto" w:line="360"/>
        <w:ind w:firstLine="709"/>
        <w:rPr>
          <w:rFonts w:ascii="Times New Roman" w:hAnsi="Times New Roman" w:eastAsia="Times New Roman"/>
          <w:sz w:val="24"/>
          <w:szCs w:val="24"/>
          <w:lang w:eastAsia="ru-RU"/>
        </w:rPr>
      </w:pPr>
      <w:r>
        <w:rPr>
          <w:rFonts w:eastAsia="Times New Roman" w:ascii="Times New Roman" w:hAnsi="Times New Roman"/>
          <w:sz w:val="24"/>
          <w:szCs w:val="24"/>
          <w:lang w:eastAsia="ru-RU"/>
        </w:rPr>
      </w:r>
    </w:p>
    <w:p>
      <w:pPr>
        <w:sectPr>
          <w:headerReference w:type="default" r:id="rId76"/>
          <w:footerReference w:type="default" r:id="rId77"/>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Оскільки побудовані моделі з (3.3) по (3.5) є адекватними, тому за ними слід визначити змодельовані значення та здійснити подальше прогнозування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ТОВ «НЕЙЛ»</w:t>
      </w:r>
      <w:r>
        <w:rPr>
          <w:rStyle w:val="Style14"/>
          <w:rFonts w:ascii="Times New Roman" w:hAnsi="Times New Roman"/>
          <w:sz w:val="28"/>
          <w:szCs w:val="28"/>
          <w:lang w:eastAsia="ru-RU"/>
        </w:rPr>
        <w:t xml:space="preserve"> </w:t>
      </w:r>
      <w:r>
        <w:rPr>
          <w:rFonts w:ascii="Times New Roman" w:hAnsi="Times New Roman"/>
          <w:sz w:val="28"/>
          <w:szCs w:val="28"/>
        </w:rPr>
        <w:t xml:space="preserve">(таблиця 3.9). </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color w:val="000000"/>
          <w:sz w:val="28"/>
          <w:szCs w:val="28"/>
        </w:rPr>
      </w:pPr>
      <w:r>
        <w:rPr>
          <w:rFonts w:ascii="Times New Roman" w:hAnsi="Times New Roman"/>
          <w:color w:val="000000"/>
          <w:sz w:val="28"/>
          <w:szCs w:val="28"/>
        </w:rPr>
        <w:t xml:space="preserve">Таблиця 3.9 – Динаміка </w:t>
      </w:r>
      <w:r>
        <w:rPr>
          <w:rFonts w:ascii="Times New Roman" w:hAnsi="Times New Roman"/>
          <w:sz w:val="28"/>
          <w:szCs w:val="28"/>
        </w:rPr>
        <w:t xml:space="preserve">фондовіддачі </w:t>
      </w:r>
      <w:r>
        <w:rPr>
          <w:rFonts w:ascii="Times New Roman" w:hAnsi="Times New Roman"/>
          <w:color w:val="000000"/>
          <w:sz w:val="28"/>
          <w:szCs w:val="28"/>
        </w:rPr>
        <w:t>та основних факторів, що здійснюють на неї вплив</w:t>
      </w:r>
    </w:p>
    <w:tbl>
      <w:tblPr>
        <w:tblW w:w="14562" w:type="dxa"/>
        <w:jc w:val="left"/>
        <w:tblInd w:w="0" w:type="dxa"/>
        <w:tblCellMar>
          <w:top w:w="0" w:type="dxa"/>
          <w:left w:w="108" w:type="dxa"/>
          <w:bottom w:w="0" w:type="dxa"/>
          <w:right w:w="108" w:type="dxa"/>
        </w:tblCellMar>
        <w:tblLook w:firstRow="1" w:noVBand="1" w:lastRow="0" w:firstColumn="1" w:lastColumn="0" w:noHBand="0" w:val="04a0"/>
      </w:tblPr>
      <w:tblGrid>
        <w:gridCol w:w="1690"/>
        <w:gridCol w:w="2953"/>
        <w:gridCol w:w="491"/>
        <w:gridCol w:w="2"/>
        <w:gridCol w:w="664"/>
        <w:gridCol w:w="1"/>
        <w:gridCol w:w="664"/>
        <w:gridCol w:w="1"/>
        <w:gridCol w:w="665"/>
        <w:gridCol w:w="1"/>
        <w:gridCol w:w="664"/>
        <w:gridCol w:w="1"/>
        <w:gridCol w:w="664"/>
        <w:gridCol w:w="2"/>
        <w:gridCol w:w="664"/>
        <w:gridCol w:w="1"/>
        <w:gridCol w:w="664"/>
        <w:gridCol w:w="2"/>
        <w:gridCol w:w="664"/>
        <w:gridCol w:w="1"/>
        <w:gridCol w:w="664"/>
        <w:gridCol w:w="2"/>
        <w:gridCol w:w="664"/>
        <w:gridCol w:w="1"/>
        <w:gridCol w:w="664"/>
        <w:gridCol w:w="2"/>
        <w:gridCol w:w="664"/>
        <w:gridCol w:w="1"/>
        <w:gridCol w:w="664"/>
        <w:gridCol w:w="2"/>
        <w:gridCol w:w="775"/>
      </w:tblGrid>
      <w:tr>
        <w:trPr>
          <w:trHeight w:val="20" w:hRule="atLeast"/>
        </w:trPr>
        <w:tc>
          <w:tcPr>
            <w:tcW w:w="5136" w:type="dxa"/>
            <w:gridSpan w:val="4"/>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9426" w:type="dxa"/>
            <w:gridSpan w:val="27"/>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за роками</w:t>
            </w:r>
          </w:p>
        </w:tc>
      </w:tr>
      <w:tr>
        <w:trPr>
          <w:trHeight w:val="20" w:hRule="atLeast"/>
        </w:trPr>
        <w:tc>
          <w:tcPr>
            <w:tcW w:w="5136" w:type="dxa"/>
            <w:gridSpan w:val="4"/>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2022</w:t>
            </w:r>
          </w:p>
        </w:tc>
        <w:tc>
          <w:tcPr>
            <w:tcW w:w="7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2023</w:t>
            </w:r>
          </w:p>
        </w:tc>
      </w:tr>
      <w:tr>
        <w:trPr>
          <w:trHeight w:val="20" w:hRule="atLeast"/>
        </w:trPr>
        <w:tc>
          <w:tcPr>
            <w:tcW w:w="1690"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Фактичні дані:</w:t>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11,26</w:t>
            </w:r>
          </w:p>
        </w:tc>
        <w:tc>
          <w:tcPr>
            <w:tcW w:w="2108" w:type="dxa"/>
            <w:gridSpan w:val="6"/>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sz w:val="20"/>
                <w:szCs w:val="20"/>
                <w:lang w:eastAsia="uk-UA"/>
              </w:rPr>
            </w:pPr>
            <w:r>
              <w:rPr>
                <w:rFonts w:eastAsia="Times New Roman" w:ascii="Times New Roman" w:hAnsi="Times New Roman"/>
                <w:sz w:val="20"/>
                <w:szCs w:val="20"/>
                <w:lang w:eastAsia="uk-UA"/>
              </w:rPr>
              <w:t>прогноз</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активної</w:t>
            </w:r>
          </w:p>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частини ОФ, %</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73,97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75,97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72,17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71,31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63,63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68,11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74,84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76,68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77,45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78,23</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79,01</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введення, п</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0,109</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0,110</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технічна,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28,10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33,58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38,12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38,50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38,88</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39,27</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Трудомісткість,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1,88</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1,90</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робітників, %</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76,53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83,21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81,27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93,56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91,25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94,24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92,21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91,41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98,04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99,02</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100,01</w:t>
            </w:r>
          </w:p>
        </w:tc>
      </w:tr>
      <w:tr>
        <w:trPr>
          <w:trHeight w:val="20" w:hRule="atLeast"/>
        </w:trPr>
        <w:tc>
          <w:tcPr>
            <w:tcW w:w="1690"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Змодельовані та прогнозні дані фондовіддачі:</w:t>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(3.3)</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r>
              <w:rPr>
                <w:rFonts w:eastAsia="Times New Roman" w:ascii="Times New Roman" w:hAnsi="Times New Roman"/>
                <w:color w:val="000000"/>
                <w:sz w:val="20"/>
                <w:szCs w:val="20"/>
                <w:vertAlign w:val="subscript"/>
                <w:lang w:eastAsia="uk-UA"/>
              </w:rPr>
              <w:t>p2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6,67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7,52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7,36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6,70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5,75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6,03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8,69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7,96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11,06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9,32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9,65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9,73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9,82</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9,90</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(3.4)</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lang w:eastAsia="uk-UA"/>
              </w:rPr>
            </w:pPr>
            <w:r>
              <w:rPr>
                <w:rFonts w:ascii="Times New Roman" w:hAnsi="Times New Roman"/>
                <w:color w:val="000000"/>
                <w:sz w:val="20"/>
              </w:rPr>
              <w:t>Y</w:t>
            </w:r>
            <w:r>
              <w:rPr>
                <w:rFonts w:ascii="Times New Roman" w:hAnsi="Times New Roman"/>
                <w:color w:val="000000"/>
                <w:sz w:val="20"/>
                <w:vertAlign w:val="subscript"/>
              </w:rPr>
              <w:t>p3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6,03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6,37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6,69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3,19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6,44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8,39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9,39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9,52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10,17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10,22</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10,20</w:t>
            </w:r>
          </w:p>
        </w:tc>
      </w:tr>
      <w:tr>
        <w:trPr>
          <w:trHeight w:val="20" w:hRule="atLeast"/>
        </w:trPr>
        <w:tc>
          <w:tcPr>
            <w:tcW w:w="169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(3.5)</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Y</w:t>
            </w:r>
            <w:r>
              <w:rPr>
                <w:rFonts w:ascii="Times New Roman" w:hAnsi="Times New Roman"/>
                <w:color w:val="000000"/>
                <w:sz w:val="20"/>
                <w:vertAlign w:val="subscript"/>
              </w:rPr>
              <w:t>p4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4,64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6,37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5,93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5,87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9,06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8,46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9,24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8,71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8,50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9,97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10,22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10,48</w:t>
            </w:r>
          </w:p>
        </w:tc>
        <w:tc>
          <w:tcPr>
            <w:tcW w:w="777"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rPr>
            </w:pPr>
            <w:r>
              <w:rPr>
                <w:rFonts w:ascii="Times New Roman" w:hAnsi="Times New Roman"/>
                <w:color w:val="000000"/>
                <w:sz w:val="20"/>
              </w:rPr>
              <w:t>10,74</w:t>
            </w:r>
          </w:p>
        </w:tc>
      </w:tr>
    </w:tbl>
    <w:p>
      <w:pPr>
        <w:pStyle w:val="Normal"/>
        <w:spacing w:lineRule="auto" w:line="360"/>
        <w:ind w:firstLine="709"/>
        <w:rPr>
          <w:rFonts w:ascii="Times New Roman" w:hAnsi="Times New Roman" w:eastAsia="Times New Roman"/>
          <w:sz w:val="18"/>
          <w:szCs w:val="28"/>
          <w:lang w:eastAsia="ru-RU"/>
        </w:rPr>
      </w:pPr>
      <w:r>
        <w:rPr>
          <w:rFonts w:eastAsia="Times New Roman" w:ascii="Times New Roman" w:hAnsi="Times New Roman"/>
          <w:sz w:val="18"/>
          <w:szCs w:val="28"/>
          <w:lang w:eastAsia="ru-RU"/>
        </w:rPr>
      </w:r>
    </w:p>
    <w:p>
      <w:pPr>
        <w:pStyle w:val="Normal"/>
        <w:spacing w:lineRule="auto" w:line="360"/>
        <w:jc w:val="center"/>
        <w:rPr>
          <w:rFonts w:ascii="Times New Roman" w:hAnsi="Times New Roman"/>
          <w:color w:val="000000"/>
          <w:sz w:val="28"/>
          <w:szCs w:val="28"/>
        </w:rPr>
      </w:pPr>
      <w:r>
        <w:rPr/>
        <w:drawing>
          <wp:inline distT="0" distB="0" distL="0" distR="0">
            <wp:extent cx="7593965" cy="2332355"/>
            <wp:effectExtent l="0" t="0" r="0" b="0"/>
            <wp:docPr id="28" name="Рисунок 19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192" descr=""/>
                    <pic:cNvPicPr>
                      <a:picLocks noChangeAspect="1" noChangeArrowheads="1"/>
                    </pic:cNvPicPr>
                  </pic:nvPicPr>
                  <pic:blipFill>
                    <a:blip r:embed="rId78"/>
                    <a:stretch>
                      <a:fillRect/>
                    </a:stretch>
                  </pic:blipFill>
                  <pic:spPr bwMode="auto">
                    <a:xfrm>
                      <a:off x="0" y="0"/>
                      <a:ext cx="7593965" cy="2332355"/>
                    </a:xfrm>
                    <a:prstGeom prst="rect">
                      <a:avLst/>
                    </a:prstGeom>
                  </pic:spPr>
                </pic:pic>
              </a:graphicData>
            </a:graphic>
          </wp:inline>
        </w:drawing>
      </w:r>
    </w:p>
    <w:p>
      <w:pPr>
        <w:pStyle w:val="Normal"/>
        <w:spacing w:lineRule="auto" w:line="360"/>
        <w:ind w:firstLine="709"/>
        <w:rPr>
          <w:rFonts w:ascii="Times New Roman" w:hAnsi="Times New Roman"/>
          <w:color w:val="000000"/>
          <w:sz w:val="24"/>
          <w:szCs w:val="28"/>
        </w:rPr>
      </w:pPr>
      <w:r>
        <w:rPr>
          <w:rFonts w:ascii="Times New Roman" w:hAnsi="Times New Roman"/>
          <w:color w:val="000000"/>
          <w:sz w:val="24"/>
          <w:szCs w:val="28"/>
        </w:rPr>
      </w:r>
    </w:p>
    <w:p>
      <w:pPr>
        <w:sectPr>
          <w:headerReference w:type="default" r:id="rId79"/>
          <w:footerReference w:type="default" r:id="rId80"/>
          <w:type w:val="nextPage"/>
          <w:pgSz w:orient="landscape" w:w="16838" w:h="11906"/>
          <w:pgMar w:left="1134" w:right="1134" w:header="708" w:top="765" w:footer="708" w:bottom="1701" w:gutter="0"/>
          <w:pgNumType w:fmt="decimal"/>
          <w:formProt w:val="false"/>
          <w:textDirection w:val="lrTb"/>
          <w:docGrid w:type="default" w:linePitch="360" w:charSpace="0"/>
        </w:sectPr>
        <w:pStyle w:val="Normal"/>
        <w:spacing w:lineRule="auto" w:line="360"/>
        <w:jc w:val="center"/>
        <w:rPr>
          <w:rFonts w:ascii="Times New Roman" w:hAnsi="Times New Roman"/>
          <w:color w:val="000000"/>
          <w:sz w:val="28"/>
          <w:szCs w:val="28"/>
        </w:rPr>
      </w:pPr>
      <w:r>
        <w:rPr>
          <w:rFonts w:ascii="Times New Roman" w:hAnsi="Times New Roman"/>
          <w:sz w:val="28"/>
          <w:szCs w:val="28"/>
        </w:rPr>
        <w:t xml:space="preserve">Рисунок 3.4 – Динаміка фактичних, змодельованих та прогнозних даних фондовіддачі </w:t>
      </w:r>
      <w:r>
        <w:rPr>
          <w:rFonts w:eastAsia="Times New Roman" w:ascii="Times New Roman" w:hAnsi="Times New Roman"/>
          <w:sz w:val="28"/>
          <w:szCs w:val="28"/>
          <w:lang w:eastAsia="ru-RU"/>
        </w:rPr>
        <w:t xml:space="preserve">ТОВ «НЕЙЛ» </w:t>
      </w:r>
      <w:r>
        <w:rPr>
          <w:rFonts w:ascii="Times New Roman" w:hAnsi="Times New Roman"/>
          <w:sz w:val="28"/>
          <w:szCs w:val="28"/>
        </w:rPr>
        <w:t>з 2010 р. по 2023 р. за моделями з (3.3) по (3.5)</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За даними таблиці 3.12 видно, що у майбутньому розмір </w:t>
      </w:r>
      <w:r>
        <w:rPr>
          <w:rFonts w:ascii="Times New Roman" w:hAnsi="Times New Roman"/>
          <w:sz w:val="28"/>
          <w:szCs w:val="28"/>
        </w:rPr>
        <w:t xml:space="preserve">фондовіддачі за усіма трьома однофакторними моделями (3.3), (3.4) та (3.5) буде нижчий за його фактичне значення. Що стосується змодельованих значень рівня фондовіддачі,  то тенденція до зростання буде властива за моделями (3.3) та (3.5). На жаль, рівень фондовіддачі за моделлю (3.4) буде у подальшому скорочуватися. Тому такий результат не варто рекомендувати керівництву </w:t>
      </w:r>
      <w:r>
        <w:rPr>
          <w:rStyle w:val="Style14"/>
          <w:rFonts w:ascii="Times New Roman" w:hAnsi="Times New Roman"/>
          <w:sz w:val="28"/>
          <w:szCs w:val="28"/>
          <w:lang w:eastAsia="ru-RU"/>
        </w:rPr>
        <w:t xml:space="preserve">суб’єкта підприємництва, оскільки </w:t>
      </w:r>
      <w:r>
        <w:rPr>
          <w:rFonts w:ascii="Times New Roman" w:hAnsi="Times New Roman"/>
          <w:sz w:val="28"/>
          <w:szCs w:val="28"/>
        </w:rPr>
        <w:t xml:space="preserve">ефективність використання засобів праці при цьому погіршується. </w:t>
      </w:r>
    </w:p>
    <w:p>
      <w:pPr>
        <w:pStyle w:val="Normal"/>
        <w:spacing w:lineRule="auto" w:line="360"/>
        <w:ind w:firstLine="709"/>
        <w:rPr>
          <w:rStyle w:val="Style14"/>
          <w:rFonts w:ascii="Times New Roman" w:hAnsi="Times New Roman"/>
          <w:sz w:val="28"/>
          <w:szCs w:val="28"/>
          <w:lang w:eastAsia="ru-RU"/>
        </w:rPr>
      </w:pPr>
      <w:r>
        <w:rPr>
          <w:rFonts w:ascii="Times New Roman" w:hAnsi="Times New Roman"/>
          <w:sz w:val="28"/>
          <w:szCs w:val="28"/>
        </w:rPr>
        <w:t xml:space="preserve">Графічне зображення зміни фондовіддачі подано на рисунку 3.4. Воно доводить, що змодельовані значення певним чином наближені до фактичних даних фондовіддачі. Результати прогнозування характеризують стабільний рівень фондовіддачі і стійкість щодо ефективності використання засобів праці </w:t>
      </w:r>
      <w:r>
        <w:rPr>
          <w:rStyle w:val="Style14"/>
          <w:rFonts w:ascii="Times New Roman" w:hAnsi="Times New Roman"/>
          <w:sz w:val="28"/>
          <w:szCs w:val="28"/>
          <w:lang w:eastAsia="ru-RU"/>
        </w:rPr>
        <w:t>суб’єкта підприємництва.</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Зокрема, у 2021 р., якщо збільшити значення факторів на один відсоток (</w:t>
      </w:r>
      <w:r>
        <w:rPr>
          <w:rFonts w:ascii="Times New Roman" w:hAnsi="Times New Roman"/>
          <w:sz w:val="28"/>
          <w:szCs w:val="28"/>
        </w:rPr>
        <w:t>технічна фондоозброєність</w:t>
      </w:r>
      <w:r>
        <w:rPr>
          <w:rFonts w:eastAsia="Times New Roman" w:ascii="Times New Roman" w:hAnsi="Times New Roman"/>
          <w:sz w:val="28"/>
          <w:szCs w:val="28"/>
          <w:lang w:eastAsia="ru-RU"/>
        </w:rPr>
        <w:t xml:space="preserve"> буде становити 38,5 грн, </w:t>
      </w:r>
      <w:r>
        <w:rPr>
          <w:rFonts w:ascii="Times New Roman" w:hAnsi="Times New Roman"/>
          <w:sz w:val="28"/>
          <w:szCs w:val="28"/>
        </w:rPr>
        <w:t xml:space="preserve">трудомісткість </w:t>
      </w:r>
      <w:r>
        <w:rPr>
          <w:rFonts w:eastAsia="Times New Roman" w:ascii="Times New Roman" w:hAnsi="Times New Roman"/>
          <w:sz w:val="28"/>
          <w:szCs w:val="28"/>
          <w:lang w:eastAsia="ru-RU"/>
        </w:rPr>
        <w:t xml:space="preserve">1,86 грн, а </w:t>
      </w:r>
      <w:r>
        <w:rPr>
          <w:rFonts w:ascii="Times New Roman" w:hAnsi="Times New Roman"/>
          <w:sz w:val="28"/>
          <w:szCs w:val="28"/>
        </w:rPr>
        <w:t>питома вага робітників у складі працівників 98,04 %</w:t>
      </w:r>
      <w:r>
        <w:rPr>
          <w:rFonts w:eastAsia="Times New Roman" w:ascii="Times New Roman" w:hAnsi="Times New Roman"/>
          <w:sz w:val="28"/>
          <w:szCs w:val="28"/>
          <w:lang w:eastAsia="ru-RU"/>
        </w:rPr>
        <w:t xml:space="preserve">), то </w:t>
      </w:r>
      <w:r>
        <w:rPr>
          <w:rFonts w:ascii="Times New Roman" w:hAnsi="Times New Roman"/>
          <w:sz w:val="28"/>
          <w:szCs w:val="28"/>
        </w:rPr>
        <w:t xml:space="preserve">рівень фондовіддачі зросте на 0,84 % за моделлю (3.3) та на 2,53 % за моделлю (3.5) проти змодельованого значення у 2020 р. У подальших двох роках темпи зростання дещо збільшяться і фондовіддача у 2022 р. зросте на 1,69 % за моделлю (3.3) та на 5,08 % за моделлю (3.5), а у 2023 р. на 2,54 % та 7,66 % відповідно проти змодельованого її рівня. Хоча і незначне, але скорочення спостерігаємо результати прогнозування за моделлю (3.4): у 2021 р. на 0,18 %, у 2022 р. на 0,36 % та у 2023 р. на 0,54 % щодо змодельованого її рівня. Негативні тенденції, за усіма трьома однофакторними моделями, будуть спостерігатися у найближчих три роки щодо фактичного рівня фондовіддачі за 2020 р. </w:t>
      </w:r>
      <w:r>
        <w:rPr>
          <w:rFonts w:ascii="Times New Roman" w:hAnsi="Times New Roman"/>
          <w:color w:val="000000"/>
          <w:sz w:val="28"/>
          <w:szCs w:val="28"/>
        </w:rPr>
        <w:t>У звітному році вона становила 11,26 грн. За моделями (3.3), (3.4) та (3.5) вона суттєво зменшиться у 2021 р. на 13.57 %, 9,07 % та 9,21 % відповідно. У подальшому темпи скорочення збережуться.</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Отже, за зростання значення відібраних факторів на один відсоток, отримано позитивні результати прогнозування фондовіддачі за моделями з (3.1) по (3.3) та за моделлю (3.5). Ці результати варто довести до менеджерів </w:t>
      </w:r>
      <w:r>
        <w:rPr>
          <w:rFonts w:eastAsia="Times New Roman" w:ascii="Times New Roman" w:hAnsi="Times New Roman"/>
          <w:sz w:val="28"/>
          <w:szCs w:val="28"/>
          <w:lang w:eastAsia="ru-RU"/>
        </w:rPr>
        <w:t xml:space="preserve">ТОВ «НЕЙЛ» адже вони вказують на покращення </w:t>
      </w:r>
      <w:r>
        <w:rPr>
          <w:rFonts w:ascii="Times New Roman" w:hAnsi="Times New Roman"/>
          <w:sz w:val="28"/>
          <w:szCs w:val="28"/>
        </w:rPr>
        <w:t xml:space="preserve">ефективності використання засобів праці </w:t>
      </w:r>
      <w:r>
        <w:rPr>
          <w:rStyle w:val="Style14"/>
          <w:rFonts w:ascii="Times New Roman" w:hAnsi="Times New Roman"/>
          <w:sz w:val="28"/>
          <w:szCs w:val="28"/>
          <w:lang w:eastAsia="ru-RU"/>
        </w:rPr>
        <w:t>суб’єкта підприємництва.</w:t>
      </w:r>
      <w:r>
        <w:rPr>
          <w:rFonts w:ascii="Times New Roman" w:hAnsi="Times New Roman"/>
          <w:sz w:val="28"/>
          <w:szCs w:val="28"/>
        </w:rPr>
        <w:t xml:space="preserve"> </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t>3.2 Прогнозування фондовіддачі за трендовими моделями</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Будь-яка діяльність чи то процес не знаходяться на місці, а динамічно розвиваються. Це ж можна сказати і щодо показника, який характеризує процес </w:t>
      </w:r>
      <w:r>
        <w:rPr>
          <w:rFonts w:ascii="Times New Roman" w:hAnsi="Times New Roman"/>
          <w:sz w:val="28"/>
          <w:szCs w:val="28"/>
        </w:rPr>
        <w:t xml:space="preserve">ефективності використання засобів праці. Як було показано у попередньому розділі роботи, рівень фондовіддачі змінюється з часом. </w:t>
      </w:r>
      <w:r>
        <w:rPr>
          <w:rFonts w:eastAsia="Times New Roman" w:ascii="Times New Roman" w:hAnsi="Times New Roman"/>
          <w:sz w:val="28"/>
          <w:szCs w:val="28"/>
          <w:lang w:eastAsia="ru-RU"/>
        </w:rPr>
        <w:t>Тому, варто визначити вплив часового фактору на його зміну (</w:t>
      </w:r>
      <w:r>
        <w:rPr>
          <w:rFonts w:eastAsia="Times New Roman" w:ascii="Times New Roman" w:hAnsi="Times New Roman"/>
          <w:sz w:val="28"/>
          <w:szCs w:val="28"/>
          <w:lang w:val="en-US" w:eastAsia="ru-RU"/>
        </w:rPr>
        <w:t>Y</w:t>
      </w:r>
      <w:r>
        <w:rPr>
          <w:rFonts w:eastAsia="Times New Roman" w:ascii="Times New Roman" w:hAnsi="Times New Roman"/>
          <w:sz w:val="28"/>
          <w:szCs w:val="28"/>
          <w:vertAlign w:val="subscript"/>
          <w:lang w:val="en-US" w:eastAsia="ru-RU"/>
        </w:rPr>
        <w:t>t</w:t>
      </w:r>
      <w:r>
        <w:rPr>
          <w:rFonts w:eastAsia="Times New Roman" w:ascii="Times New Roman" w:hAnsi="Times New Roman"/>
          <w:sz w:val="28"/>
          <w:szCs w:val="28"/>
          <w:lang w:eastAsia="ru-RU"/>
        </w:rPr>
        <w:t xml:space="preserve">). Застосувавши функцію «ЛИНЕЙН» визначено параметри та основні характеристики результативного показника. Побудовано трендову модель зміни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за поліноміальною залежністю:</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Y</m:t>
            </m:r>
          </m:e>
          <m:sub>
            <m:r>
              <w:rPr>
                <w:rFonts w:ascii="Cambria Math" w:hAnsi="Cambria Math"/>
              </w:rPr>
              <m:t xml:space="preserve">t</m:t>
            </m:r>
          </m:sub>
        </m:sSub>
        <m:r>
          <w:rPr>
            <w:rFonts w:ascii="Cambria Math" w:hAnsi="Cambria Math"/>
          </w:rPr>
          <m:t xml:space="preserve">=</m:t>
        </m:r>
        <m:r>
          <w:rPr>
            <w:rFonts w:ascii="Cambria Math" w:hAnsi="Cambria Math"/>
          </w:rPr>
          <m:t xml:space="preserve">5,94</m:t>
        </m:r>
        <m:r>
          <w:rPr>
            <w:rFonts w:ascii="Cambria Math" w:hAnsi="Cambria Math"/>
          </w:rPr>
          <m:t xml:space="preserve">−</m:t>
        </m:r>
        <m:r>
          <w:rPr>
            <w:rFonts w:ascii="Cambria Math" w:hAnsi="Cambria Math"/>
          </w:rPr>
          <m:t xml:space="preserve">0,24</m:t>
        </m:r>
        <m:r>
          <w:rPr>
            <w:rFonts w:ascii="Cambria Math" w:hAnsi="Cambria Math"/>
          </w:rPr>
          <m:t xml:space="preserve">t</m:t>
        </m:r>
        <m:r>
          <w:rPr>
            <w:rFonts w:ascii="Cambria Math" w:hAnsi="Cambria Math"/>
          </w:rPr>
          <m:t xml:space="preserve">+</m:t>
        </m:r>
        <m:r>
          <w:rPr>
            <w:rFonts w:ascii="Cambria Math" w:hAnsi="Cambria Math"/>
          </w:rPr>
          <m:t xml:space="preserve">0,07</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(3.6)</w:t>
      </w:r>
    </w:p>
    <w:p>
      <w:pPr>
        <w:pStyle w:val="Normal"/>
        <w:spacing w:lineRule="auto" w:line="36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У цій моделі (3.6) значення коефіцієнта детермінації становить 0,8149 та означає, що на 81,49 % часовий фактор чинить вплив на зміну </w:t>
      </w:r>
      <w:r>
        <w:rPr>
          <w:rFonts w:ascii="Times New Roman" w:hAnsi="Times New Roman"/>
          <w:sz w:val="28"/>
          <w:szCs w:val="28"/>
        </w:rPr>
        <w:t xml:space="preserve">показника ефективності використання засобів праці </w:t>
      </w:r>
      <w:r>
        <w:rPr>
          <w:rStyle w:val="Style14"/>
          <w:rFonts w:ascii="Times New Roman" w:hAnsi="Times New Roman"/>
          <w:sz w:val="28"/>
          <w:szCs w:val="28"/>
          <w:lang w:eastAsia="ru-RU"/>
        </w:rPr>
        <w:t>суб’єкта підприємництва</w:t>
      </w:r>
      <w:r>
        <w:rPr>
          <w:rFonts w:ascii="Times New Roman" w:hAnsi="Times New Roman"/>
          <w:sz w:val="28"/>
          <w:szCs w:val="28"/>
        </w:rPr>
        <w:t xml:space="preserve">. Він показує достатньо високий вплив часового фактору на зміну фондовіддачі. Побудована модель (3.6) є адекватною як за високого значення коефіцієнта детермінації (перевищує 0,75) так і за критерієм Фішера (розрахункове значення 17,61 перевищує його табличне значення 4,46). </w:t>
      </w:r>
    </w:p>
    <w:p>
      <w:pPr>
        <w:pStyle w:val="Normal"/>
        <w:spacing w:lineRule="auto" w:line="360"/>
        <w:ind w:firstLine="709"/>
        <w:rPr>
          <w:rFonts w:ascii="Times New Roman" w:hAnsi="Times New Roman"/>
          <w:sz w:val="28"/>
          <w:szCs w:val="28"/>
        </w:rPr>
      </w:pPr>
      <w:r>
        <w:rPr>
          <w:rFonts w:ascii="Times New Roman" w:hAnsi="Times New Roman"/>
          <w:sz w:val="28"/>
          <w:szCs w:val="28"/>
        </w:rPr>
        <w:t>Достовірність параметрів трендової залежності зміни фондовіддачі (3.6) оцінено за критерієм Стьюдента. За цим критерієм достовірним є лише початковий критерій (а</w:t>
      </w:r>
      <w:r>
        <w:rPr>
          <w:rFonts w:ascii="Times New Roman" w:hAnsi="Times New Roman"/>
          <w:sz w:val="28"/>
          <w:szCs w:val="28"/>
          <w:vertAlign w:val="subscript"/>
        </w:rPr>
        <w:t>0</w:t>
      </w:r>
      <w:r>
        <w:rPr>
          <w:rFonts w:ascii="Times New Roman" w:hAnsi="Times New Roman"/>
          <w:sz w:val="28"/>
          <w:szCs w:val="28"/>
        </w:rPr>
        <w:t>), оскільки його розрахункове значення 4,54 вище за його табличне значення 2,31.</w:t>
      </w:r>
    </w:p>
    <w:p>
      <w:pPr>
        <w:pStyle w:val="Normal"/>
        <w:spacing w:lineRule="auto" w:line="360"/>
        <w:ind w:firstLine="709"/>
        <w:rPr>
          <w:rFonts w:ascii="Times New Roman" w:hAnsi="Times New Roman"/>
          <w:sz w:val="28"/>
          <w:szCs w:val="28"/>
        </w:rPr>
      </w:pPr>
      <w:r>
        <w:rPr>
          <w:rFonts w:ascii="Times New Roman" w:hAnsi="Times New Roman"/>
          <w:sz w:val="28"/>
          <w:szCs w:val="28"/>
        </w:rPr>
        <w:t>Значення параметра (а</w:t>
      </w:r>
      <w:r>
        <w:rPr>
          <w:rFonts w:ascii="Times New Roman" w:hAnsi="Times New Roman"/>
          <w:sz w:val="28"/>
          <w:szCs w:val="28"/>
          <w:vertAlign w:val="subscript"/>
        </w:rPr>
        <w:t>0</w:t>
      </w:r>
      <w:r>
        <w:rPr>
          <w:rFonts w:ascii="Times New Roman" w:hAnsi="Times New Roman"/>
          <w:sz w:val="28"/>
          <w:szCs w:val="28"/>
        </w:rPr>
        <w:t>) показує початкову межу, у якій побудована модель. Зі зростанням часового фактору – з кожним роком – фондовіддача буде зростати на 0,07 грн.</w:t>
      </w:r>
    </w:p>
    <w:p>
      <w:pPr>
        <w:pStyle w:val="Normal"/>
        <w:spacing w:lineRule="auto" w:line="360"/>
        <w:ind w:firstLine="709"/>
        <w:rPr>
          <w:rFonts w:ascii="Times New Roman" w:hAnsi="Times New Roman"/>
          <w:sz w:val="28"/>
          <w:szCs w:val="28"/>
        </w:rPr>
      </w:pPr>
      <w:r>
        <w:rPr>
          <w:rFonts w:ascii="Times New Roman" w:hAnsi="Times New Roman"/>
          <w:sz w:val="28"/>
          <w:szCs w:val="28"/>
        </w:rPr>
        <w:t>Вище було доведено, що трендова модель (3.6) є адекватною. Отже, за нею варто здійснювати прогнозування рівня фондовіддачі. Результати прогнозування показника ефективності використання основних фондів узагальнено у таблиці 3.10.</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Наочне зображення динаміки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ТОВ «НЕЙЛ»</w:t>
      </w:r>
      <w:r>
        <w:rPr>
          <w:rFonts w:ascii="Times New Roman" w:hAnsi="Times New Roman"/>
          <w:sz w:val="28"/>
          <w:szCs w:val="28"/>
        </w:rPr>
        <w:t xml:space="preserve"> </w:t>
      </w:r>
      <w:r>
        <w:rPr>
          <w:rFonts w:eastAsia="Times New Roman" w:ascii="Times New Roman" w:hAnsi="Times New Roman"/>
          <w:sz w:val="28"/>
          <w:szCs w:val="28"/>
          <w:lang w:eastAsia="ru-RU"/>
        </w:rPr>
        <w:t>за моделлю (3.6), представлено за допомогою графіка, який подано на рисунку 3.5.</w:t>
      </w:r>
    </w:p>
    <w:p>
      <w:pPr>
        <w:pStyle w:val="Normal"/>
        <w:spacing w:lineRule="auto" w:line="360"/>
        <w:jc w:val="center"/>
        <w:rPr>
          <w:rFonts w:ascii="Times New Roman" w:hAnsi="Times New Roman" w:eastAsia="Times New Roman"/>
          <w:sz w:val="28"/>
          <w:szCs w:val="28"/>
          <w:highlight w:val="yellow"/>
          <w:lang w:eastAsia="ru-RU"/>
        </w:rPr>
      </w:pPr>
      <w:r>
        <w:rPr>
          <w:rFonts w:eastAsia="Times New Roman" w:ascii="Times New Roman" w:hAnsi="Times New Roman"/>
          <w:sz w:val="28"/>
          <w:szCs w:val="28"/>
          <w:highlight w:val="yellow"/>
          <w:lang w:eastAsia="ru-RU"/>
        </w:rPr>
      </w:r>
    </w:p>
    <w:p>
      <w:pPr>
        <w:pStyle w:val="Normal"/>
        <w:spacing w:lineRule="auto" w:line="360"/>
        <w:jc w:val="center"/>
        <w:rPr>
          <w:rFonts w:ascii="Times New Roman" w:hAnsi="Times New Roman" w:eastAsia="Times New Roman"/>
          <w:sz w:val="28"/>
          <w:szCs w:val="28"/>
          <w:highlight w:val="yellow"/>
          <w:lang w:eastAsia="ru-RU"/>
        </w:rPr>
      </w:pPr>
      <w:r>
        <w:rPr/>
        <w:drawing>
          <wp:inline distT="0" distB="0" distL="0" distR="0">
            <wp:extent cx="6120130" cy="2204720"/>
            <wp:effectExtent l="0" t="0" r="0" b="0"/>
            <wp:docPr id="29" name="Рисунок 19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193" descr=""/>
                    <pic:cNvPicPr>
                      <a:picLocks noChangeAspect="1" noChangeArrowheads="1"/>
                    </pic:cNvPicPr>
                  </pic:nvPicPr>
                  <pic:blipFill>
                    <a:blip r:embed="rId81"/>
                    <a:stretch>
                      <a:fillRect/>
                    </a:stretch>
                  </pic:blipFill>
                  <pic:spPr bwMode="auto">
                    <a:xfrm>
                      <a:off x="0" y="0"/>
                      <a:ext cx="6120130" cy="2204720"/>
                    </a:xfrm>
                    <a:prstGeom prst="rect">
                      <a:avLst/>
                    </a:prstGeom>
                  </pic:spPr>
                </pic:pic>
              </a:graphicData>
            </a:graphic>
          </wp:inline>
        </w:drawing>
      </w:r>
    </w:p>
    <w:p>
      <w:pPr>
        <w:pStyle w:val="Normal"/>
        <w:spacing w:lineRule="auto" w:line="36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Рисунок 3.5 – Динаміка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за моделлю (3.6)</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На рисунку 3.5 зображена загальна тенденція зміни </w:t>
      </w:r>
      <w:r>
        <w:rPr>
          <w:rFonts w:ascii="Times New Roman" w:hAnsi="Times New Roman"/>
          <w:sz w:val="28"/>
          <w:szCs w:val="28"/>
        </w:rPr>
        <w:t>фондовіддачі за різними моделями: лінійною, степеневою, логарифмічною та поліноміальною. Найбільш точно описує зазначену залежність поліноміальна. На підтвердження цього також слугує вище значення коефіцієнта детермінації, порівняно з іншими моделями.</w:t>
      </w:r>
      <w:r>
        <w:rPr>
          <w:rFonts w:eastAsia="Times New Roman" w:ascii="Times New Roman" w:hAnsi="Times New Roman"/>
          <w:sz w:val="28"/>
          <w:szCs w:val="28"/>
          <w:lang w:eastAsia="ru-RU"/>
        </w:rPr>
        <w:t xml:space="preserve"> </w:t>
      </w:r>
    </w:p>
    <w:p>
      <w:pPr>
        <w:sectPr>
          <w:headerReference w:type="default" r:id="rId82"/>
          <w:footerReference w:type="default" r:id="rId83"/>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Одночасно, як видно з даних таблиці 3.10 та за рисунком 3.5 розрахункові значення достатньо наближені до фактичних значень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 xml:space="preserve">ТОВ «НЕЙЛ». Змодельовані значення показують процес поступового згладжування коливань показника </w:t>
      </w:r>
      <w:r>
        <w:rPr>
          <w:rFonts w:ascii="Times New Roman" w:hAnsi="Times New Roman"/>
          <w:sz w:val="28"/>
          <w:szCs w:val="28"/>
        </w:rPr>
        <w:t>ефективності використання основних фондів.</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color w:val="000000"/>
          <w:sz w:val="28"/>
          <w:szCs w:val="28"/>
        </w:rPr>
        <w:t xml:space="preserve">Таблиця 3.10 – Фактичні, змодельовані та прогнозні дані </w:t>
      </w:r>
      <w:r>
        <w:rPr>
          <w:rFonts w:ascii="Times New Roman" w:hAnsi="Times New Roman"/>
          <w:sz w:val="28"/>
          <w:szCs w:val="28"/>
        </w:rPr>
        <w:t xml:space="preserve">фондовіддачі </w:t>
      </w:r>
      <w:r>
        <w:rPr>
          <w:rFonts w:ascii="Times New Roman" w:hAnsi="Times New Roman"/>
          <w:color w:val="000000"/>
          <w:sz w:val="28"/>
          <w:szCs w:val="28"/>
        </w:rPr>
        <w:t>за моделлю (3.6)</w:t>
      </w:r>
    </w:p>
    <w:tbl>
      <w:tblPr>
        <w:tblW w:w="14563" w:type="dxa"/>
        <w:jc w:val="left"/>
        <w:tblInd w:w="0" w:type="dxa"/>
        <w:tblCellMar>
          <w:top w:w="0" w:type="dxa"/>
          <w:left w:w="108" w:type="dxa"/>
          <w:bottom w:w="0" w:type="dxa"/>
          <w:right w:w="108" w:type="dxa"/>
        </w:tblCellMar>
        <w:tblLook w:firstRow="1" w:noVBand="1" w:lastRow="0" w:firstColumn="1" w:lastColumn="0" w:noHBand="0" w:val="04a0"/>
      </w:tblPr>
      <w:tblGrid>
        <w:gridCol w:w="3800"/>
        <w:gridCol w:w="714"/>
        <w:gridCol w:w="696"/>
        <w:gridCol w:w="696"/>
        <w:gridCol w:w="696"/>
        <w:gridCol w:w="696"/>
        <w:gridCol w:w="697"/>
        <w:gridCol w:w="696"/>
        <w:gridCol w:w="696"/>
        <w:gridCol w:w="696"/>
        <w:gridCol w:w="696"/>
        <w:gridCol w:w="756"/>
        <w:gridCol w:w="756"/>
        <w:gridCol w:w="755"/>
        <w:gridCol w:w="756"/>
        <w:gridCol w:w="757"/>
      </w:tblGrid>
      <w:tr>
        <w:trPr>
          <w:trHeight w:val="1157" w:hRule="atLeast"/>
        </w:trPr>
        <w:tc>
          <w:tcPr>
            <w:tcW w:w="3800"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Показники</w:t>
            </w:r>
          </w:p>
        </w:tc>
        <w:tc>
          <w:tcPr>
            <w:tcW w:w="7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 xml:space="preserve">Роки </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2010</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2011</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2013</w:t>
            </w:r>
          </w:p>
        </w:tc>
        <w:tc>
          <w:tcPr>
            <w:tcW w:w="6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2014</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2017</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2018</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2019</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2020</w:t>
            </w:r>
          </w:p>
        </w:tc>
        <w:tc>
          <w:tcPr>
            <w:tcW w:w="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2021</w:t>
            </w:r>
          </w:p>
        </w:tc>
        <w:tc>
          <w:tcPr>
            <w:tcW w:w="7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2022</w:t>
            </w:r>
          </w:p>
        </w:tc>
        <w:tc>
          <w:tcPr>
            <w:tcW w:w="75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2023</w:t>
            </w:r>
          </w:p>
        </w:tc>
      </w:tr>
      <w:tr>
        <w:trPr>
          <w:trHeight w:val="1157" w:hRule="atLeast"/>
        </w:trPr>
        <w:tc>
          <w:tcPr>
            <w:tcW w:w="3800"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Часовий фактор</w:t>
            </w:r>
          </w:p>
        </w:tc>
        <w:tc>
          <w:tcPr>
            <w:tcW w:w="7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w:t>
            </w:r>
          </w:p>
        </w:tc>
        <w:tc>
          <w:tcPr>
            <w:tcW w:w="6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7</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10</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11</w:t>
            </w:r>
          </w:p>
        </w:tc>
        <w:tc>
          <w:tcPr>
            <w:tcW w:w="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12</w:t>
            </w:r>
          </w:p>
        </w:tc>
        <w:tc>
          <w:tcPr>
            <w:tcW w:w="7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13</w:t>
            </w:r>
          </w:p>
        </w:tc>
        <w:tc>
          <w:tcPr>
            <w:tcW w:w="75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w:t>
            </w:r>
          </w:p>
        </w:tc>
      </w:tr>
      <w:tr>
        <w:trPr>
          <w:trHeight w:val="1157" w:hRule="atLeast"/>
        </w:trPr>
        <w:tc>
          <w:tcPr>
            <w:tcW w:w="3800" w:type="dxa"/>
            <w:vMerge w:val="continue"/>
            <w:tcBorders>
              <w:top w:val="single" w:sz="4" w:space="0" w:color="000000"/>
              <w:left w:val="single" w:sz="4" w:space="0" w:color="000000"/>
              <w:bottom w:val="single" w:sz="4" w:space="0" w:color="000000"/>
              <w:right w:val="single" w:sz="4" w:space="0" w:color="000000"/>
            </w:tcBorders>
            <w:shd w:fill="auto" w:val="clear"/>
          </w:tcPr>
          <w:p>
            <w:pPr>
              <w:pStyle w:val="Normal"/>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r>
          </w:p>
        </w:tc>
        <w:tc>
          <w:tcPr>
            <w:tcW w:w="7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t</w:t>
            </w:r>
            <w:r>
              <w:rPr>
                <w:rFonts w:eastAsia="Times New Roman" w:ascii="Times New Roman" w:hAnsi="Times New Roman"/>
                <w:color w:val="000000"/>
                <w:sz w:val="24"/>
                <w:szCs w:val="24"/>
                <w:vertAlign w:val="superscript"/>
                <w:lang w:eastAsia="uk-UA"/>
              </w:rPr>
              <w:t>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9</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16</w:t>
            </w:r>
          </w:p>
        </w:tc>
        <w:tc>
          <w:tcPr>
            <w:tcW w:w="6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25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36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49</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64</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81</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100</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121</w:t>
            </w:r>
          </w:p>
        </w:tc>
        <w:tc>
          <w:tcPr>
            <w:tcW w:w="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144</w:t>
            </w:r>
          </w:p>
        </w:tc>
        <w:tc>
          <w:tcPr>
            <w:tcW w:w="7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169</w:t>
            </w:r>
          </w:p>
        </w:tc>
        <w:tc>
          <w:tcPr>
            <w:tcW w:w="75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196</w:t>
            </w:r>
          </w:p>
        </w:tc>
      </w:tr>
      <w:tr>
        <w:trPr>
          <w:trHeight w:val="1157" w:hRule="atLeast"/>
        </w:trPr>
        <w:tc>
          <w:tcPr>
            <w:tcW w:w="380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Фактичне значення фондовіддачі</w:t>
            </w:r>
          </w:p>
        </w:tc>
        <w:tc>
          <w:tcPr>
            <w:tcW w:w="7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Y</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rPr>
              <w:t>6,61</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5,67</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5,99</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4,07</w:t>
            </w:r>
          </w:p>
        </w:tc>
        <w:tc>
          <w:tcPr>
            <w:tcW w:w="6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5,62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8,93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7,94</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9,58</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9,45</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11,59</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11,26</w:t>
            </w:r>
          </w:p>
        </w:tc>
        <w:tc>
          <w:tcPr>
            <w:tcW w:w="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7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c>
          <w:tcPr>
            <w:tcW w:w="75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w:t>
            </w:r>
          </w:p>
        </w:tc>
      </w:tr>
      <w:tr>
        <w:trPr>
          <w:trHeight w:val="1157" w:hRule="atLeast"/>
        </w:trPr>
        <w:tc>
          <w:tcPr>
            <w:tcW w:w="380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Змодельоване та прогнозне значення фондовіддачі</w:t>
            </w:r>
          </w:p>
        </w:tc>
        <w:tc>
          <w:tcPr>
            <w:tcW w:w="7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4"/>
                <w:szCs w:val="24"/>
                <w:lang w:eastAsia="uk-UA"/>
              </w:rPr>
            </w:pPr>
            <w:r>
              <w:rPr>
                <w:rFonts w:eastAsia="Times New Roman" w:ascii="Times New Roman" w:hAnsi="Times New Roman"/>
                <w:color w:val="000000"/>
                <w:sz w:val="24"/>
                <w:szCs w:val="24"/>
                <w:lang w:eastAsia="uk-UA"/>
              </w:rPr>
              <w:t>Y</w:t>
            </w:r>
            <w:r>
              <w:rPr>
                <w:rFonts w:eastAsia="Times New Roman" w:ascii="Times New Roman" w:hAnsi="Times New Roman"/>
                <w:color w:val="000000"/>
                <w:sz w:val="24"/>
                <w:szCs w:val="24"/>
                <w:vertAlign w:val="subscript"/>
                <w:lang w:eastAsia="uk-UA"/>
              </w:rPr>
              <w:t>t</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lang w:eastAsia="uk-UA"/>
              </w:rPr>
            </w:pPr>
            <w:r>
              <w:rPr>
                <w:rFonts w:ascii="Times New Roman" w:hAnsi="Times New Roman"/>
                <w:color w:val="000000"/>
                <w:sz w:val="24"/>
                <w:szCs w:val="24"/>
              </w:rPr>
              <w:t>5,77</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5,75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5,88</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6,16</w:t>
            </w:r>
          </w:p>
        </w:tc>
        <w:tc>
          <w:tcPr>
            <w:tcW w:w="69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6,58</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7,15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7,86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8,73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9,74</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10,89</w:t>
            </w:r>
          </w:p>
        </w:tc>
        <w:tc>
          <w:tcPr>
            <w:tcW w:w="75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12,20</w:t>
            </w:r>
          </w:p>
        </w:tc>
        <w:tc>
          <w:tcPr>
            <w:tcW w:w="75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13,65</w:t>
            </w:r>
          </w:p>
        </w:tc>
        <w:tc>
          <w:tcPr>
            <w:tcW w:w="75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15,25</w:t>
            </w:r>
          </w:p>
        </w:tc>
        <w:tc>
          <w:tcPr>
            <w:tcW w:w="75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4"/>
                <w:szCs w:val="24"/>
              </w:rPr>
            </w:pPr>
            <w:r>
              <w:rPr>
                <w:rFonts w:ascii="Times New Roman" w:hAnsi="Times New Roman"/>
                <w:color w:val="000000"/>
                <w:sz w:val="24"/>
                <w:szCs w:val="24"/>
              </w:rPr>
              <w:t>16,99</w:t>
            </w:r>
          </w:p>
        </w:tc>
      </w:tr>
    </w:tbl>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sectPr>
          <w:headerReference w:type="default" r:id="rId84"/>
          <w:footerReference w:type="default" r:id="rId85"/>
          <w:type w:val="nextPage"/>
          <w:pgSz w:orient="landscape" w:w="16838" w:h="11906"/>
          <w:pgMar w:left="1134" w:right="1134" w:header="708" w:top="765" w:footer="708" w:bottom="1701" w:gutter="0"/>
          <w:pgNumType w:fmt="decimal"/>
          <w:formProt w:val="false"/>
          <w:textDirection w:val="lrTb"/>
          <w:docGrid w:type="default" w:linePitch="360" w:charSpace="0"/>
        </w:sect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Результати прогнозування засвідчують подальше стабільне зростання </w:t>
      </w:r>
      <w:r>
        <w:rPr>
          <w:rFonts w:ascii="Times New Roman" w:hAnsi="Times New Roman"/>
          <w:sz w:val="28"/>
          <w:szCs w:val="28"/>
        </w:rPr>
        <w:t>фондовіддачі</w:t>
      </w:r>
      <w:r>
        <w:rPr>
          <w:rFonts w:eastAsia="Times New Roman" w:ascii="Times New Roman" w:hAnsi="Times New Roman"/>
          <w:sz w:val="28"/>
          <w:szCs w:val="28"/>
          <w:lang w:eastAsia="ru-RU"/>
        </w:rPr>
        <w:t xml:space="preserve">, як щодо її фактичного так і розрахункового значення. Зокрема, за результатами трендового прогнозування стрімко зростає результативний показник щодо фактичного рівня </w:t>
      </w:r>
      <w:r>
        <w:rPr>
          <w:rFonts w:ascii="Times New Roman" w:hAnsi="Times New Roman"/>
          <w:sz w:val="28"/>
          <w:szCs w:val="28"/>
        </w:rPr>
        <w:t>фондовіддачі у звітному 2020 р. (11,26 грн)</w:t>
      </w:r>
      <w:r>
        <w:rPr>
          <w:rFonts w:eastAsia="Times New Roman" w:ascii="Times New Roman" w:hAnsi="Times New Roman"/>
          <w:sz w:val="28"/>
          <w:szCs w:val="28"/>
          <w:lang w:eastAsia="ru-RU"/>
        </w:rPr>
        <w:t xml:space="preserve">: у 2021 р. – на 21,19 %, у 2022 р. – на 35,38 % та у 2023 р. – на 50,87 %. Дещо уповільнились темпи приросту </w:t>
      </w:r>
      <w:r>
        <w:rPr>
          <w:rFonts w:ascii="Times New Roman" w:hAnsi="Times New Roman"/>
          <w:sz w:val="28"/>
          <w:szCs w:val="28"/>
        </w:rPr>
        <w:t xml:space="preserve">фондовіддачі щодо змодельованих даних. А саме вона збільшилась; </w:t>
      </w:r>
      <w:r>
        <w:rPr>
          <w:rFonts w:eastAsia="Times New Roman" w:ascii="Times New Roman" w:hAnsi="Times New Roman"/>
          <w:sz w:val="28"/>
          <w:szCs w:val="28"/>
          <w:lang w:eastAsia="ru-RU"/>
        </w:rPr>
        <w:t>у 2021 р. – на 11,89 %, у 2022 р. – на 11,71 % та у 2023 р. – на 11,44 % порівняно з попереднім роком.</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Одночасно досліджено вплив часового фактору на основних п’ять чинників, що впливають на зміну </w:t>
      </w:r>
      <w:r>
        <w:rPr>
          <w:rFonts w:ascii="Times New Roman" w:hAnsi="Times New Roman"/>
          <w:sz w:val="28"/>
          <w:szCs w:val="28"/>
        </w:rPr>
        <w:t>фондовіддачі. Побудовано моделі впливу часового фактору на зміну:</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t>1) питомої ваги активної частини основних фондів:</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ind w:firstLine="709"/>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А</m:t>
            </m:r>
          </m:e>
          <m:sub>
            <m:r>
              <w:rPr>
                <w:rFonts w:ascii="Cambria Math" w:hAnsi="Cambria Math"/>
              </w:rPr>
              <m:t xml:space="preserve">t</m:t>
            </m:r>
          </m:sub>
        </m:sSub>
        <m:r>
          <w:rPr>
            <w:rFonts w:ascii="Cambria Math" w:hAnsi="Cambria Math"/>
          </w:rPr>
          <m:t xml:space="preserve">=</m:t>
        </m:r>
        <m:r>
          <w:rPr>
            <w:rFonts w:ascii="Cambria Math" w:hAnsi="Cambria Math"/>
          </w:rPr>
          <m:t xml:space="preserve">81,76</m:t>
        </m:r>
        <m:r>
          <w:rPr>
            <w:rFonts w:ascii="Cambria Math" w:hAnsi="Cambria Math"/>
          </w:rPr>
          <m:t xml:space="preserve">−</m:t>
        </m:r>
        <m:r>
          <w:rPr>
            <w:rFonts w:ascii="Cambria Math" w:hAnsi="Cambria Math"/>
          </w:rPr>
          <m:t xml:space="preserve">5,38</m:t>
        </m:r>
        <m:r>
          <w:rPr>
            <w:rFonts w:ascii="Cambria Math" w:hAnsi="Cambria Math"/>
          </w:rPr>
          <m:t xml:space="preserve">t</m:t>
        </m:r>
        <m:r>
          <w:rPr>
            <w:rFonts w:ascii="Cambria Math" w:hAnsi="Cambria Math"/>
          </w:rPr>
          <m:t xml:space="preserve">+</m:t>
        </m:r>
        <m:r>
          <w:rPr>
            <w:rFonts w:ascii="Cambria Math" w:hAnsi="Cambria Math"/>
          </w:rPr>
          <m:t xml:space="preserve">0,46</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(3.7)</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709" w:hanging="0"/>
        <w:rPr>
          <w:rFonts w:ascii="Times New Roman" w:hAnsi="Times New Roman"/>
          <w:sz w:val="28"/>
          <w:szCs w:val="28"/>
        </w:rPr>
      </w:pPr>
      <w:r>
        <w:rPr>
          <w:rFonts w:ascii="Times New Roman" w:hAnsi="Times New Roman"/>
          <w:sz w:val="28"/>
          <w:szCs w:val="28"/>
        </w:rPr>
        <w:t>2) коефіцієнта введення основних фондів:</w:t>
      </w:r>
    </w:p>
    <w:p>
      <w:pPr>
        <w:pStyle w:val="ListParagraph"/>
        <w:spacing w:lineRule="auto" w:line="360"/>
        <w:ind w:left="709" w:hanging="0"/>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V</m:t>
            </m:r>
          </m:e>
          <m:sub>
            <m:r>
              <w:rPr>
                <w:rFonts w:ascii="Cambria Math" w:hAnsi="Cambria Math"/>
              </w:rPr>
              <m:t xml:space="preserve">t</m:t>
            </m:r>
          </m:sub>
        </m:sSub>
        <m:r>
          <w:rPr>
            <w:rFonts w:ascii="Cambria Math" w:hAnsi="Cambria Math"/>
          </w:rPr>
          <m:t xml:space="preserve">=</m:t>
        </m:r>
        <m:r>
          <w:rPr>
            <w:rFonts w:ascii="Cambria Math" w:hAnsi="Cambria Math"/>
          </w:rPr>
          <m:t xml:space="preserve">−</m:t>
        </m:r>
        <m:r>
          <w:rPr>
            <w:rFonts w:ascii="Cambria Math" w:hAnsi="Cambria Math"/>
          </w:rPr>
          <m:t xml:space="preserve">0,01</m:t>
        </m:r>
        <m:r>
          <w:rPr>
            <w:rFonts w:ascii="Cambria Math" w:hAnsi="Cambria Math"/>
          </w:rPr>
          <m:t xml:space="preserve">+</m:t>
        </m:r>
        <m:r>
          <w:rPr>
            <w:rFonts w:ascii="Cambria Math" w:hAnsi="Cambria Math"/>
          </w:rPr>
          <m:t xml:space="preserve">0,03</m:t>
        </m:r>
        <m:r>
          <w:rPr>
            <w:rFonts w:ascii="Cambria Math" w:hAnsi="Cambria Math"/>
          </w:rPr>
          <m:t xml:space="preserve">t</m:t>
        </m:r>
        <m:r>
          <w:rPr>
            <w:rFonts w:ascii="Cambria Math" w:hAnsi="Cambria Math"/>
          </w:rPr>
          <m:t xml:space="preserve">−</m:t>
        </m:r>
        <m:r>
          <w:rPr>
            <w:rFonts w:ascii="Cambria Math" w:hAnsi="Cambria Math"/>
          </w:rPr>
          <m:t xml:space="preserve">0,002</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(3.8)</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709" w:hanging="0"/>
        <w:rPr>
          <w:rFonts w:ascii="Times New Roman" w:hAnsi="Times New Roman"/>
          <w:sz w:val="28"/>
          <w:szCs w:val="28"/>
        </w:rPr>
      </w:pPr>
      <w:r>
        <w:rPr>
          <w:rFonts w:eastAsia="Times New Roman" w:ascii="Times New Roman" w:hAnsi="Times New Roman"/>
          <w:sz w:val="28"/>
          <w:szCs w:val="28"/>
          <w:lang w:eastAsia="ru-RU"/>
        </w:rPr>
        <w:t xml:space="preserve">3) </w:t>
      </w:r>
      <w:r>
        <w:rPr>
          <w:rFonts w:ascii="Times New Roman" w:hAnsi="Times New Roman"/>
          <w:sz w:val="28"/>
          <w:szCs w:val="28"/>
        </w:rPr>
        <w:t>технічної фондоозброєності:</w:t>
      </w:r>
    </w:p>
    <w:p>
      <w:pPr>
        <w:pStyle w:val="ListParagraph"/>
        <w:spacing w:lineRule="auto" w:line="360"/>
        <w:ind w:left="709" w:hanging="0"/>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Т</m:t>
            </m:r>
          </m:e>
          <m:sub>
            <m:r>
              <w:rPr>
                <w:rFonts w:ascii="Cambria Math" w:hAnsi="Cambria Math"/>
              </w:rPr>
              <m:t xml:space="preserve">t</m:t>
            </m:r>
          </m:sub>
        </m:sSub>
        <m:r>
          <w:rPr>
            <w:rFonts w:ascii="Cambria Math" w:hAnsi="Cambria Math"/>
          </w:rPr>
          <m:t xml:space="preserve">=</m:t>
        </m:r>
        <m:r>
          <w:rPr>
            <w:rFonts w:ascii="Cambria Math" w:hAnsi="Cambria Math"/>
          </w:rPr>
          <m:t xml:space="preserve">26,91</m:t>
        </m:r>
        <m:r>
          <w:rPr>
            <w:rFonts w:ascii="Cambria Math" w:hAnsi="Cambria Math"/>
          </w:rPr>
          <m:t xml:space="preserve">−</m:t>
        </m:r>
        <m:r>
          <w:rPr>
            <w:rFonts w:ascii="Cambria Math" w:hAnsi="Cambria Math"/>
          </w:rPr>
          <m:t xml:space="preserve">1,59</m:t>
        </m:r>
        <m:r>
          <w:rPr>
            <w:rFonts w:ascii="Cambria Math" w:hAnsi="Cambria Math"/>
          </w:rPr>
          <m:t xml:space="preserve">t</m:t>
        </m:r>
        <m:r>
          <w:rPr>
            <w:rFonts w:ascii="Cambria Math" w:hAnsi="Cambria Math"/>
          </w:rPr>
          <m:t xml:space="preserve">+</m:t>
        </m:r>
        <m:r>
          <w:rPr>
            <w:rFonts w:ascii="Cambria Math" w:hAnsi="Cambria Math"/>
          </w:rPr>
          <m:t xml:space="preserve">0,27</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(3.9)</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709" w:hanging="0"/>
        <w:rPr>
          <w:rFonts w:ascii="Times New Roman" w:hAnsi="Times New Roman"/>
          <w:sz w:val="28"/>
          <w:szCs w:val="28"/>
        </w:rPr>
      </w:pPr>
      <w:r>
        <w:rPr>
          <w:rFonts w:eastAsia="Times New Roman" w:ascii="Times New Roman" w:hAnsi="Times New Roman"/>
          <w:sz w:val="28"/>
          <w:szCs w:val="28"/>
          <w:lang w:eastAsia="ru-RU"/>
        </w:rPr>
        <w:t xml:space="preserve">4) </w:t>
      </w:r>
      <w:r>
        <w:rPr>
          <w:rFonts w:ascii="Times New Roman" w:hAnsi="Times New Roman"/>
          <w:sz w:val="28"/>
          <w:szCs w:val="28"/>
        </w:rPr>
        <w:t>трудомісткості:</w:t>
      </w:r>
    </w:p>
    <w:p>
      <w:pPr>
        <w:pStyle w:val="ListParagraph"/>
        <w:spacing w:lineRule="auto" w:line="360"/>
        <w:ind w:left="709" w:hanging="0"/>
        <w:rPr>
          <w:rFonts w:ascii="Times New Roman" w:hAnsi="Times New Roman"/>
          <w:sz w:val="28"/>
          <w:szCs w:val="28"/>
        </w:rPr>
      </w:pPr>
      <w:r>
        <w:rPr>
          <w:rFonts w:ascii="Times New Roman" w:hAnsi="Times New Roman"/>
          <w:sz w:val="28"/>
          <w:szCs w:val="28"/>
        </w:rPr>
      </w:r>
    </w:p>
    <w:p>
      <w:pPr>
        <w:pStyle w:val="Normal"/>
        <w:spacing w:lineRule="auto" w:line="360"/>
        <w:ind w:firstLine="709"/>
        <w:jc w:val="right"/>
        <w:rPr>
          <w:rFonts w:ascii="Times New Roman" w:hAnsi="Times New Roman" w:eastAsia="Times New Roman"/>
          <w:sz w:val="28"/>
          <w:szCs w:val="28"/>
          <w:lang w:eastAsia="ru-RU"/>
        </w:rPr>
      </w:pPr>
      <w:r>
        <w:rPr/>
      </w:r>
      <m:oMath xmlns:m="http://schemas.openxmlformats.org/officeDocument/2006/math">
        <m:sSub>
          <m:e>
            <m:r>
              <w:rPr>
                <w:rFonts w:ascii="Cambria Math" w:hAnsi="Cambria Math"/>
              </w:rPr>
              <m:t xml:space="preserve">М</m:t>
            </m:r>
          </m:e>
          <m:sub>
            <m:r>
              <w:rPr>
                <w:rFonts w:ascii="Cambria Math" w:hAnsi="Cambria Math"/>
              </w:rPr>
              <m:t xml:space="preserve">t</m:t>
            </m:r>
          </m:sub>
        </m:sSub>
        <m:r>
          <w:rPr>
            <w:rFonts w:ascii="Cambria Math" w:hAnsi="Cambria Math"/>
          </w:rPr>
          <m:t xml:space="preserve">=</m:t>
        </m:r>
        <m:r>
          <w:rPr>
            <w:rFonts w:ascii="Cambria Math" w:hAnsi="Cambria Math"/>
          </w:rPr>
          <m:t xml:space="preserve">6,89</m:t>
        </m:r>
        <m:r>
          <w:rPr>
            <w:rFonts w:ascii="Cambria Math" w:hAnsi="Cambria Math"/>
          </w:rPr>
          <m:t xml:space="preserve">−</m:t>
        </m:r>
        <m:r>
          <w:rPr>
            <w:rFonts w:ascii="Cambria Math" w:hAnsi="Cambria Math"/>
          </w:rPr>
          <m:t xml:space="preserve">0,22</m:t>
        </m:r>
        <m:r>
          <w:rPr>
            <w:rFonts w:ascii="Cambria Math" w:hAnsi="Cambria Math"/>
          </w:rPr>
          <m:t xml:space="preserve">t</m:t>
        </m:r>
        <m:r>
          <w:rPr>
            <w:rFonts w:ascii="Cambria Math" w:hAnsi="Cambria Math"/>
          </w:rPr>
          <m:t xml:space="preserve">−</m:t>
        </m:r>
        <m:r>
          <w:rPr>
            <w:rFonts w:ascii="Cambria Math" w:hAnsi="Cambria Math"/>
          </w:rPr>
          <m:t xml:space="preserve">0,03</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(3.10)</w:t>
      </w:r>
    </w:p>
    <w:p>
      <w:pPr>
        <w:pStyle w:val="ListParagraph"/>
        <w:spacing w:lineRule="auto" w:line="360"/>
        <w:ind w:left="709" w:hanging="0"/>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709" w:hanging="0"/>
        <w:rPr>
          <w:rFonts w:ascii="Times New Roman" w:hAnsi="Times New Roman"/>
          <w:sz w:val="28"/>
          <w:szCs w:val="28"/>
        </w:rPr>
      </w:pPr>
      <w:r>
        <w:rPr>
          <w:rFonts w:eastAsia="Times New Roman" w:ascii="Times New Roman" w:hAnsi="Times New Roman"/>
          <w:sz w:val="28"/>
          <w:szCs w:val="28"/>
          <w:lang w:eastAsia="ru-RU"/>
        </w:rPr>
        <w:t xml:space="preserve">5) </w:t>
      </w:r>
      <w:r>
        <w:rPr>
          <w:rFonts w:ascii="Times New Roman" w:hAnsi="Times New Roman"/>
          <w:sz w:val="28"/>
          <w:szCs w:val="28"/>
        </w:rPr>
        <w:t>питомої ваги робітників у складі працівників:</w:t>
      </w:r>
    </w:p>
    <w:p>
      <w:pPr>
        <w:pStyle w:val="ListParagraph"/>
        <w:spacing w:lineRule="auto" w:line="360"/>
        <w:ind w:left="709" w:hanging="0"/>
        <w:rPr>
          <w:rFonts w:ascii="Times New Roman" w:hAnsi="Times New Roman"/>
          <w:sz w:val="28"/>
          <w:szCs w:val="28"/>
        </w:rPr>
      </w:pPr>
      <w:r>
        <w:rPr>
          <w:rFonts w:ascii="Times New Roman" w:hAnsi="Times New Roman"/>
          <w:sz w:val="28"/>
          <w:szCs w:val="28"/>
        </w:rPr>
      </w:r>
    </w:p>
    <w:p>
      <w:pPr>
        <w:sectPr>
          <w:headerReference w:type="default" r:id="rId86"/>
          <w:footerReference w:type="default" r:id="rId87"/>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60"/>
        <w:ind w:firstLine="709"/>
        <w:jc w:val="right"/>
        <w:rPr>
          <w:rFonts w:ascii="Times New Roman" w:hAnsi="Times New Roman" w:eastAsia="Times New Roman"/>
          <w:sz w:val="28"/>
          <w:szCs w:val="28"/>
          <w:lang w:val="ru-RU" w:eastAsia="ru-RU"/>
        </w:rPr>
      </w:pPr>
      <w:r>
        <w:rPr/>
      </w:r>
      <m:oMath xmlns:m="http://schemas.openxmlformats.org/officeDocument/2006/math">
        <m:sSub>
          <m:e>
            <m:r>
              <w:rPr>
                <w:rFonts w:ascii="Cambria Math" w:hAnsi="Cambria Math"/>
              </w:rPr>
              <m:t xml:space="preserve">R</m:t>
            </m:r>
          </m:e>
          <m:sub>
            <m:r>
              <w:rPr>
                <w:rFonts w:ascii="Cambria Math" w:hAnsi="Cambria Math"/>
              </w:rPr>
              <m:t xml:space="preserve">t</m:t>
            </m:r>
          </m:sub>
        </m:sSub>
        <m:r>
          <w:rPr>
            <w:rFonts w:ascii="Cambria Math" w:hAnsi="Cambria Math"/>
          </w:rPr>
          <m:t xml:space="preserve">=</m:t>
        </m:r>
        <m:r>
          <w:rPr>
            <w:rFonts w:ascii="Cambria Math" w:hAnsi="Cambria Math"/>
          </w:rPr>
          <m:t xml:space="preserve">73,59</m:t>
        </m:r>
        <m:r>
          <w:rPr>
            <w:rFonts w:ascii="Cambria Math" w:hAnsi="Cambria Math"/>
          </w:rPr>
          <m:t xml:space="preserve">+</m:t>
        </m:r>
        <m:r>
          <w:rPr>
            <w:rFonts w:ascii="Cambria Math" w:hAnsi="Cambria Math"/>
          </w:rPr>
          <m:t xml:space="preserve">3,74</m:t>
        </m:r>
        <m:r>
          <w:rPr>
            <w:rFonts w:ascii="Cambria Math" w:hAnsi="Cambria Math"/>
          </w:rPr>
          <m:t xml:space="preserve">t</m:t>
        </m:r>
        <m:r>
          <w:rPr>
            <w:rFonts w:ascii="Cambria Math" w:hAnsi="Cambria Math"/>
          </w:rPr>
          <m:t xml:space="preserve">−</m:t>
        </m:r>
        <m:r>
          <w:rPr>
            <w:rFonts w:ascii="Cambria Math" w:hAnsi="Cambria Math"/>
          </w:rPr>
          <m:t xml:space="preserve">0,15</m:t>
        </m:r>
        <m:sSup>
          <m:e>
            <m:r>
              <w:rPr>
                <w:rFonts w:ascii="Cambria Math" w:hAnsi="Cambria Math"/>
              </w:rPr>
              <m:t xml:space="preserve">t</m:t>
            </m:r>
          </m:e>
          <m:sup>
            <m:r>
              <w:rPr>
                <w:rFonts w:ascii="Cambria Math" w:hAnsi="Cambria Math"/>
              </w:rPr>
              <m:t xml:space="preserve">2</m:t>
            </m:r>
          </m:sup>
        </m:sSup>
      </m:oMath>
      <w:r>
        <w:rPr>
          <w:rFonts w:eastAsia="Times New Roman" w:ascii="Times New Roman" w:hAnsi="Times New Roman"/>
          <w:sz w:val="28"/>
          <w:szCs w:val="28"/>
          <w:lang w:eastAsia="ru-RU"/>
        </w:rPr>
        <w:t xml:space="preserve">.       </w:t>
        <w:tab/>
        <w:tab/>
        <w:tab/>
        <w:t xml:space="preserve">   (3.11)</w:t>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Для побудованих моделей, за функцією «ЛИНЕЙН» визначено основні характеристики, які зведено у таблицю 3.11. </w:t>
      </w:r>
    </w:p>
    <w:p>
      <w:pPr>
        <w:pStyle w:val="ListParagraph"/>
        <w:spacing w:lineRule="auto" w:line="360"/>
        <w:ind w:left="709" w:hanging="0"/>
        <w:rPr>
          <w:rFonts w:ascii="Times New Roman" w:hAnsi="Times New Roman" w:eastAsia="Times New Roman"/>
          <w:sz w:val="28"/>
          <w:szCs w:val="28"/>
          <w:lang w:val="ru-RU" w:eastAsia="ru-RU"/>
        </w:rPr>
      </w:pPr>
      <w:r>
        <w:rPr>
          <w:rFonts w:eastAsia="Times New Roman" w:ascii="Times New Roman" w:hAnsi="Times New Roman"/>
          <w:sz w:val="28"/>
          <w:szCs w:val="28"/>
          <w:lang w:val="ru-RU" w:eastAsia="ru-RU"/>
        </w:rPr>
      </w:r>
    </w:p>
    <w:p>
      <w:pPr>
        <w:pStyle w:val="Style35"/>
        <w:spacing w:lineRule="auto" w:line="360" w:before="0" w:after="0"/>
        <w:ind w:left="0" w:firstLine="709"/>
        <w:rPr>
          <w:sz w:val="28"/>
          <w:szCs w:val="28"/>
          <w:lang w:val="uk-UA" w:eastAsia="en-US"/>
        </w:rPr>
      </w:pPr>
      <w:r>
        <w:rPr>
          <w:sz w:val="28"/>
          <w:szCs w:val="28"/>
          <w:lang w:val="uk-UA"/>
        </w:rPr>
        <w:t xml:space="preserve">Таблиця 3.11 – Загальний вигляд та основні характеристики трендових моделей зміни факторів, які впливають на рівень фондовіддачі </w:t>
      </w:r>
    </w:p>
    <w:tbl>
      <w:tblPr>
        <w:tblW w:w="9627" w:type="dxa"/>
        <w:jc w:val="left"/>
        <w:tblInd w:w="0" w:type="dxa"/>
        <w:tblCellMar>
          <w:top w:w="0" w:type="dxa"/>
          <w:left w:w="108" w:type="dxa"/>
          <w:bottom w:w="0" w:type="dxa"/>
          <w:right w:w="108" w:type="dxa"/>
        </w:tblCellMar>
        <w:tblLook w:firstRow="1" w:noVBand="1" w:lastRow="0" w:firstColumn="1" w:lastColumn="0" w:noHBand="0" w:val="04a0"/>
      </w:tblPr>
      <w:tblGrid>
        <w:gridCol w:w="1734"/>
        <w:gridCol w:w="651"/>
        <w:gridCol w:w="1230"/>
        <w:gridCol w:w="1114"/>
        <w:gridCol w:w="1305"/>
        <w:gridCol w:w="968"/>
        <w:gridCol w:w="1"/>
        <w:gridCol w:w="535"/>
        <w:gridCol w:w="537"/>
        <w:gridCol w:w="628"/>
        <w:gridCol w:w="1"/>
        <w:gridCol w:w="922"/>
      </w:tblGrid>
      <w:tr>
        <w:trPr>
          <w:trHeight w:val="20" w:hRule="atLeast"/>
        </w:trPr>
        <w:tc>
          <w:tcPr>
            <w:tcW w:w="1734"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 xml:space="preserve">Фактор </w:t>
            </w:r>
          </w:p>
        </w:tc>
        <w:tc>
          <w:tcPr>
            <w:tcW w:w="651" w:type="dxa"/>
            <w:vMerge w:val="restart"/>
            <w:tcBorders>
              <w:top w:val="single" w:sz="4" w:space="0" w:color="000000"/>
              <w:left w:val="single" w:sz="4" w:space="0" w:color="000000"/>
              <w:bottom w:val="single" w:sz="4" w:space="0" w:color="000000"/>
              <w:right w:val="single" w:sz="4" w:space="0" w:color="000000"/>
            </w:tcBorders>
            <w:shd w:fill="auto" w:val="clear"/>
            <w:textDirection w:val="btLr"/>
            <w:vAlign w:val="center"/>
          </w:tcPr>
          <w:p>
            <w:pPr>
              <w:pStyle w:val="Normal"/>
              <w:spacing w:lineRule="auto" w:line="254"/>
              <w:ind w:left="113" w:right="113" w:hanging="0"/>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Номер моделі</w:t>
            </w:r>
          </w:p>
        </w:tc>
        <w:tc>
          <w:tcPr>
            <w:tcW w:w="1230"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коефіцієнт детермінації</w:t>
            </w:r>
          </w:p>
        </w:tc>
        <w:tc>
          <w:tcPr>
            <w:tcW w:w="1114"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стандартна помилка</w:t>
            </w:r>
          </w:p>
        </w:tc>
        <w:tc>
          <w:tcPr>
            <w:tcW w:w="2274" w:type="dxa"/>
            <w:gridSpan w:val="3"/>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F-критерій Фішера</w:t>
            </w:r>
          </w:p>
        </w:tc>
        <w:tc>
          <w:tcPr>
            <w:tcW w:w="2623" w:type="dxa"/>
            <w:gridSpan w:val="5"/>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val="en-US" w:eastAsia="uk-UA"/>
              </w:rPr>
              <w:t>t-</w:t>
            </w:r>
            <w:r>
              <w:rPr>
                <w:rFonts w:eastAsia="Times New Roman" w:ascii="Times New Roman" w:hAnsi="Times New Roman"/>
                <w:color w:val="000000"/>
                <w:sz w:val="18"/>
                <w:szCs w:val="18"/>
                <w:lang w:eastAsia="uk-UA"/>
              </w:rPr>
              <w:t>критерій Стьюдента</w:t>
            </w:r>
          </w:p>
        </w:tc>
      </w:tr>
      <w:tr>
        <w:trPr>
          <w:trHeight w:val="20" w:hRule="atLeast"/>
        </w:trPr>
        <w:tc>
          <w:tcPr>
            <w:tcW w:w="1734"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651"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1230"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1114"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розрахункове значення</w:t>
            </w:r>
          </w:p>
        </w:tc>
        <w:tc>
          <w:tcPr>
            <w:tcW w:w="96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табличне значення</w:t>
            </w:r>
          </w:p>
        </w:tc>
        <w:tc>
          <w:tcPr>
            <w:tcW w:w="1702" w:type="dxa"/>
            <w:gridSpan w:val="5"/>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розрахункове значення</w:t>
            </w:r>
          </w:p>
        </w:tc>
        <w:tc>
          <w:tcPr>
            <w:tcW w:w="922"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табличне значення</w:t>
            </w:r>
          </w:p>
        </w:tc>
      </w:tr>
      <w:tr>
        <w:trPr>
          <w:trHeight w:val="20" w:hRule="atLeast"/>
        </w:trPr>
        <w:tc>
          <w:tcPr>
            <w:tcW w:w="1734"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651"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R</w:t>
            </w:r>
            <w:r>
              <w:rPr>
                <w:rFonts w:eastAsia="Times New Roman" w:ascii="Times New Roman" w:hAnsi="Times New Roman"/>
                <w:color w:val="000000"/>
                <w:sz w:val="18"/>
                <w:szCs w:val="18"/>
                <w:vertAlign w:val="superscript"/>
                <w:lang w:eastAsia="uk-UA"/>
              </w:rPr>
              <w:t>2</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Е</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val="en-US" w:eastAsia="uk-UA"/>
              </w:rPr>
              <w:t>F</w:t>
            </w:r>
            <w:r>
              <w:rPr>
                <w:rFonts w:eastAsia="Times New Roman" w:ascii="Times New Roman" w:hAnsi="Times New Roman"/>
                <w:color w:val="000000"/>
                <w:sz w:val="18"/>
                <w:szCs w:val="18"/>
                <w:vertAlign w:val="subscript"/>
                <w:lang w:eastAsia="uk-UA"/>
              </w:rPr>
              <w:t>розр</w:t>
            </w:r>
          </w:p>
        </w:tc>
        <w:tc>
          <w:tcPr>
            <w:tcW w:w="96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val="en-US" w:eastAsia="uk-UA"/>
              </w:rPr>
              <w:t>F</w:t>
            </w:r>
            <w:r>
              <w:rPr>
                <w:rFonts w:eastAsia="Times New Roman" w:ascii="Times New Roman" w:hAnsi="Times New Roman"/>
                <w:color w:val="000000"/>
                <w:sz w:val="18"/>
                <w:szCs w:val="18"/>
                <w:vertAlign w:val="subscript"/>
                <w:lang w:eastAsia="uk-UA"/>
              </w:rPr>
              <w:t>табл</w:t>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t</w:t>
            </w:r>
            <w:r>
              <w:rPr>
                <w:rFonts w:eastAsia="Times New Roman" w:ascii="Times New Roman" w:hAnsi="Times New Roman"/>
                <w:color w:val="000000"/>
                <w:sz w:val="18"/>
                <w:szCs w:val="18"/>
                <w:vertAlign w:val="subscript"/>
                <w:lang w:eastAsia="uk-UA"/>
              </w:rPr>
              <w:t>a2</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t</w:t>
            </w:r>
            <w:r>
              <w:rPr>
                <w:rFonts w:eastAsia="Times New Roman" w:ascii="Times New Roman" w:hAnsi="Times New Roman"/>
                <w:color w:val="000000"/>
                <w:sz w:val="18"/>
                <w:szCs w:val="18"/>
                <w:vertAlign w:val="subscript"/>
                <w:lang w:eastAsia="uk-UA"/>
              </w:rPr>
              <w:t>a1</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t</w:t>
            </w:r>
            <w:r>
              <w:rPr>
                <w:rFonts w:eastAsia="Times New Roman" w:ascii="Times New Roman" w:hAnsi="Times New Roman"/>
                <w:color w:val="000000"/>
                <w:sz w:val="18"/>
                <w:szCs w:val="18"/>
                <w:vertAlign w:val="subscript"/>
                <w:lang w:eastAsia="uk-UA"/>
              </w:rPr>
              <w:t>a0</w:t>
            </w:r>
          </w:p>
        </w:tc>
        <w:tc>
          <w:tcPr>
            <w:tcW w:w="923"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t</w:t>
            </w:r>
            <w:r>
              <w:rPr>
                <w:rFonts w:eastAsia="Times New Roman" w:ascii="Times New Roman" w:hAnsi="Times New Roman"/>
                <w:color w:val="000000"/>
                <w:sz w:val="18"/>
                <w:szCs w:val="18"/>
                <w:vertAlign w:val="subscript"/>
                <w:lang w:eastAsia="uk-UA"/>
              </w:rPr>
              <w:t>табл</w:t>
            </w:r>
          </w:p>
        </w:tc>
      </w:tr>
      <w:tr>
        <w:trPr>
          <w:trHeight w:val="20" w:hRule="atLeast"/>
        </w:trPr>
        <w:tc>
          <w:tcPr>
            <w:tcW w:w="173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Питома вага активної частини ОФ</w:t>
            </w:r>
          </w:p>
        </w:tc>
        <w:tc>
          <w:tcPr>
            <w:tcW w:w="65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(3.7)</w:t>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0,6091</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3,89</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6,23</w:t>
            </w:r>
          </w:p>
        </w:tc>
        <w:tc>
          <w:tcPr>
            <w:tcW w:w="968"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4,46</w:t>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3,49</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3,29</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19,13</w:t>
            </w:r>
          </w:p>
        </w:tc>
        <w:tc>
          <w:tcPr>
            <w:tcW w:w="923" w:type="dxa"/>
            <w:gridSpan w:val="2"/>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2,31</w:t>
            </w:r>
          </w:p>
        </w:tc>
      </w:tr>
      <w:tr>
        <w:trPr>
          <w:trHeight w:val="20" w:hRule="atLeast"/>
        </w:trPr>
        <w:tc>
          <w:tcPr>
            <w:tcW w:w="173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Коефіцієнт введення основних фондів</w:t>
            </w:r>
          </w:p>
        </w:tc>
        <w:tc>
          <w:tcPr>
            <w:tcW w:w="65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(3.8)</w:t>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0,2642</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0,06</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1,44</w:t>
            </w:r>
          </w:p>
        </w:tc>
        <w:tc>
          <w:tcPr>
            <w:tcW w:w="96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0,86</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1,17</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0,24</w:t>
            </w:r>
          </w:p>
        </w:tc>
        <w:tc>
          <w:tcPr>
            <w:tcW w:w="923"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r>
        <w:trPr>
          <w:trHeight w:val="20" w:hRule="atLeast"/>
        </w:trPr>
        <w:tc>
          <w:tcPr>
            <w:tcW w:w="173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Технічна фондоозброєність</w:t>
            </w:r>
          </w:p>
        </w:tc>
        <w:tc>
          <w:tcPr>
            <w:tcW w:w="65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(3.9)</w:t>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0,6037</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5,45</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6,09</w:t>
            </w:r>
          </w:p>
        </w:tc>
        <w:tc>
          <w:tcPr>
            <w:tcW w:w="96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1,45</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0,69</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4,49</w:t>
            </w:r>
          </w:p>
        </w:tc>
        <w:tc>
          <w:tcPr>
            <w:tcW w:w="923"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r>
        <w:trPr>
          <w:trHeight w:val="20" w:hRule="atLeast"/>
        </w:trPr>
        <w:tc>
          <w:tcPr>
            <w:tcW w:w="173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Трудомісткість</w:t>
            </w:r>
          </w:p>
        </w:tc>
        <w:tc>
          <w:tcPr>
            <w:tcW w:w="65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(3.10)</w:t>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0,6902</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1,43</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8,91</w:t>
            </w:r>
          </w:p>
        </w:tc>
        <w:tc>
          <w:tcPr>
            <w:tcW w:w="96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0,59</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0,37</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4,38</w:t>
            </w:r>
          </w:p>
        </w:tc>
        <w:tc>
          <w:tcPr>
            <w:tcW w:w="923"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left"/>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r>
        <w:trPr>
          <w:trHeight w:val="20" w:hRule="atLeast"/>
        </w:trPr>
        <w:tc>
          <w:tcPr>
            <w:tcW w:w="173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Питома вага робітників у складі працівників</w:t>
            </w:r>
          </w:p>
        </w:tc>
        <w:tc>
          <w:tcPr>
            <w:tcW w:w="65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(3.11)</w:t>
            </w:r>
          </w:p>
        </w:tc>
        <w:tc>
          <w:tcPr>
            <w:tcW w:w="1230"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0,8371</w:t>
            </w:r>
          </w:p>
        </w:tc>
        <w:tc>
          <w:tcPr>
            <w:tcW w:w="1114"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3,21</w:t>
            </w:r>
          </w:p>
        </w:tc>
        <w:tc>
          <w:tcPr>
            <w:tcW w:w="130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20,56</w:t>
            </w:r>
          </w:p>
        </w:tc>
        <w:tc>
          <w:tcPr>
            <w:tcW w:w="968"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c>
          <w:tcPr>
            <w:tcW w:w="53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2,39</w:t>
            </w:r>
          </w:p>
        </w:tc>
        <w:tc>
          <w:tcPr>
            <w:tcW w:w="5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2,77</w:t>
            </w:r>
          </w:p>
        </w:tc>
        <w:tc>
          <w:tcPr>
            <w:tcW w:w="62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t>20,91</w:t>
            </w:r>
          </w:p>
        </w:tc>
        <w:tc>
          <w:tcPr>
            <w:tcW w:w="923" w:type="dxa"/>
            <w:gridSpan w:val="2"/>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spacing w:lineRule="auto" w:line="254"/>
              <w:jc w:val="center"/>
              <w:rPr>
                <w:rFonts w:ascii="Times New Roman" w:hAnsi="Times New Roman" w:eastAsia="Times New Roman"/>
                <w:color w:val="000000"/>
                <w:sz w:val="18"/>
                <w:szCs w:val="18"/>
                <w:lang w:eastAsia="uk-UA"/>
              </w:rPr>
            </w:pPr>
            <w:r>
              <w:rPr>
                <w:rFonts w:eastAsia="Times New Roman" w:ascii="Times New Roman" w:hAnsi="Times New Roman"/>
                <w:color w:val="000000"/>
                <w:sz w:val="18"/>
                <w:szCs w:val="18"/>
                <w:lang w:eastAsia="uk-UA"/>
              </w:rPr>
            </w:r>
          </w:p>
        </w:tc>
      </w:tr>
    </w:tbl>
    <w:p>
      <w:pPr>
        <w:pStyle w:val="ListParagraph"/>
        <w:spacing w:lineRule="auto" w:line="360"/>
        <w:ind w:left="0" w:firstLine="709"/>
        <w:rPr>
          <w:rFonts w:ascii="Times New Roman" w:hAnsi="Times New Roman" w:eastAsia="Times New Roman"/>
          <w:sz w:val="28"/>
          <w:szCs w:val="28"/>
          <w:lang w:val="ru-RU" w:eastAsia="ru-RU"/>
        </w:rPr>
      </w:pPr>
      <w:r>
        <w:rPr>
          <w:rFonts w:eastAsia="Times New Roman" w:ascii="Times New Roman" w:hAnsi="Times New Roman"/>
          <w:sz w:val="28"/>
          <w:szCs w:val="28"/>
          <w:lang w:val="ru-RU" w:eastAsia="ru-RU"/>
        </w:rPr>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Серед п’яти побудованих моделей найкращі характеристики властиві моделі (3.11). Вона описує зміну </w:t>
      </w:r>
      <w:r>
        <w:rPr>
          <w:rFonts w:ascii="Times New Roman" w:hAnsi="Times New Roman"/>
          <w:sz w:val="28"/>
          <w:szCs w:val="28"/>
        </w:rPr>
        <w:t xml:space="preserve">питомої ваги робітників у складі працівників у часі. Коефіцієнт детермінації цієї моделі (0,8371) має найвище значення і показує, що на 83,71 % часовий фактор впливає на зміну питомої вагу робітників у складі персоналу </w:t>
      </w:r>
      <w:r>
        <w:rPr>
          <w:rFonts w:eastAsia="Times New Roman" w:ascii="Times New Roman" w:hAnsi="Times New Roman"/>
          <w:sz w:val="28"/>
          <w:szCs w:val="28"/>
          <w:lang w:eastAsia="ru-RU"/>
        </w:rPr>
        <w:t xml:space="preserve">ТОВ «НЕЙЛ». Ця модель має невелику похибку (3,21), що підтверджує якість її побудови. Модель (3.11) є адекватною як за високого значення коефіцієнта детермінації (його значення перевищує 0,75) так і за критерієм Фішера (його розрахункове значення (20,56) перевищує табличне (4,46). Усі параметри моделі (3.11) є достовірними. Отже, за моделлю (3.11) варто проводити прогнозування </w:t>
      </w:r>
      <w:r>
        <w:rPr>
          <w:rFonts w:ascii="Times New Roman" w:hAnsi="Times New Roman"/>
          <w:sz w:val="28"/>
          <w:szCs w:val="28"/>
        </w:rPr>
        <w:t xml:space="preserve">питомої ваги робітників у складі працівників </w:t>
      </w:r>
      <w:r>
        <w:rPr>
          <w:rFonts w:eastAsia="Times New Roman" w:ascii="Times New Roman" w:hAnsi="Times New Roman"/>
          <w:sz w:val="28"/>
          <w:szCs w:val="28"/>
          <w:lang w:eastAsia="ru-RU"/>
        </w:rPr>
        <w:t xml:space="preserve">ТОВ «НЕЙЛ». </w:t>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Найгірші результати отриманні для моделі (3.8). Вона має найнижче значення коефіцієнта детермінації, яке вказує на те, що часовий фактор майже не впливає (лише на 26,42 %) на зміну </w:t>
      </w:r>
      <w:r>
        <w:rPr>
          <w:rFonts w:ascii="Times New Roman" w:hAnsi="Times New Roman"/>
          <w:sz w:val="28"/>
          <w:szCs w:val="28"/>
        </w:rPr>
        <w:t xml:space="preserve">коефіцієнт введення основних фондів. З економічної точки зору це є виправданим. Оскільки на нього переважно впливає рівень амортизації, технічний стан основних фондів та інші чинники економічного характеру. Ця модель (3.8) не є адекватною і за критерієм Фішера. Її параметри не є достовірними. </w:t>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Непогані результати показують моделі (3.7). (3.9) та (3.10). Вони мають майже однакове значення коефіцієнта детермінації, який показує, що на 60 % часовий фактор впливає на зміну </w:t>
      </w:r>
      <w:r>
        <w:rPr>
          <w:rFonts w:ascii="Times New Roman" w:hAnsi="Times New Roman"/>
          <w:sz w:val="28"/>
          <w:szCs w:val="28"/>
        </w:rPr>
        <w:t xml:space="preserve">питомої ваги активної частини основних фондів, технічної фондоозброєності та трудомісткості. Ці моделі мають не високе значення стандартної помилки. </w:t>
      </w:r>
      <w:r>
        <w:rPr>
          <w:rFonts w:eastAsia="Times New Roman" w:ascii="Times New Roman" w:hAnsi="Times New Roman"/>
          <w:sz w:val="28"/>
          <w:szCs w:val="28"/>
          <w:lang w:eastAsia="ru-RU"/>
        </w:rPr>
        <w:t>У моделі (3.8) усі параметри достовірні за критерієм Стьюдента, а у моделях (3.9) та (3.10) лише початковий параметр (а</w:t>
      </w:r>
      <w:r>
        <w:rPr>
          <w:rFonts w:eastAsia="Times New Roman" w:ascii="Times New Roman" w:hAnsi="Times New Roman"/>
          <w:sz w:val="28"/>
          <w:szCs w:val="28"/>
          <w:vertAlign w:val="subscript"/>
          <w:lang w:eastAsia="ru-RU"/>
        </w:rPr>
        <w:t>0</w:t>
      </w:r>
      <w:r>
        <w:rPr>
          <w:rFonts w:eastAsia="Times New Roman" w:ascii="Times New Roman" w:hAnsi="Times New Roman"/>
          <w:sz w:val="28"/>
          <w:szCs w:val="28"/>
          <w:lang w:eastAsia="ru-RU"/>
        </w:rPr>
        <w:t xml:space="preserve">). </w:t>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Результати змодельованих та прогнозних значень відібраних п’яти факторів щодо зміни часового фактору подано у таблиці 3.12.</w:t>
      </w:r>
    </w:p>
    <w:p>
      <w:pPr>
        <w:pStyle w:val="ListParagraph"/>
        <w:spacing w:lineRule="auto" w:line="360"/>
        <w:ind w:left="709" w:hanging="0"/>
        <w:rPr>
          <w:rFonts w:ascii="Times New Roman" w:hAnsi="Times New Roman" w:eastAsia="Times New Roman"/>
          <w:sz w:val="24"/>
          <w:szCs w:val="28"/>
          <w:lang w:eastAsia="ru-RU"/>
        </w:rPr>
      </w:pPr>
      <w:r>
        <w:rPr>
          <w:rFonts w:eastAsia="Times New Roman" w:ascii="Times New Roman" w:hAnsi="Times New Roman"/>
          <w:sz w:val="24"/>
          <w:szCs w:val="28"/>
          <w:lang w:eastAsia="ru-RU"/>
        </w:rPr>
      </w:r>
    </w:p>
    <w:p>
      <w:pPr>
        <w:pStyle w:val="ListParagraph"/>
        <w:spacing w:lineRule="auto" w:line="360"/>
        <w:ind w:left="0" w:firstLine="709"/>
        <w:rPr>
          <w:rFonts w:ascii="Times New Roman" w:hAnsi="Times New Roman" w:eastAsia="Times New Roman"/>
          <w:sz w:val="28"/>
          <w:szCs w:val="28"/>
          <w:lang w:eastAsia="ru-RU"/>
        </w:rPr>
      </w:pPr>
      <w:r>
        <w:rPr>
          <w:rFonts w:ascii="Times New Roman" w:hAnsi="Times New Roman"/>
          <w:color w:val="000000"/>
          <w:sz w:val="28"/>
          <w:szCs w:val="28"/>
        </w:rPr>
        <w:t xml:space="preserve">Таблиця 3.12 – Фактичні, змодельовані та прогнозні дані </w:t>
      </w:r>
      <w:r>
        <w:rPr>
          <w:rFonts w:ascii="Times New Roman" w:hAnsi="Times New Roman"/>
          <w:sz w:val="28"/>
          <w:szCs w:val="28"/>
        </w:rPr>
        <w:t xml:space="preserve">фондовіддачі </w:t>
      </w:r>
      <w:r>
        <w:rPr>
          <w:rFonts w:ascii="Times New Roman" w:hAnsi="Times New Roman"/>
          <w:color w:val="000000"/>
          <w:sz w:val="28"/>
          <w:szCs w:val="28"/>
        </w:rPr>
        <w:t>за моделями з (3.7) до (3.11)</w:t>
      </w:r>
    </w:p>
    <w:tbl>
      <w:tblPr>
        <w:tblW w:w="9485" w:type="dxa"/>
        <w:jc w:val="left"/>
        <w:tblInd w:w="-5" w:type="dxa"/>
        <w:tblCellMar>
          <w:top w:w="0" w:type="dxa"/>
          <w:left w:w="108" w:type="dxa"/>
          <w:bottom w:w="0" w:type="dxa"/>
          <w:right w:w="108" w:type="dxa"/>
        </w:tblCellMar>
        <w:tblLook w:firstRow="1" w:noVBand="1" w:lastRow="0" w:firstColumn="1" w:lastColumn="0" w:noHBand="0" w:val="04a0"/>
      </w:tblPr>
      <w:tblGrid>
        <w:gridCol w:w="631"/>
        <w:gridCol w:w="416"/>
        <w:gridCol w:w="515"/>
        <w:gridCol w:w="1"/>
        <w:gridCol w:w="1020"/>
        <w:gridCol w:w="1022"/>
        <w:gridCol w:w="2"/>
        <w:gridCol w:w="563"/>
        <w:gridCol w:w="706"/>
        <w:gridCol w:w="2"/>
        <w:gridCol w:w="863"/>
        <w:gridCol w:w="924"/>
        <w:gridCol w:w="2"/>
        <w:gridCol w:w="669"/>
        <w:gridCol w:w="811"/>
        <w:gridCol w:w="3"/>
        <w:gridCol w:w="663"/>
        <w:gridCol w:w="671"/>
      </w:tblGrid>
      <w:tr>
        <w:trPr>
          <w:trHeight w:val="300" w:hRule="atLeast"/>
        </w:trPr>
        <w:tc>
          <w:tcPr>
            <w:tcW w:w="631" w:type="dxa"/>
            <w:vMerge w:val="restart"/>
            <w:tcBorders>
              <w:top w:val="single" w:sz="4" w:space="0" w:color="000000"/>
              <w:left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Роки</w:t>
            </w:r>
          </w:p>
        </w:tc>
        <w:tc>
          <w:tcPr>
            <w:tcW w:w="932" w:type="dxa"/>
            <w:gridSpan w:val="3"/>
            <w:vMerge w:val="restart"/>
            <w:tcBorders>
              <w:top w:val="single" w:sz="4" w:space="0" w:color="000000"/>
              <w:right w:val="single" w:sz="4" w:space="0" w:color="000000"/>
            </w:tcBorders>
            <w:shd w:color="auto" w:fill="auto" w:val="clear"/>
            <w:vAlign w:val="center"/>
          </w:tcPr>
          <w:p>
            <w:pPr>
              <w:pStyle w:val="Normal"/>
              <w:ind w:right="-105"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Часовий </w:t>
            </w:r>
          </w:p>
          <w:p>
            <w:pPr>
              <w:pStyle w:val="Normal"/>
              <w:ind w:right="-105" w:hanging="167"/>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фактор</w:t>
            </w:r>
          </w:p>
        </w:tc>
        <w:tc>
          <w:tcPr>
            <w:tcW w:w="7921" w:type="dxa"/>
            <w:gridSpan w:val="14"/>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Фактичне, змодельоване та прогнозне значення факторів</w:t>
            </w:r>
          </w:p>
        </w:tc>
      </w:tr>
      <w:tr>
        <w:trPr>
          <w:trHeight w:val="300" w:hRule="atLeast"/>
        </w:trPr>
        <w:tc>
          <w:tcPr>
            <w:tcW w:w="631" w:type="dxa"/>
            <w:vMerge w:val="continue"/>
            <w:tcBorders>
              <w:left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932" w:type="dxa"/>
            <w:gridSpan w:val="3"/>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044" w:type="dxa"/>
            <w:gridSpan w:val="3"/>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питома вага </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активної частини ОФ</w:t>
            </w:r>
          </w:p>
        </w:tc>
        <w:tc>
          <w:tcPr>
            <w:tcW w:w="1271" w:type="dxa"/>
            <w:gridSpan w:val="3"/>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коефіцієнт </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введення ОФ</w:t>
            </w:r>
          </w:p>
        </w:tc>
        <w:tc>
          <w:tcPr>
            <w:tcW w:w="1789" w:type="dxa"/>
            <w:gridSpan w:val="3"/>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технічна фондоозброєність</w:t>
            </w:r>
          </w:p>
        </w:tc>
        <w:tc>
          <w:tcPr>
            <w:tcW w:w="1483" w:type="dxa"/>
            <w:gridSpan w:val="3"/>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трудомісткість</w:t>
            </w:r>
          </w:p>
        </w:tc>
        <w:tc>
          <w:tcPr>
            <w:tcW w:w="1334"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w:t>
            </w:r>
          </w:p>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 xml:space="preserve">робітників </w:t>
            </w:r>
          </w:p>
        </w:tc>
      </w:tr>
      <w:tr>
        <w:trPr>
          <w:trHeight w:val="300" w:hRule="atLeast"/>
        </w:trPr>
        <w:tc>
          <w:tcPr>
            <w:tcW w:w="631" w:type="dxa"/>
            <w:vMerge w:val="continue"/>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416"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t</w:t>
            </w:r>
          </w:p>
        </w:tc>
        <w:tc>
          <w:tcPr>
            <w:tcW w:w="515"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t2</w:t>
            </w:r>
          </w:p>
        </w:tc>
        <w:tc>
          <w:tcPr>
            <w:tcW w:w="1021"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A</w:t>
            </w:r>
          </w:p>
        </w:tc>
        <w:tc>
          <w:tcPr>
            <w:tcW w:w="1022"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At</w:t>
            </w:r>
          </w:p>
        </w:tc>
        <w:tc>
          <w:tcPr>
            <w:tcW w:w="565"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V</w:t>
            </w:r>
          </w:p>
        </w:tc>
        <w:tc>
          <w:tcPr>
            <w:tcW w:w="706"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Vt</w:t>
            </w:r>
          </w:p>
        </w:tc>
        <w:tc>
          <w:tcPr>
            <w:tcW w:w="865"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T</w:t>
            </w:r>
          </w:p>
        </w:tc>
        <w:tc>
          <w:tcPr>
            <w:tcW w:w="924"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Tt</w:t>
            </w:r>
          </w:p>
        </w:tc>
        <w:tc>
          <w:tcPr>
            <w:tcW w:w="671"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M</w:t>
            </w:r>
          </w:p>
        </w:tc>
        <w:tc>
          <w:tcPr>
            <w:tcW w:w="811"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Mt</w:t>
            </w:r>
          </w:p>
        </w:tc>
        <w:tc>
          <w:tcPr>
            <w:tcW w:w="666" w:type="dxa"/>
            <w:gridSpan w:val="2"/>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R</w:t>
            </w:r>
          </w:p>
        </w:tc>
        <w:tc>
          <w:tcPr>
            <w:tcW w:w="671" w:type="dxa"/>
            <w:tcBorders>
              <w:top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Rt</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73,97</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76,84</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0,012</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24,10</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25,59</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6,06</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6,63</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76,53</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77,18</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75,97</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72,85</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0,035</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28,10</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24,81</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5,73</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6,32</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83,21</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80,47</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72,17</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69,79</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0,055</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27,33</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24,57</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5,41</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5,95</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81,51</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83,45</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71,31</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67,66</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0,071</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24,25</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24,87</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8,90</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5,53</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81,27</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86,12</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66,46</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0,084</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19,78</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25,71</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5,66</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5,04</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93,56</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88,49</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63,63</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66,18</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0,094</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21,06</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27,09</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3,71</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4,50</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91,25</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90,56</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49</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68,11</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66,83</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0,101</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33,58</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29,02</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2,71</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3,90</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94,24</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92,32</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64</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68,41</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0,23</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0,103</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30,15</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31,48</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2,58</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3,25</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92,21</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93,77</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74,72</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70,92</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0,103</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44,72</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34,48</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1,93</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2,53</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91,41</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94,92</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100</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74,84</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74,36</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0,099</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36,55</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38,02</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1,76</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97,08</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95,77</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121</w:t>
            </w:r>
          </w:p>
        </w:tc>
        <w:tc>
          <w:tcPr>
            <w:tcW w:w="102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76,68</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78,73</w:t>
            </w:r>
          </w:p>
        </w:tc>
        <w:tc>
          <w:tcPr>
            <w:tcW w:w="5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0,092</w:t>
            </w:r>
          </w:p>
        </w:tc>
        <w:tc>
          <w:tcPr>
            <w:tcW w:w="865"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38,12</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42,10</w:t>
            </w:r>
          </w:p>
        </w:tc>
        <w:tc>
          <w:tcPr>
            <w:tcW w:w="671"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0,93</w:t>
            </w:r>
          </w:p>
        </w:tc>
        <w:tc>
          <w:tcPr>
            <w:tcW w:w="666" w:type="dxa"/>
            <w:gridSpan w:val="2"/>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97,07</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96,31</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2021</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12</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144</w:t>
            </w:r>
          </w:p>
        </w:tc>
        <w:tc>
          <w:tcPr>
            <w:tcW w:w="1021" w:type="dxa"/>
            <w:gridSpan w:val="2"/>
            <w:vMerge w:val="restart"/>
            <w:tcBorders>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прогноз</w:t>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84,02</w:t>
            </w:r>
          </w:p>
        </w:tc>
        <w:tc>
          <w:tcPr>
            <w:tcW w:w="565" w:type="dxa"/>
            <w:gridSpan w:val="2"/>
            <w:vMerge w:val="restart"/>
            <w:tcBorders>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прогноз</w:t>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0,081</w:t>
            </w:r>
          </w:p>
        </w:tc>
        <w:tc>
          <w:tcPr>
            <w:tcW w:w="865" w:type="dxa"/>
            <w:gridSpan w:val="2"/>
            <w:vMerge w:val="restart"/>
            <w:tcBorders>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прогноз</w:t>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46,73</w:t>
            </w:r>
          </w:p>
        </w:tc>
        <w:tc>
          <w:tcPr>
            <w:tcW w:w="671" w:type="dxa"/>
            <w:gridSpan w:val="2"/>
            <w:vMerge w:val="restart"/>
            <w:tcBorders>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прогноз</w:t>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666" w:type="dxa"/>
            <w:gridSpan w:val="2"/>
            <w:vMerge w:val="restart"/>
            <w:tcBorders>
              <w:right w:val="single" w:sz="4" w:space="0" w:color="000000"/>
            </w:tcBorders>
            <w:shd w:color="auto" w:fill="auto" w:val="clear"/>
            <w:textDirection w:val="btLr"/>
            <w:vAlign w:val="center"/>
          </w:tcPr>
          <w:p>
            <w:pPr>
              <w:pStyle w:val="Normal"/>
              <w:ind w:left="113" w:right="113" w:hanging="0"/>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прогноз</w:t>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96,55</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2022</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13</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169</w:t>
            </w:r>
          </w:p>
        </w:tc>
        <w:tc>
          <w:tcPr>
            <w:tcW w:w="1021" w:type="dxa"/>
            <w:gridSpan w:val="2"/>
            <w:vMerge w:val="continue"/>
            <w:tcBorders>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90,24</w:t>
            </w:r>
          </w:p>
        </w:tc>
        <w:tc>
          <w:tcPr>
            <w:tcW w:w="565" w:type="dxa"/>
            <w:gridSpan w:val="2"/>
            <w:vMerge w:val="continue"/>
            <w:tcBorders>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0,067</w:t>
            </w:r>
          </w:p>
        </w:tc>
        <w:tc>
          <w:tcPr>
            <w:tcW w:w="865" w:type="dxa"/>
            <w:gridSpan w:val="2"/>
            <w:vMerge w:val="continue"/>
            <w:tcBorders>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51,89</w:t>
            </w:r>
          </w:p>
        </w:tc>
        <w:tc>
          <w:tcPr>
            <w:tcW w:w="671" w:type="dxa"/>
            <w:gridSpan w:val="2"/>
            <w:vMerge w:val="continue"/>
            <w:tcBorders>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- 0,91</w:t>
            </w:r>
          </w:p>
        </w:tc>
        <w:tc>
          <w:tcPr>
            <w:tcW w:w="666" w:type="dxa"/>
            <w:gridSpan w:val="2"/>
            <w:vMerge w:val="continue"/>
            <w:tcBorders>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96,48</w:t>
            </w:r>
          </w:p>
        </w:tc>
      </w:tr>
      <w:tr>
        <w:trPr>
          <w:trHeight w:val="300" w:hRule="atLeast"/>
        </w:trPr>
        <w:tc>
          <w:tcPr>
            <w:tcW w:w="631" w:type="dxa"/>
            <w:tcBorders>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2023</w:t>
            </w:r>
          </w:p>
        </w:tc>
        <w:tc>
          <w:tcPr>
            <w:tcW w:w="41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14</w:t>
            </w:r>
          </w:p>
        </w:tc>
        <w:tc>
          <w:tcPr>
            <w:tcW w:w="515"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196</w:t>
            </w:r>
          </w:p>
        </w:tc>
        <w:tc>
          <w:tcPr>
            <w:tcW w:w="1021" w:type="dxa"/>
            <w:gridSpan w:val="2"/>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1022"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97,39</w:t>
            </w:r>
          </w:p>
        </w:tc>
        <w:tc>
          <w:tcPr>
            <w:tcW w:w="565" w:type="dxa"/>
            <w:gridSpan w:val="2"/>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706"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0,050</w:t>
            </w:r>
          </w:p>
        </w:tc>
        <w:tc>
          <w:tcPr>
            <w:tcW w:w="865" w:type="dxa"/>
            <w:gridSpan w:val="2"/>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924"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57,59</w:t>
            </w:r>
          </w:p>
        </w:tc>
        <w:tc>
          <w:tcPr>
            <w:tcW w:w="671" w:type="dxa"/>
            <w:gridSpan w:val="2"/>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81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- 1,91</w:t>
            </w:r>
          </w:p>
        </w:tc>
        <w:tc>
          <w:tcPr>
            <w:tcW w:w="666" w:type="dxa"/>
            <w:gridSpan w:val="2"/>
            <w:vMerge w:val="continue"/>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671" w:type="dxa"/>
            <w:tcBorders>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96,11</w:t>
            </w:r>
          </w:p>
        </w:tc>
      </w:tr>
    </w:tbl>
    <w:p>
      <w:pPr>
        <w:pStyle w:val="ListParagraph"/>
        <w:spacing w:lineRule="auto" w:line="360"/>
        <w:ind w:left="709" w:hanging="0"/>
        <w:rPr>
          <w:rFonts w:ascii="Times New Roman" w:hAnsi="Times New Roman" w:eastAsia="Times New Roman"/>
          <w:sz w:val="24"/>
          <w:szCs w:val="28"/>
          <w:lang w:eastAsia="ru-RU"/>
        </w:rPr>
      </w:pPr>
      <w:r>
        <w:rPr>
          <w:rFonts w:eastAsia="Times New Roman" w:ascii="Times New Roman" w:hAnsi="Times New Roman"/>
          <w:sz w:val="24"/>
          <w:szCs w:val="28"/>
          <w:lang w:eastAsia="ru-RU"/>
        </w:rPr>
      </w:r>
    </w:p>
    <w:p>
      <w:pPr>
        <w:pStyle w:val="Normal"/>
        <w:spacing w:lineRule="auto" w:line="348"/>
        <w:ind w:firstLine="709"/>
        <w:rPr>
          <w:rFonts w:ascii="Times New Roman" w:hAnsi="Times New Roman"/>
          <w:sz w:val="28"/>
          <w:szCs w:val="28"/>
        </w:rPr>
      </w:pPr>
      <w:r>
        <w:rPr>
          <w:rFonts w:eastAsia="Times New Roman" w:ascii="Times New Roman" w:hAnsi="Times New Roman"/>
          <w:sz w:val="28"/>
          <w:szCs w:val="28"/>
          <w:lang w:eastAsia="ru-RU"/>
        </w:rPr>
        <w:t xml:space="preserve">За даними таблиці 3.12 видно, що згідно побудованих моделей визначено розрахункові дані </w:t>
      </w:r>
      <w:r>
        <w:rPr>
          <w:rFonts w:ascii="Times New Roman" w:hAnsi="Times New Roman"/>
          <w:sz w:val="28"/>
          <w:szCs w:val="28"/>
        </w:rPr>
        <w:t xml:space="preserve">питомої ваги активної частини основних фондів, коефіцієнта введення основних фондів, технічної фондоозброєності, трудомісткості та питомої ваги робітників у складі працівників </w:t>
      </w:r>
      <w:r>
        <w:rPr>
          <w:rFonts w:eastAsia="Times New Roman" w:ascii="Times New Roman" w:hAnsi="Times New Roman"/>
          <w:sz w:val="28"/>
          <w:szCs w:val="28"/>
          <w:lang w:eastAsia="ru-RU"/>
        </w:rPr>
        <w:t xml:space="preserve">ТОВ «НЕЙЛ». Ці значення є достатньо наближеними до їх фактичних даних. Однак результати прогнозування, не за усіма моделями виявились позитивними. Зокрема, слід відмовитись від прогнозування за трендовою моделлю (3.10), оскільки вона не лише показала скорочення рівня </w:t>
      </w:r>
      <w:r>
        <w:rPr>
          <w:rFonts w:ascii="Times New Roman" w:hAnsi="Times New Roman"/>
          <w:sz w:val="28"/>
          <w:szCs w:val="28"/>
        </w:rPr>
        <w:t>трудомісткості у 2021 р., але в подальших роках отримано від’ємне значення цього показника. З економічної точки зору таке не припустиме. Невтішним також виявився прогноз за моделлю (3.8), за якою відбувається подальше зменшення коефіцієнт введення основних фондів. Ця ситуація може бути викликана не досить великими темпами нарощування виробничих потужностей, тому підприємству вистачає власних засобів праці і йому не потрібно їх придбавати.</w:t>
      </w:r>
    </w:p>
    <w:p>
      <w:pPr>
        <w:pStyle w:val="Normal"/>
        <w:spacing w:lineRule="auto" w:line="348"/>
        <w:ind w:firstLine="709"/>
        <w:rPr>
          <w:rFonts w:ascii="Times New Roman" w:hAnsi="Times New Roman" w:eastAsia="Times New Roman"/>
          <w:sz w:val="28"/>
          <w:szCs w:val="28"/>
          <w:lang w:eastAsia="ru-RU"/>
        </w:rPr>
      </w:pPr>
      <w:r>
        <w:rPr>
          <w:rFonts w:ascii="Times New Roman" w:hAnsi="Times New Roman"/>
          <w:sz w:val="28"/>
          <w:szCs w:val="28"/>
        </w:rPr>
        <w:t xml:space="preserve">Позитивними є результати прогнозування питомої ваги активної частини основних фондів, за моделлю (3.7). За нею у майбутньому буде покращуватись структура основних фондів. У 2021 р. вона становитиме 84,02 % проти 78,73 % у 2020 р. та 76,68 % її фактичного значення у звітному році. </w:t>
      </w:r>
    </w:p>
    <w:p>
      <w:pPr>
        <w:pStyle w:val="Normal"/>
        <w:spacing w:lineRule="auto" w:line="348"/>
        <w:ind w:firstLine="709"/>
        <w:rPr>
          <w:rFonts w:ascii="Times New Roman" w:hAnsi="Times New Roman"/>
          <w:sz w:val="28"/>
          <w:szCs w:val="28"/>
        </w:rPr>
      </w:pPr>
      <w:r>
        <w:rPr>
          <w:rFonts w:eastAsia="Times New Roman" w:ascii="Times New Roman" w:hAnsi="Times New Roman"/>
          <w:sz w:val="28"/>
          <w:szCs w:val="28"/>
          <w:lang w:eastAsia="ru-RU"/>
        </w:rPr>
        <w:t xml:space="preserve">Аналогічні зміни відбуваються щодо зміни </w:t>
      </w:r>
      <w:r>
        <w:rPr>
          <w:rFonts w:ascii="Times New Roman" w:hAnsi="Times New Roman"/>
          <w:sz w:val="28"/>
          <w:szCs w:val="28"/>
        </w:rPr>
        <w:t>технічної фондоозброєності і питомої ваги робітників у складі персоналу виробничого підприємства. Як змодельовані так і прогнозні їх значення зростають з року в рік.</w:t>
      </w:r>
    </w:p>
    <w:p>
      <w:pPr>
        <w:pStyle w:val="Normal"/>
        <w:spacing w:lineRule="auto" w:line="348"/>
        <w:ind w:firstLine="709"/>
        <w:rPr>
          <w:rFonts w:ascii="Times New Roman" w:hAnsi="Times New Roman"/>
          <w:sz w:val="28"/>
          <w:szCs w:val="28"/>
        </w:rPr>
      </w:pPr>
      <w:r>
        <w:rPr>
          <w:rFonts w:ascii="Times New Roman" w:hAnsi="Times New Roman"/>
          <w:sz w:val="28"/>
          <w:szCs w:val="28"/>
        </w:rPr>
        <w:t>Підставивши прогнозні значення зміни відібраних п’яти факторів у побудовані економетричні моделі з (3.1) по (3.5) отримаємо прогнозні дані фондовіддачі у найближчих три роки (таблиця 3.13 та рисунок 3.6).</w:t>
      </w:r>
    </w:p>
    <w:p>
      <w:pPr>
        <w:pStyle w:val="Normal"/>
        <w:spacing w:lineRule="auto" w:line="348"/>
        <w:ind w:firstLine="709"/>
        <w:rPr>
          <w:rFonts w:ascii="Times New Roman" w:hAnsi="Times New Roman"/>
          <w:sz w:val="28"/>
          <w:szCs w:val="28"/>
        </w:rPr>
      </w:pPr>
      <w:r>
        <w:rPr>
          <w:rFonts w:ascii="Times New Roman" w:hAnsi="Times New Roman"/>
          <w:sz w:val="28"/>
          <w:szCs w:val="28"/>
        </w:rPr>
        <w:t xml:space="preserve">Як свідчать дані таблиці 3.13 (останніх три стовпчики) та наочне зображення на рисунку 3.6, у подальшому рівень фондовіддачі буде зростати за моделями з (3.1) по (3.4). На жаль, якщо здійснювати прогнозування за однофакторною моделлю (3.5), то фондовіддача з року в рік буде скорочуватись. </w:t>
      </w:r>
    </w:p>
    <w:p>
      <w:pPr>
        <w:pStyle w:val="Normal"/>
        <w:spacing w:lineRule="auto" w:line="348"/>
        <w:ind w:firstLine="709"/>
        <w:rPr>
          <w:rFonts w:ascii="Times New Roman" w:hAnsi="Times New Roman" w:eastAsia="Times New Roman"/>
          <w:sz w:val="28"/>
          <w:szCs w:val="28"/>
          <w:lang w:eastAsia="ru-RU"/>
        </w:rPr>
      </w:pPr>
      <w:r>
        <w:rPr>
          <w:rFonts w:ascii="Times New Roman" w:hAnsi="Times New Roman"/>
          <w:sz w:val="28"/>
          <w:szCs w:val="28"/>
        </w:rPr>
        <w:t xml:space="preserve">Результати моделювання та подальшого прогнозування варто донести до менеджерів </w:t>
      </w:r>
      <w:r>
        <w:rPr>
          <w:rFonts w:eastAsia="Times New Roman" w:ascii="Times New Roman" w:hAnsi="Times New Roman"/>
          <w:sz w:val="28"/>
          <w:szCs w:val="28"/>
          <w:lang w:eastAsia="ru-RU"/>
        </w:rPr>
        <w:t xml:space="preserve">ТОВ «НЕЙЛ». Вони повинні виходячи з економічної ситуації на підприємстві, з можливостей її зміни обирати той варіант, який на їх думку буде більш результативним. </w:t>
      </w:r>
    </w:p>
    <w:p>
      <w:pPr>
        <w:sectPr>
          <w:headerReference w:type="default" r:id="rId88"/>
          <w:footerReference w:type="default" r:id="rId89"/>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48"/>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Зокрема, здійснивши моделювання за різними моделями, ми бачимо, що переважно рівень </w:t>
      </w:r>
      <w:r>
        <w:rPr>
          <w:rFonts w:ascii="Times New Roman" w:hAnsi="Times New Roman"/>
          <w:sz w:val="28"/>
          <w:szCs w:val="28"/>
        </w:rPr>
        <w:t xml:space="preserve">фондовіддачі буде зростати, що вказує на покращення ефективності використання засобів праці на </w:t>
      </w:r>
      <w:r>
        <w:rPr>
          <w:rFonts w:eastAsia="Times New Roman" w:ascii="Times New Roman" w:hAnsi="Times New Roman"/>
          <w:sz w:val="28"/>
          <w:szCs w:val="28"/>
          <w:lang w:eastAsia="ru-RU"/>
        </w:rPr>
        <w:t>ТОВ «НЕЙЛ».</w:t>
      </w:r>
    </w:p>
    <w:p>
      <w:pPr>
        <w:pStyle w:val="Normal"/>
        <w:spacing w:lineRule="auto" w:line="360"/>
        <w:ind w:left="709" w:firstLine="709"/>
        <w:rPr>
          <w:rFonts w:ascii="Times New Roman" w:hAnsi="Times New Roman"/>
          <w:color w:val="000000"/>
          <w:sz w:val="28"/>
          <w:szCs w:val="28"/>
        </w:rPr>
      </w:pPr>
      <w:r>
        <w:rPr>
          <w:rFonts w:ascii="Times New Roman" w:hAnsi="Times New Roman"/>
          <w:color w:val="000000"/>
          <w:sz w:val="28"/>
          <w:szCs w:val="28"/>
        </w:rPr>
        <w:t xml:space="preserve">Таблиця 3.13 – Динаміка </w:t>
      </w:r>
      <w:r>
        <w:rPr>
          <w:rFonts w:ascii="Times New Roman" w:hAnsi="Times New Roman"/>
          <w:sz w:val="28"/>
          <w:szCs w:val="28"/>
        </w:rPr>
        <w:t xml:space="preserve">фондовіддачі </w:t>
      </w:r>
      <w:r>
        <w:rPr>
          <w:rFonts w:ascii="Times New Roman" w:hAnsi="Times New Roman"/>
          <w:color w:val="000000"/>
          <w:sz w:val="28"/>
          <w:szCs w:val="28"/>
        </w:rPr>
        <w:t>та основних факторів, що здійснюють на неї вплив за результатами трендового прогнозування</w:t>
      </w:r>
    </w:p>
    <w:tbl>
      <w:tblPr>
        <w:tblW w:w="14562" w:type="dxa"/>
        <w:jc w:val="left"/>
        <w:tblInd w:w="0" w:type="dxa"/>
        <w:tblCellMar>
          <w:top w:w="0" w:type="dxa"/>
          <w:left w:w="108" w:type="dxa"/>
          <w:bottom w:w="0" w:type="dxa"/>
          <w:right w:w="108" w:type="dxa"/>
        </w:tblCellMar>
        <w:tblLook w:firstRow="1" w:noVBand="1" w:lastRow="0" w:firstColumn="1" w:lastColumn="0" w:noHBand="0" w:val="04a0"/>
      </w:tblPr>
      <w:tblGrid>
        <w:gridCol w:w="1789"/>
        <w:gridCol w:w="2953"/>
        <w:gridCol w:w="491"/>
        <w:gridCol w:w="2"/>
        <w:gridCol w:w="664"/>
        <w:gridCol w:w="1"/>
        <w:gridCol w:w="664"/>
        <w:gridCol w:w="2"/>
        <w:gridCol w:w="664"/>
        <w:gridCol w:w="1"/>
        <w:gridCol w:w="664"/>
        <w:gridCol w:w="1"/>
        <w:gridCol w:w="664"/>
        <w:gridCol w:w="2"/>
        <w:gridCol w:w="664"/>
        <w:gridCol w:w="1"/>
        <w:gridCol w:w="664"/>
        <w:gridCol w:w="2"/>
        <w:gridCol w:w="664"/>
        <w:gridCol w:w="1"/>
        <w:gridCol w:w="664"/>
        <w:gridCol w:w="2"/>
        <w:gridCol w:w="664"/>
        <w:gridCol w:w="1"/>
        <w:gridCol w:w="664"/>
        <w:gridCol w:w="2"/>
        <w:gridCol w:w="664"/>
        <w:gridCol w:w="1"/>
        <w:gridCol w:w="664"/>
        <w:gridCol w:w="2"/>
        <w:gridCol w:w="676"/>
      </w:tblGrid>
      <w:tr>
        <w:trPr>
          <w:trHeight w:val="20" w:hRule="atLeast"/>
        </w:trPr>
        <w:tc>
          <w:tcPr>
            <w:tcW w:w="5235" w:type="dxa"/>
            <w:gridSpan w:val="4"/>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Показники</w:t>
            </w:r>
          </w:p>
        </w:tc>
        <w:tc>
          <w:tcPr>
            <w:tcW w:w="9327" w:type="dxa"/>
            <w:gridSpan w:val="27"/>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Абсолютне значення за роками</w:t>
            </w:r>
          </w:p>
        </w:tc>
      </w:tr>
      <w:tr>
        <w:trPr>
          <w:trHeight w:val="20" w:hRule="atLeast"/>
        </w:trPr>
        <w:tc>
          <w:tcPr>
            <w:tcW w:w="5235" w:type="dxa"/>
            <w:gridSpan w:val="4"/>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2019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2022</w:t>
            </w:r>
          </w:p>
        </w:tc>
        <w:tc>
          <w:tcPr>
            <w:tcW w:w="67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2023</w:t>
            </w:r>
          </w:p>
        </w:tc>
      </w:tr>
      <w:tr>
        <w:trPr>
          <w:trHeight w:val="20" w:hRule="atLeast"/>
        </w:trPr>
        <w:tc>
          <w:tcPr>
            <w:tcW w:w="1789"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Фактичні дані:</w:t>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Фондовіддача,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6,61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5,99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4,07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7,94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9,58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11,59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11,26</w:t>
            </w:r>
          </w:p>
        </w:tc>
        <w:tc>
          <w:tcPr>
            <w:tcW w:w="2009" w:type="dxa"/>
            <w:gridSpan w:val="6"/>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sz w:val="20"/>
                <w:szCs w:val="20"/>
                <w:lang w:eastAsia="uk-UA"/>
              </w:rPr>
            </w:pPr>
            <w:r>
              <w:rPr>
                <w:rFonts w:eastAsia="Times New Roman" w:ascii="Times New Roman" w:hAnsi="Times New Roman"/>
                <w:sz w:val="20"/>
                <w:szCs w:val="20"/>
                <w:lang w:eastAsia="uk-UA"/>
              </w:rPr>
              <w:t>прогноз</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активної</w:t>
            </w:r>
          </w:p>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 xml:space="preserve"> </w:t>
            </w:r>
            <w:r>
              <w:rPr>
                <w:rFonts w:eastAsia="Times New Roman" w:ascii="Times New Roman" w:hAnsi="Times New Roman"/>
                <w:color w:val="000000"/>
                <w:sz w:val="20"/>
                <w:szCs w:val="20"/>
                <w:lang w:eastAsia="uk-UA"/>
              </w:rPr>
              <w:t>частини ОФ, %</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73,97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75,97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72,17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71,31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58,90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63,63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68,11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68,73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74,72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74,84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76,68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84,02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90,24</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97,39</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Коефіцієнт введення, п</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0,23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0,02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0,11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0,08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0,07</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0,05</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Фондоозброєність технічна,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24,10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28,10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27,33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24,25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19,78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21,06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33,58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30,15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44,72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36,55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38,12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46,73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51,89</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57,59</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Трудомісткість, грн</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6,06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5,73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5,41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8,90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5,66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3,71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2,71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2,58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1,93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1,84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0,04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-0,91</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-1,91</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Питома вага робітників, %</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X</w:t>
            </w:r>
            <w:r>
              <w:rPr>
                <w:rFonts w:eastAsia="Times New Roman" w:ascii="Times New Roman" w:hAnsi="Times New Roman"/>
                <w:color w:val="000000"/>
                <w:sz w:val="20"/>
                <w:szCs w:val="20"/>
                <w:vertAlign w:val="subscript"/>
                <w:lang w:eastAsia="uk-UA"/>
              </w:rPr>
              <w:t>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76,53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83,21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81,51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81,27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93,56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91,25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94,24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92,21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91,41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97,07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96,55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96,48</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20"/>
                <w:szCs w:val="20"/>
              </w:rPr>
            </w:pPr>
            <w:r>
              <w:rPr>
                <w:rFonts w:ascii="Times New Roman" w:hAnsi="Times New Roman"/>
                <w:sz w:val="20"/>
                <w:szCs w:val="20"/>
              </w:rPr>
              <w:t>96,11</w:t>
            </w:r>
          </w:p>
        </w:tc>
      </w:tr>
      <w:tr>
        <w:trPr>
          <w:trHeight w:val="20" w:hRule="atLeast"/>
        </w:trPr>
        <w:tc>
          <w:tcPr>
            <w:tcW w:w="1789" w:type="dxa"/>
            <w:vMerge w:val="restart"/>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Змодельовані та прогнозні дані фондовіддачі:</w:t>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(3.1)</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r>
              <w:rPr>
                <w:rFonts w:eastAsia="Times New Roman" w:ascii="Times New Roman" w:hAnsi="Times New Roman"/>
                <w:color w:val="000000"/>
                <w:sz w:val="20"/>
                <w:szCs w:val="20"/>
                <w:vertAlign w:val="subscript"/>
                <w:lang w:eastAsia="uk-UA"/>
              </w:rPr>
              <w:t>p</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lang w:eastAsia="uk-UA"/>
              </w:rPr>
            </w:pPr>
            <w:r>
              <w:rPr>
                <w:rFonts w:ascii="Times New Roman" w:hAnsi="Times New Roman"/>
                <w:color w:val="000000"/>
                <w:sz w:val="20"/>
                <w:szCs w:val="20"/>
              </w:rPr>
              <w:t>5,92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6,86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6,47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3,54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5,78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8,25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8,64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10,02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9,05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10,99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11,18</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13,15</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14,58</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16,13</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(3.2)</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r>
              <w:rPr>
                <w:rFonts w:eastAsia="Times New Roman" w:ascii="Times New Roman" w:hAnsi="Times New Roman"/>
                <w:color w:val="000000"/>
                <w:sz w:val="20"/>
                <w:szCs w:val="20"/>
                <w:vertAlign w:val="subscript"/>
                <w:lang w:eastAsia="uk-UA"/>
              </w:rPr>
              <w:t>p1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5,93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6,34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6,63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3,24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6,53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8,40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9,41</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9,51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10,13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10,31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10,29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12,03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12,95</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13,92</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(3.3)</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Y</w:t>
            </w:r>
            <w:r>
              <w:rPr>
                <w:rFonts w:eastAsia="Times New Roman" w:ascii="Times New Roman" w:hAnsi="Times New Roman"/>
                <w:color w:val="000000"/>
                <w:sz w:val="20"/>
                <w:szCs w:val="20"/>
                <w:vertAlign w:val="subscript"/>
                <w:lang w:eastAsia="uk-UA"/>
              </w:rPr>
              <w:t>p2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6,67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7,52</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7,36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6,70</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5,75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6,03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8,69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7,96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11,06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9,32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9,65</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11,48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12,58</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13,79</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(3.4)</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lang w:eastAsia="uk-UA"/>
              </w:rPr>
            </w:pPr>
            <w:r>
              <w:rPr>
                <w:rFonts w:ascii="Times New Roman" w:hAnsi="Times New Roman"/>
                <w:color w:val="000000"/>
                <w:sz w:val="20"/>
                <w:szCs w:val="20"/>
              </w:rPr>
              <w:t>Y</w:t>
            </w:r>
            <w:r>
              <w:rPr>
                <w:rFonts w:ascii="Times New Roman" w:hAnsi="Times New Roman"/>
                <w:color w:val="000000"/>
                <w:sz w:val="20"/>
                <w:szCs w:val="20"/>
                <w:vertAlign w:val="subscript"/>
              </w:rPr>
              <w:t>p3</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6,03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6,37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6,69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3,19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6,44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8,39</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9,39</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9,52</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10,17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10,28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10,26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12,06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13,01</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14,01</w:t>
            </w:r>
          </w:p>
        </w:tc>
      </w:tr>
      <w:tr>
        <w:trPr>
          <w:trHeight w:val="20" w:hRule="atLeast"/>
        </w:trPr>
        <w:tc>
          <w:tcPr>
            <w:tcW w:w="1789" w:type="dxa"/>
            <w:vMerge w:val="continue"/>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r>
          </w:p>
        </w:tc>
        <w:tc>
          <w:tcPr>
            <w:tcW w:w="29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eastAsia="Times New Roman"/>
                <w:color w:val="000000"/>
                <w:sz w:val="20"/>
                <w:szCs w:val="20"/>
                <w:lang w:eastAsia="uk-UA"/>
              </w:rPr>
            </w:pPr>
            <w:r>
              <w:rPr>
                <w:rFonts w:eastAsia="Times New Roman" w:ascii="Times New Roman" w:hAnsi="Times New Roman"/>
                <w:color w:val="000000"/>
                <w:sz w:val="20"/>
                <w:szCs w:val="20"/>
                <w:lang w:eastAsia="uk-UA"/>
              </w:rPr>
              <w:t>за моделлю (3.5)</w:t>
            </w:r>
          </w:p>
        </w:tc>
        <w:tc>
          <w:tcPr>
            <w:tcW w:w="49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Y</w:t>
            </w:r>
            <w:r>
              <w:rPr>
                <w:rFonts w:ascii="Times New Roman" w:hAnsi="Times New Roman"/>
                <w:color w:val="000000"/>
                <w:sz w:val="20"/>
                <w:szCs w:val="20"/>
                <w:vertAlign w:val="subscript"/>
              </w:rPr>
              <w:t>p4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4,64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6,37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5,93</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5,87</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9,06</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8,46</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9,24</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8,71</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8,50</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9,98</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9,97</w:t>
            </w:r>
          </w:p>
        </w:tc>
        <w:tc>
          <w:tcPr>
            <w:tcW w:w="6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9,84</w:t>
            </w:r>
          </w:p>
        </w:tc>
        <w:tc>
          <w:tcPr>
            <w:tcW w:w="66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9,82</w:t>
            </w:r>
          </w:p>
        </w:tc>
        <w:tc>
          <w:tcPr>
            <w:tcW w:w="678"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 w:val="20"/>
                <w:szCs w:val="20"/>
              </w:rPr>
            </w:pPr>
            <w:r>
              <w:rPr>
                <w:rFonts w:ascii="Times New Roman" w:hAnsi="Times New Roman"/>
                <w:color w:val="000000"/>
                <w:sz w:val="20"/>
                <w:szCs w:val="20"/>
              </w:rPr>
              <w:t>9,72</w:t>
            </w:r>
          </w:p>
        </w:tc>
      </w:tr>
    </w:tbl>
    <w:p>
      <w:pPr>
        <w:pStyle w:val="Normal"/>
        <w:spacing w:lineRule="auto" w:line="360"/>
        <w:ind w:left="720" w:firstLine="709"/>
        <w:rPr>
          <w:rFonts w:ascii="Times New Roman" w:hAnsi="Times New Roman" w:eastAsia="Times New Roman"/>
          <w:sz w:val="18"/>
          <w:szCs w:val="28"/>
          <w:lang w:eastAsia="ru-RU"/>
        </w:rPr>
      </w:pPr>
      <w:r>
        <w:rPr>
          <w:rFonts w:eastAsia="Times New Roman" w:ascii="Times New Roman" w:hAnsi="Times New Roman"/>
          <w:sz w:val="18"/>
          <w:szCs w:val="28"/>
          <w:lang w:eastAsia="ru-RU"/>
        </w:rPr>
      </w:r>
    </w:p>
    <w:p>
      <w:pPr>
        <w:pStyle w:val="ListParagraph"/>
        <w:spacing w:lineRule="auto" w:line="360"/>
        <w:ind w:left="0" w:hanging="0"/>
        <w:jc w:val="center"/>
        <w:rPr>
          <w:rFonts w:ascii="Times New Roman" w:hAnsi="Times New Roman" w:eastAsia="Times New Roman"/>
          <w:sz w:val="28"/>
          <w:szCs w:val="28"/>
          <w:lang w:eastAsia="ru-RU"/>
        </w:rPr>
      </w:pPr>
      <w:r>
        <w:rPr/>
        <w:drawing>
          <wp:inline distT="0" distB="0" distL="0" distR="0">
            <wp:extent cx="8086725" cy="2314575"/>
            <wp:effectExtent l="0" t="0" r="0" b="0"/>
            <wp:docPr id="30"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 descr=""/>
                    <pic:cNvPicPr>
                      <a:picLocks noChangeAspect="1" noChangeArrowheads="1"/>
                    </pic:cNvPicPr>
                  </pic:nvPicPr>
                  <pic:blipFill>
                    <a:blip r:embed="rId90"/>
                    <a:stretch>
                      <a:fillRect/>
                    </a:stretch>
                  </pic:blipFill>
                  <pic:spPr bwMode="auto">
                    <a:xfrm>
                      <a:off x="0" y="0"/>
                      <a:ext cx="8086725" cy="2314575"/>
                    </a:xfrm>
                    <a:prstGeom prst="rect">
                      <a:avLst/>
                    </a:prstGeom>
                  </pic:spPr>
                </pic:pic>
              </a:graphicData>
            </a:graphic>
          </wp:inline>
        </w:drawing>
      </w:r>
    </w:p>
    <w:p>
      <w:pPr>
        <w:pStyle w:val="ListParagraph"/>
        <w:spacing w:lineRule="auto" w:line="360"/>
        <w:ind w:left="709" w:hanging="0"/>
        <w:rPr>
          <w:rFonts w:ascii="Times New Roman" w:hAnsi="Times New Roman" w:eastAsia="Times New Roman"/>
          <w:sz w:val="24"/>
          <w:szCs w:val="28"/>
          <w:lang w:eastAsia="ru-RU"/>
        </w:rPr>
      </w:pPr>
      <w:r>
        <w:rPr>
          <w:rFonts w:eastAsia="Times New Roman" w:ascii="Times New Roman" w:hAnsi="Times New Roman"/>
          <w:sz w:val="24"/>
          <w:szCs w:val="28"/>
          <w:lang w:eastAsia="ru-RU"/>
        </w:rPr>
      </w:r>
    </w:p>
    <w:p>
      <w:pPr>
        <w:sectPr>
          <w:headerReference w:type="default" r:id="rId91"/>
          <w:footerReference w:type="default" r:id="rId92"/>
          <w:type w:val="nextPage"/>
          <w:pgSz w:orient="landscape" w:w="16838" w:h="11906"/>
          <w:pgMar w:left="1134" w:right="1134" w:header="708" w:top="765" w:footer="708" w:bottom="1701" w:gutter="0"/>
          <w:pgNumType w:fmt="decimal"/>
          <w:formProt w:val="false"/>
          <w:textDirection w:val="lrTb"/>
          <w:docGrid w:type="default" w:linePitch="360" w:charSpace="0"/>
        </w:sectPr>
        <w:pStyle w:val="ListParagraph"/>
        <w:spacing w:lineRule="auto" w:line="360"/>
        <w:ind w:left="0" w:hanging="0"/>
        <w:jc w:val="center"/>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Рисунок 3.6 – Динаміка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за моделями з(3.1) по (3.5) на основі трендового прогнозування зміни факторів</w:t>
      </w:r>
    </w:p>
    <w:p>
      <w:pPr>
        <w:pStyle w:val="Normal"/>
        <w:spacing w:lineRule="auto" w:line="360"/>
        <w:ind w:left="709" w:firstLine="709"/>
        <w:rPr>
          <w:rFonts w:ascii="Times New Roman" w:hAnsi="Times New Roman"/>
          <w:sz w:val="28"/>
          <w:szCs w:val="28"/>
        </w:rPr>
      </w:pPr>
      <w:r>
        <w:rPr>
          <w:rFonts w:eastAsia="Times New Roman" w:ascii="Times New Roman" w:hAnsi="Times New Roman"/>
          <w:sz w:val="28"/>
          <w:szCs w:val="28"/>
          <w:lang w:eastAsia="ru-RU"/>
        </w:rPr>
        <w:t xml:space="preserve">У процесі проведеного дослідження змодельоване (модель з (3.1), по (3.6) та зпрогнозоване значення </w:t>
      </w:r>
      <w:r>
        <w:rPr>
          <w:rFonts w:ascii="Times New Roman" w:hAnsi="Times New Roman"/>
          <w:sz w:val="28"/>
          <w:szCs w:val="28"/>
        </w:rPr>
        <w:t xml:space="preserve">фондовіддачі щодо зміни: </w:t>
      </w:r>
    </w:p>
    <w:p>
      <w:pPr>
        <w:pStyle w:val="Normal"/>
        <w:spacing w:lineRule="auto" w:line="360"/>
        <w:ind w:left="720" w:firstLine="709"/>
        <w:rPr>
          <w:rFonts w:ascii="Times New Roman" w:hAnsi="Times New Roman"/>
          <w:sz w:val="28"/>
          <w:szCs w:val="28"/>
        </w:rPr>
      </w:pPr>
      <w:r>
        <w:rPr>
          <w:rFonts w:ascii="Times New Roman" w:hAnsi="Times New Roman"/>
          <w:sz w:val="28"/>
          <w:szCs w:val="28"/>
        </w:rPr>
        <w:t>1) питомої ваги активної частини основних фондів (х</w:t>
      </w:r>
      <w:r>
        <w:rPr>
          <w:rFonts w:ascii="Times New Roman" w:hAnsi="Times New Roman"/>
          <w:sz w:val="28"/>
          <w:szCs w:val="28"/>
          <w:vertAlign w:val="subscript"/>
        </w:rPr>
        <w:t>1</w:t>
      </w:r>
      <w:r>
        <w:rPr>
          <w:rFonts w:ascii="Times New Roman" w:hAnsi="Times New Roman"/>
          <w:sz w:val="28"/>
          <w:szCs w:val="28"/>
        </w:rPr>
        <w:t>), коефіцієнта введення основних фондів (х</w:t>
      </w:r>
      <w:r>
        <w:rPr>
          <w:rFonts w:ascii="Times New Roman" w:hAnsi="Times New Roman"/>
          <w:sz w:val="28"/>
          <w:szCs w:val="28"/>
          <w:vertAlign w:val="subscript"/>
        </w:rPr>
        <w:t>2</w:t>
      </w:r>
      <w:r>
        <w:rPr>
          <w:rFonts w:ascii="Times New Roman" w:hAnsi="Times New Roman"/>
          <w:sz w:val="28"/>
          <w:szCs w:val="28"/>
        </w:rPr>
        <w:t>), технічної фондоозброєності (х</w:t>
      </w:r>
      <w:r>
        <w:rPr>
          <w:rFonts w:ascii="Times New Roman" w:hAnsi="Times New Roman"/>
          <w:sz w:val="28"/>
          <w:szCs w:val="28"/>
          <w:vertAlign w:val="subscript"/>
        </w:rPr>
        <w:t>3</w:t>
      </w:r>
      <w:r>
        <w:rPr>
          <w:rFonts w:ascii="Times New Roman" w:hAnsi="Times New Roman"/>
          <w:sz w:val="28"/>
          <w:szCs w:val="28"/>
        </w:rPr>
        <w:t>), трудомісткості (х</w:t>
      </w:r>
      <w:r>
        <w:rPr>
          <w:rFonts w:ascii="Times New Roman" w:hAnsi="Times New Roman"/>
          <w:sz w:val="28"/>
          <w:szCs w:val="28"/>
          <w:vertAlign w:val="subscript"/>
        </w:rPr>
        <w:t>4</w:t>
      </w:r>
      <w:r>
        <w:rPr>
          <w:rFonts w:ascii="Times New Roman" w:hAnsi="Times New Roman"/>
          <w:sz w:val="28"/>
          <w:szCs w:val="28"/>
        </w:rPr>
        <w:t>) та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(3.1));</w:t>
      </w:r>
    </w:p>
    <w:p>
      <w:pPr>
        <w:pStyle w:val="Normal"/>
        <w:spacing w:lineRule="auto" w:line="360"/>
        <w:ind w:left="720" w:firstLine="709"/>
        <w:rPr>
          <w:rFonts w:ascii="Times New Roman" w:hAnsi="Times New Roman"/>
          <w:sz w:val="28"/>
          <w:szCs w:val="28"/>
        </w:rPr>
      </w:pPr>
      <w:r>
        <w:rPr>
          <w:rFonts w:ascii="Times New Roman" w:hAnsi="Times New Roman"/>
          <w:sz w:val="28"/>
          <w:szCs w:val="28"/>
        </w:rPr>
        <w:t>2) технічної фондоозброєності (х</w:t>
      </w:r>
      <w:r>
        <w:rPr>
          <w:rFonts w:ascii="Times New Roman" w:hAnsi="Times New Roman"/>
          <w:sz w:val="28"/>
          <w:szCs w:val="28"/>
          <w:vertAlign w:val="subscript"/>
        </w:rPr>
        <w:t>3</w:t>
      </w:r>
      <w:r>
        <w:rPr>
          <w:rFonts w:ascii="Times New Roman" w:hAnsi="Times New Roman"/>
          <w:sz w:val="28"/>
          <w:szCs w:val="28"/>
        </w:rPr>
        <w:t>), трудомісткості (х</w:t>
      </w:r>
      <w:r>
        <w:rPr>
          <w:rFonts w:ascii="Times New Roman" w:hAnsi="Times New Roman"/>
          <w:sz w:val="28"/>
          <w:szCs w:val="28"/>
          <w:vertAlign w:val="subscript"/>
        </w:rPr>
        <w:t>4</w:t>
      </w:r>
      <w:r>
        <w:rPr>
          <w:rFonts w:ascii="Times New Roman" w:hAnsi="Times New Roman"/>
          <w:sz w:val="28"/>
          <w:szCs w:val="28"/>
        </w:rPr>
        <w:t>) та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(3.2));</w:t>
      </w:r>
    </w:p>
    <w:p>
      <w:pPr>
        <w:pStyle w:val="Normal"/>
        <w:spacing w:lineRule="auto" w:line="360"/>
        <w:ind w:left="720" w:firstLine="709"/>
        <w:rPr>
          <w:rFonts w:ascii="Times New Roman" w:hAnsi="Times New Roman"/>
          <w:sz w:val="28"/>
          <w:szCs w:val="28"/>
        </w:rPr>
      </w:pPr>
      <w:r>
        <w:rPr>
          <w:rFonts w:ascii="Times New Roman" w:hAnsi="Times New Roman"/>
          <w:sz w:val="28"/>
          <w:szCs w:val="28"/>
        </w:rPr>
        <w:t>3) технічної фондоозброєності (х</w:t>
      </w:r>
      <w:r>
        <w:rPr>
          <w:rFonts w:ascii="Times New Roman" w:hAnsi="Times New Roman"/>
          <w:sz w:val="28"/>
          <w:szCs w:val="28"/>
          <w:vertAlign w:val="subscript"/>
        </w:rPr>
        <w:t>3</w:t>
      </w:r>
      <w:r>
        <w:rPr>
          <w:rFonts w:ascii="Times New Roman" w:hAnsi="Times New Roman"/>
          <w:sz w:val="28"/>
          <w:szCs w:val="28"/>
        </w:rPr>
        <w:t>) (модель (3.3));</w:t>
      </w:r>
    </w:p>
    <w:p>
      <w:pPr>
        <w:pStyle w:val="Normal"/>
        <w:spacing w:lineRule="auto" w:line="360"/>
        <w:ind w:left="720" w:firstLine="709"/>
        <w:rPr>
          <w:rFonts w:ascii="Times New Roman" w:hAnsi="Times New Roman"/>
          <w:sz w:val="28"/>
          <w:szCs w:val="28"/>
        </w:rPr>
      </w:pPr>
      <w:r>
        <w:rPr>
          <w:rFonts w:ascii="Times New Roman" w:hAnsi="Times New Roman"/>
          <w:sz w:val="28"/>
          <w:szCs w:val="28"/>
        </w:rPr>
        <w:t>4) трудомісткості (х</w:t>
      </w:r>
      <w:r>
        <w:rPr>
          <w:rFonts w:ascii="Times New Roman" w:hAnsi="Times New Roman"/>
          <w:sz w:val="28"/>
          <w:szCs w:val="28"/>
          <w:vertAlign w:val="subscript"/>
        </w:rPr>
        <w:t>4</w:t>
      </w:r>
      <w:r>
        <w:rPr>
          <w:rFonts w:ascii="Times New Roman" w:hAnsi="Times New Roman"/>
          <w:sz w:val="28"/>
          <w:szCs w:val="28"/>
        </w:rPr>
        <w:t>) (модель (3.4));</w:t>
      </w:r>
    </w:p>
    <w:p>
      <w:pPr>
        <w:pStyle w:val="Normal"/>
        <w:spacing w:lineRule="auto" w:line="360"/>
        <w:ind w:left="720" w:firstLine="709"/>
        <w:rPr>
          <w:rFonts w:ascii="Times New Roman" w:hAnsi="Times New Roman"/>
          <w:sz w:val="28"/>
          <w:szCs w:val="28"/>
        </w:rPr>
      </w:pPr>
      <w:r>
        <w:rPr>
          <w:rFonts w:ascii="Times New Roman" w:hAnsi="Times New Roman"/>
          <w:sz w:val="28"/>
          <w:szCs w:val="28"/>
        </w:rPr>
        <w:t>5)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(3.5));</w:t>
      </w:r>
    </w:p>
    <w:p>
      <w:pPr>
        <w:pStyle w:val="Normal"/>
        <w:spacing w:lineRule="auto" w:line="360"/>
        <w:ind w:left="72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3) часового фактору </w:t>
      </w:r>
      <w:r>
        <w:rPr>
          <w:rFonts w:ascii="Times New Roman" w:hAnsi="Times New Roman"/>
          <w:sz w:val="28"/>
          <w:szCs w:val="28"/>
        </w:rPr>
        <w:t>(модель (3.6))</w:t>
      </w:r>
      <w:r>
        <w:rPr>
          <w:rFonts w:eastAsia="Times New Roman" w:ascii="Times New Roman" w:hAnsi="Times New Roman"/>
          <w:sz w:val="28"/>
          <w:szCs w:val="28"/>
          <w:lang w:eastAsia="ru-RU"/>
        </w:rPr>
        <w:t>.</w:t>
      </w:r>
    </w:p>
    <w:p>
      <w:pPr>
        <w:pStyle w:val="Normal"/>
        <w:spacing w:lineRule="auto" w:line="360"/>
        <w:ind w:left="720" w:firstLine="709"/>
        <w:rPr>
          <w:rFonts w:ascii="Times New Roman" w:hAnsi="Times New Roman"/>
          <w:sz w:val="28"/>
          <w:szCs w:val="28"/>
        </w:rPr>
      </w:pPr>
      <w:r>
        <w:rPr>
          <w:rFonts w:eastAsia="Times New Roman" w:ascii="Times New Roman" w:hAnsi="Times New Roman"/>
          <w:sz w:val="28"/>
          <w:szCs w:val="28"/>
          <w:lang w:eastAsia="ru-RU"/>
        </w:rPr>
        <w:t xml:space="preserve">Також досліджено вплив часового фактору на відібрані чинники, що впливають на зміну </w:t>
      </w:r>
      <w:r>
        <w:rPr>
          <w:rFonts w:ascii="Times New Roman" w:hAnsi="Times New Roman"/>
          <w:sz w:val="28"/>
          <w:szCs w:val="28"/>
        </w:rPr>
        <w:t>фондовіддачі. При цьому побудовано моделі з (3.7) по (3.11).</w:t>
      </w:r>
    </w:p>
    <w:p>
      <w:pPr>
        <w:pStyle w:val="Normal"/>
        <w:spacing w:lineRule="auto" w:line="360"/>
        <w:ind w:left="720" w:firstLine="709"/>
        <w:rPr>
          <w:rFonts w:ascii="Times New Roman" w:hAnsi="Times New Roman" w:eastAsia="Times New Roman"/>
          <w:sz w:val="28"/>
          <w:szCs w:val="28"/>
          <w:lang w:eastAsia="ru-RU"/>
        </w:rPr>
      </w:pPr>
      <w:r>
        <w:rPr>
          <w:rFonts w:ascii="Times New Roman" w:hAnsi="Times New Roman"/>
          <w:sz w:val="28"/>
          <w:szCs w:val="28"/>
        </w:rPr>
        <w:t xml:space="preserve">Усі побудовані моделі є адекватними (крім моделі (3.8)), тому за ними здійснено прогнозування зміни показника ефективності використання засобів праці </w:t>
      </w:r>
      <w:r>
        <w:rPr>
          <w:rFonts w:eastAsia="Times New Roman" w:ascii="Times New Roman" w:hAnsi="Times New Roman"/>
          <w:sz w:val="28"/>
          <w:szCs w:val="28"/>
          <w:lang w:eastAsia="ru-RU"/>
        </w:rPr>
        <w:t>ТОВ «НЕЙЛ». Прогнозування здійснено як за побудованими трендовими моделями так і за припущенням, що абсолютне значення відібраних факторів буде щорічно зростати на один відсоток.</w:t>
      </w:r>
    </w:p>
    <w:p>
      <w:pPr>
        <w:pStyle w:val="Normal"/>
        <w:spacing w:lineRule="auto" w:line="360"/>
        <w:ind w:left="720" w:firstLine="709"/>
        <w:rPr>
          <w:rFonts w:ascii="Times New Roman" w:hAnsi="Times New Roman"/>
          <w:sz w:val="28"/>
          <w:szCs w:val="28"/>
        </w:rPr>
      </w:pPr>
      <w:r>
        <w:rPr>
          <w:rFonts w:eastAsia="Times New Roman" w:ascii="Times New Roman" w:hAnsi="Times New Roman"/>
          <w:sz w:val="28"/>
          <w:szCs w:val="28"/>
          <w:lang w:eastAsia="ru-RU"/>
        </w:rPr>
        <w:t xml:space="preserve">Змодельовані та прогнозні значення </w:t>
      </w:r>
      <w:r>
        <w:rPr>
          <w:rFonts w:ascii="Times New Roman" w:hAnsi="Times New Roman"/>
          <w:sz w:val="28"/>
          <w:szCs w:val="28"/>
        </w:rPr>
        <w:t xml:space="preserve">фондовіддачі доводить його подальше зростання, що вказує на покращення ефективності використання основних фондів на </w:t>
      </w:r>
      <w:r>
        <w:rPr>
          <w:rFonts w:eastAsia="Times New Roman" w:ascii="Times New Roman" w:hAnsi="Times New Roman"/>
          <w:sz w:val="28"/>
          <w:szCs w:val="28"/>
          <w:lang w:eastAsia="ru-RU"/>
        </w:rPr>
        <w:t>ТОВ «НЕЙЛ».</w:t>
      </w:r>
    </w:p>
    <w:p>
      <w:pPr>
        <w:sectPr>
          <w:headerReference w:type="default" r:id="rId93"/>
          <w:footerReference w:type="default" r:id="rId94"/>
          <w:type w:val="nextPage"/>
          <w:pgSz w:w="11906" w:h="16838"/>
          <w:pgMar w:left="1701" w:right="567" w:header="708" w:top="1134" w:footer="708" w:bottom="1134" w:gutter="0"/>
          <w:pgNumType w:fmt="decimal"/>
          <w:formProt w:val="false"/>
          <w:textDirection w:val="lrTb"/>
          <w:docGrid w:type="default" w:linePitch="360" w:charSpace="0"/>
        </w:sectPr>
        <w:pStyle w:val="Normal"/>
        <w:spacing w:lineRule="auto" w:line="360"/>
        <w:ind w:left="720" w:firstLine="709"/>
        <w:rPr>
          <w:rFonts w:ascii="Times New Roman" w:hAnsi="Times New Roman" w:eastAsia="Times New Roman"/>
          <w:sz w:val="28"/>
          <w:szCs w:val="28"/>
          <w:lang w:eastAsia="ru-RU"/>
        </w:rPr>
      </w:pPr>
      <w:r>
        <w:rPr>
          <w:rFonts w:ascii="Times New Roman" w:hAnsi="Times New Roman"/>
          <w:sz w:val="28"/>
          <w:szCs w:val="28"/>
        </w:rPr>
        <w:t xml:space="preserve">Таким чином, результативність використання засобів праці виробничого підприємства реалізується через системне управління суб’єктом підприємництва щодо покращення ефективності використання у виробничому процесі власних основних фондів. </w:t>
      </w:r>
    </w:p>
    <w:p>
      <w:pPr>
        <w:pStyle w:val="Normal"/>
        <w:spacing w:lineRule="auto" w:line="360"/>
        <w:jc w:val="center"/>
        <w:rPr>
          <w:rFonts w:ascii="Times New Roman" w:hAnsi="Times New Roman"/>
          <w:b/>
          <w:b/>
          <w:sz w:val="28"/>
          <w:szCs w:val="28"/>
        </w:rPr>
      </w:pPr>
      <w:r>
        <w:rPr>
          <w:rFonts w:ascii="Times New Roman" w:hAnsi="Times New Roman"/>
          <w:b/>
          <w:sz w:val="28"/>
          <w:szCs w:val="28"/>
        </w:rPr>
        <w:t>ВИСНОВКИ</w:t>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60"/>
        <w:ind w:firstLine="709"/>
        <w:rPr>
          <w:rFonts w:ascii="Times New Roman" w:hAnsi="Times New Roman"/>
          <w:sz w:val="28"/>
          <w:szCs w:val="28"/>
        </w:rPr>
      </w:pPr>
      <w:r>
        <w:rPr>
          <w:rFonts w:ascii="Times New Roman" w:hAnsi="Times New Roman"/>
          <w:sz w:val="28"/>
          <w:szCs w:val="28"/>
        </w:rPr>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За сучасного стану господарювання проблема стабілізації стану та підвищення ефективності використання засобів праці є достатньо актуальною та потребує реального вирішення. Пріоритетним завданням щодо оптимізації ефективності використання основних виробничих фондів промислового підприємства є удосконалення їх структури; своєчасна заміна та модернізація морально застарілого устаткування; оптимізація стану матеріально-технічного забезпечення суб’єктів господарювання щодо ремонту та технічного обслуговування обладнання; запровадження прогресивних форм організації виробництва і праці; застосування результативних форм матеріального стимулювання персоналу; залучення інвестиційних коштів для модернізації матеріально-технічної бази суб’єкта підприємництва. Одночасно, за умов нестачі коштів, слід покращити інтенсивне використання засобів праці. Це є вагомим фактором зростання обсягів випуску продукції суб’єкта господарювання.</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 xml:space="preserve">Діагностування стану та </w:t>
      </w:r>
      <w:r>
        <w:rPr>
          <w:rFonts w:ascii="Times New Roman" w:hAnsi="Times New Roman"/>
          <w:iCs/>
          <w:sz w:val="28"/>
          <w:szCs w:val="28"/>
        </w:rPr>
        <w:t>показників ефективності використання основних фондів здійснено</w:t>
      </w:r>
      <w:r>
        <w:rPr>
          <w:rFonts w:ascii="Times New Roman" w:hAnsi="Times New Roman"/>
          <w:sz w:val="28"/>
          <w:szCs w:val="28"/>
        </w:rPr>
        <w:t xml:space="preserve"> за матеріалами виробничого підприємства </w:t>
      </w:r>
      <w:r>
        <w:rPr>
          <w:rFonts w:eastAsia="Times New Roman" w:ascii="Times New Roman" w:hAnsi="Times New Roman"/>
          <w:sz w:val="28"/>
          <w:szCs w:val="28"/>
          <w:lang w:eastAsia="ru-RU"/>
        </w:rPr>
        <w:t xml:space="preserve">ТОВ «НЕЙЛ». </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 xml:space="preserve">На </w:t>
      </w:r>
      <w:r>
        <w:rPr>
          <w:rFonts w:eastAsia="Times New Roman" w:ascii="Times New Roman" w:hAnsi="Times New Roman"/>
          <w:sz w:val="28"/>
          <w:szCs w:val="28"/>
          <w:lang w:eastAsia="ru-RU"/>
        </w:rPr>
        <w:t>ТОВ «НЕЙЛ»</w:t>
      </w:r>
      <w:r>
        <w:rPr>
          <w:rFonts w:ascii="Times New Roman" w:hAnsi="Times New Roman"/>
          <w:sz w:val="28"/>
          <w:szCs w:val="28"/>
        </w:rPr>
        <w:t>, за останніх десять років, відбувається зростання усіх кількісних та якісних показників. На їх значні темпи безперечно впливає і інфляційний чинник, проте результати господарювання виробничого підприємства є вдалими. Скорочення відбувається лише щодо витрат на гривню реалізованої продукції, чисельності персоналу та матеріаловіддачі. Це вказує на оптимізацію витрат пов’язаних зі збутом продукції, штату працівників та погіршення ефективності використання матеріалів, що негативно позначається на діяльності господарюючого суб’єкта.</w:t>
      </w:r>
    </w:p>
    <w:p>
      <w:pPr>
        <w:pStyle w:val="Normal"/>
        <w:spacing w:lineRule="auto" w:line="360"/>
        <w:ind w:firstLine="709"/>
        <w:rPr>
          <w:rFonts w:ascii="Times New Roman" w:hAnsi="Times New Roman"/>
          <w:sz w:val="28"/>
          <w:szCs w:val="28"/>
        </w:rPr>
      </w:pPr>
      <w:r>
        <w:rPr>
          <w:rFonts w:ascii="Times New Roman" w:hAnsi="Times New Roman"/>
          <w:sz w:val="28"/>
          <w:szCs w:val="28"/>
        </w:rPr>
        <w:t xml:space="preserve">Позитивним моментом у фінансовому плані </w:t>
      </w:r>
      <w:r>
        <w:rPr>
          <w:rFonts w:eastAsia="Times New Roman" w:ascii="Times New Roman" w:hAnsi="Times New Roman"/>
          <w:sz w:val="28"/>
          <w:szCs w:val="28"/>
          <w:lang w:eastAsia="ru-RU"/>
        </w:rPr>
        <w:t>ТОВ «НЕЙЛ»</w:t>
      </w:r>
      <w:r>
        <w:rPr>
          <w:rFonts w:ascii="Times New Roman" w:hAnsi="Times New Roman"/>
          <w:sz w:val="28"/>
          <w:szCs w:val="28"/>
        </w:rPr>
        <w:t xml:space="preserve"> є отримання чистого прибутку з 2011 р. по 2020 р. Однак у 2010 р. діяльність компанії була збитковою (збиток становив 779 тис. грн). Негативним моментом варто визнати стрімке зменшення чистого прибутку у 2012 р. на 395 тис. грн, у 2016 р.  на 3215 тис. грн. У подальшому розмір кінцевого фінансового результату спадає і становить 2470,8 тис. грн у звітному році.</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На ТОВ «НЕЙЛ», за досліджуваний період,</w:t>
      </w:r>
      <w:r>
        <w:rPr>
          <w:rFonts w:ascii="Times New Roman" w:hAnsi="Times New Roman"/>
          <w:sz w:val="28"/>
          <w:szCs w:val="28"/>
        </w:rPr>
        <w:t xml:space="preserve"> відбувається суттєве зростання вартості основних фондів, та їх частки, яка безпосередньо приймає участь у виробничому процесі (76,68 % у 2020 р.). Привабливою є висока питома вага активної частини основних фондів, яка коливається від 73 % до 77 %. У 2011 р. частка активної частини основних фондів зросла на 2,71 % до 75,96 %, далі відбувалося її незначне скорочення до 2014 р., зростання до 2020 р. Впродовж аналізованого періоду відбулося зростання частки активної частини на 2,46 %. </w:t>
      </w:r>
    </w:p>
    <w:p>
      <w:pPr>
        <w:pStyle w:val="Normal"/>
        <w:spacing w:lineRule="auto" w:line="360"/>
        <w:ind w:firstLine="737"/>
        <w:rPr>
          <w:rFonts w:ascii="Times New Roman" w:hAnsi="Times New Roman"/>
          <w:sz w:val="28"/>
          <w:szCs w:val="28"/>
        </w:rPr>
      </w:pPr>
      <w:r>
        <w:rPr>
          <w:rFonts w:eastAsia="Times New Roman" w:ascii="Times New Roman" w:hAnsi="Times New Roman"/>
          <w:sz w:val="28"/>
          <w:szCs w:val="28"/>
          <w:lang w:eastAsia="ru-RU"/>
        </w:rPr>
        <w:t>За невеликої вартості засобів праці щодо обсягу випуску продукції</w:t>
      </w:r>
      <w:r>
        <w:rPr>
          <w:rFonts w:ascii="Times New Roman" w:hAnsi="Times New Roman"/>
          <w:sz w:val="28"/>
          <w:szCs w:val="28"/>
        </w:rPr>
        <w:t xml:space="preserve"> на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досить високий рівень фондовіддачі у 2010 р. (6,61 грн), у 2015 р. (8,93 грн), у 2017 р. (9,58 грн) у 2019 р. (11,59 грн) та у звітному році (11,26 грн). Аналогічна тенденція властива і машиновіддачі у 2010 р. (8,94 грн), 2015 р. (14,03 грн), 2017 р. (13,94 грн), у 2019 р. (15,49 грн) та у 2020 р. (14,69 грн). Продовж </w:t>
      </w:r>
      <w:r>
        <w:rPr>
          <w:rFonts w:eastAsia="Times New Roman" w:ascii="Times New Roman" w:hAnsi="Times New Roman"/>
          <w:sz w:val="28"/>
          <w:szCs w:val="28"/>
          <w:lang w:eastAsia="ru-RU"/>
        </w:rPr>
        <w:t>досліджува</w:t>
      </w:r>
      <w:r>
        <w:rPr>
          <w:rFonts w:ascii="Times New Roman" w:hAnsi="Times New Roman"/>
          <w:sz w:val="28"/>
          <w:szCs w:val="28"/>
        </w:rPr>
        <w:t>ного періоду машиновіддача коливається та зросла на 64,26 % загалом. Зростання помітне у 2012 р. на 11,13 %, на 67,44 % у 2014 р., на 47,02 % у 2015 р., на 19,66 % у 2017 р. і на 22,39 % у 2019 р. Все це вказує на покращення ефективності використання активної частини засобів праці. Зменшення розміру як фондо- так і машиновіддачі у 2011 р., у 2013 р., 2016 р., 2018 р. та у звітному році свідчать про погіршення ефективності використання основних фондів</w:t>
      </w:r>
      <w:r>
        <w:rPr>
          <w:rFonts w:eastAsia="Times New Roman" w:ascii="Times New Roman" w:hAnsi="Times New Roman"/>
          <w:sz w:val="28"/>
          <w:szCs w:val="28"/>
          <w:lang w:eastAsia="ru-RU"/>
        </w:rPr>
        <w:t xml:space="preserve"> ТОВ «НЕЙЛ»</w:t>
      </w:r>
      <w:r>
        <w:rPr>
          <w:rFonts w:ascii="Times New Roman" w:hAnsi="Times New Roman"/>
          <w:sz w:val="28"/>
          <w:szCs w:val="28"/>
        </w:rPr>
        <w:t>.</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З 2010 р. по 2020 р. рівень фондовіддачі зріс на 4,65 грн. Зокрема, зростання відбулося у 2012 р. на 0,32 грн, у 2014 р. на 1,56 грн, у 2015 р. на 3,31 грн, у 2017 р. на 1,65 грн та у 2019 р. на 2,14 грн. Однак у 2011 р. на 0,94 грн, у 2013 р. на 1,92 грн, у 2016 р. на 0,99 грн, у 2018 р. на 0,13 грн та у 2017 р. на 0,33 грн спостерігається зменшення фондовіддачі.</w:t>
      </w:r>
    </w:p>
    <w:p>
      <w:pPr>
        <w:pStyle w:val="Normal"/>
        <w:spacing w:lineRule="auto" w:line="348"/>
        <w:ind w:firstLine="851"/>
        <w:rPr>
          <w:rFonts w:ascii="Times New Roman" w:hAnsi="Times New Roman"/>
          <w:sz w:val="28"/>
          <w:szCs w:val="28"/>
        </w:rPr>
      </w:pPr>
      <w:r>
        <w:rPr>
          <w:rFonts w:ascii="Times New Roman" w:hAnsi="Times New Roman"/>
          <w:sz w:val="28"/>
          <w:szCs w:val="28"/>
        </w:rPr>
        <w:t xml:space="preserve">Зміна вартості основних фондів і рівня фондовіддачі призвели до нарощування обсягу товарної продукції у 2011 р. на 1111 тис. грн, у 2012 р. на 2189 тис. грн, у 2014 р. на 11165,5 тис. грн, у 2015 р. на 23566,5 тис. грн, у 2016 р. на 24869,7 тис. грн, у 2017 р. на 4982,6 тис. грн, у 2018 р. на 37809,5 тис. грн порівняно з попереднім роком. Спад виробництва спостерігаємо у 2013 р. (на 18973 тис. грн), у 2019 р. (на 502 тис. грн) та у 2020 р. (на 2027 тис. грн) щодо попереднього року. За увесь аналізований період обсяг товарної продукції збільшився на 84192 тис. грн. </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Виявлені проблеми щодо ефективності використання основних фондів на ТОВ «НЕЙЛ» потребують моделювання цього процесу. Нами застосовано кореляційно-регресійний аналіз. В якості результативного показника обрано фондовіддачу. Відібрано п’ять факторів, які впливають на її зміну: </w:t>
      </w:r>
      <w:r>
        <w:rPr>
          <w:rFonts w:ascii="Times New Roman" w:hAnsi="Times New Roman"/>
          <w:sz w:val="28"/>
          <w:szCs w:val="28"/>
        </w:rPr>
        <w:t xml:space="preserve">трудомісткість, питома вага робітників у складі працівників, технічна фондоозброєність, коефіцієнта введення основних фондів, питомої ваги активної частини основних фондів. У роботі побудовано п’яти факторну модель (3.1), трьох факторну модель (3.2) і три одно факторних моделей з (3.3) по (3.5). </w:t>
      </w:r>
    </w:p>
    <w:p>
      <w:pPr>
        <w:pStyle w:val="Style25"/>
        <w:spacing w:lineRule="auto" w:line="360" w:before="0" w:after="0"/>
        <w:ind w:firstLine="709"/>
        <w:rPr>
          <w:rFonts w:ascii="Times New Roman" w:hAnsi="Times New Roman"/>
          <w:sz w:val="28"/>
          <w:szCs w:val="28"/>
        </w:rPr>
      </w:pPr>
      <w:r>
        <w:rPr>
          <w:rFonts w:ascii="Times New Roman" w:hAnsi="Times New Roman"/>
          <w:sz w:val="28"/>
          <w:szCs w:val="28"/>
        </w:rPr>
        <w:t xml:space="preserve">Якісні характеристики побудованих моделей доводять суттєвість зв’язку між відібраними показниками та адекватність побудованих моделей. Зважаючи на це було здійснимо прогнозування фондовіддачі двома методами: припустивши, що відібрані фактори будуть зростати на один відсоток щороку та на основі трендових моделей.  </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Зокрема, у 2021 р., якщо збільшити значення факторів на один відсоток (</w:t>
      </w:r>
      <w:r>
        <w:rPr>
          <w:rFonts w:ascii="Times New Roman" w:hAnsi="Times New Roman"/>
          <w:sz w:val="28"/>
          <w:szCs w:val="28"/>
        </w:rPr>
        <w:t>технічна фондоозброєність</w:t>
      </w:r>
      <w:r>
        <w:rPr>
          <w:rFonts w:eastAsia="Times New Roman" w:ascii="Times New Roman" w:hAnsi="Times New Roman"/>
          <w:sz w:val="28"/>
          <w:szCs w:val="28"/>
          <w:lang w:eastAsia="ru-RU"/>
        </w:rPr>
        <w:t xml:space="preserve"> буде становити 38,5 грн, </w:t>
      </w:r>
      <w:r>
        <w:rPr>
          <w:rFonts w:ascii="Times New Roman" w:hAnsi="Times New Roman"/>
          <w:sz w:val="28"/>
          <w:szCs w:val="28"/>
        </w:rPr>
        <w:t xml:space="preserve">трудомісткість </w:t>
      </w:r>
      <w:r>
        <w:rPr>
          <w:rFonts w:eastAsia="Times New Roman" w:ascii="Times New Roman" w:hAnsi="Times New Roman"/>
          <w:sz w:val="28"/>
          <w:szCs w:val="28"/>
          <w:lang w:eastAsia="ru-RU"/>
        </w:rPr>
        <w:t xml:space="preserve">1,86 грн, а </w:t>
      </w:r>
      <w:r>
        <w:rPr>
          <w:rFonts w:ascii="Times New Roman" w:hAnsi="Times New Roman"/>
          <w:sz w:val="28"/>
          <w:szCs w:val="28"/>
        </w:rPr>
        <w:t>питома вага робітників у складі працівників 98,04 %</w:t>
      </w:r>
      <w:r>
        <w:rPr>
          <w:rFonts w:eastAsia="Times New Roman" w:ascii="Times New Roman" w:hAnsi="Times New Roman"/>
          <w:sz w:val="28"/>
          <w:szCs w:val="28"/>
          <w:lang w:eastAsia="ru-RU"/>
        </w:rPr>
        <w:t xml:space="preserve">), то </w:t>
      </w:r>
      <w:r>
        <w:rPr>
          <w:rFonts w:ascii="Times New Roman" w:hAnsi="Times New Roman"/>
          <w:sz w:val="28"/>
          <w:szCs w:val="28"/>
        </w:rPr>
        <w:t xml:space="preserve">рівень фондовіддачі зросте на 0,84 % за моделлю (3.3) та на 2,53 % за моделлю (3.5) проти змодельованого значення у 2020 р. У подальших двох роках темпи зростання дещо збільшяться і фондовіддача у 2022 р. зросте на 1,69 % за моделлю (3.3) та на 5,08 % за моделлю (3.5), а у 2023 р. на 2,54 % та 7,66 % відповідно проти змодельованого її рівня. Хоча і незначне, але скорочення спостерігаємо результати прогнозування за моделлю (3.4): у 2021 р. на 0,18 %, у 2022 р. на 0,36 % та у 2023 р. на 0,54 % щодо змодельованого її рівня. Негативні тенденції, за усіма трьома однофакторними моделями, будуть спостерігатися у найближчих три роки щодо фактичного рівня фондовіддачі за 2020 р. </w:t>
      </w:r>
      <w:r>
        <w:rPr>
          <w:rFonts w:ascii="Times New Roman" w:hAnsi="Times New Roman"/>
          <w:color w:val="000000"/>
          <w:sz w:val="28"/>
          <w:szCs w:val="28"/>
        </w:rPr>
        <w:t>У звітному році вона становила 11,26 грн. За моделями (3.3), (3.4) та (3.5) вона суттєво зменшиться у 2021 р. на 13.57 %, 9,07 % та 9,21 % відповідно. У подальшому темпи скорочення збережуться.</w:t>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 xml:space="preserve">Отже, за зростання значення відібраних факторів на один відсоток, отримано позитивні результати прогнозування фондовіддачі за моделями з (3.1) по (3.3) та за моделлю (3.5). Ці результати варто довести до менеджерів </w:t>
      </w:r>
      <w:r>
        <w:rPr>
          <w:rFonts w:eastAsia="Times New Roman" w:ascii="Times New Roman" w:hAnsi="Times New Roman"/>
          <w:sz w:val="28"/>
          <w:szCs w:val="28"/>
          <w:lang w:eastAsia="ru-RU"/>
        </w:rPr>
        <w:t xml:space="preserve">ТОВ «НЕЙЛ» адже вони вказують на покращення </w:t>
      </w:r>
      <w:r>
        <w:rPr>
          <w:rFonts w:ascii="Times New Roman" w:hAnsi="Times New Roman"/>
          <w:sz w:val="28"/>
          <w:szCs w:val="28"/>
        </w:rPr>
        <w:t xml:space="preserve">ефективності використання засобів праці </w:t>
      </w:r>
      <w:r>
        <w:rPr>
          <w:rStyle w:val="Style14"/>
          <w:rFonts w:ascii="Times New Roman" w:hAnsi="Times New Roman"/>
          <w:sz w:val="28"/>
          <w:szCs w:val="28"/>
          <w:lang w:eastAsia="ru-RU"/>
        </w:rPr>
        <w:t>суб’єкта підприємництва.</w:t>
      </w:r>
      <w:r>
        <w:rPr>
          <w:rFonts w:eastAsia="Times New Roman" w:ascii="Times New Roman" w:hAnsi="Times New Roman"/>
          <w:sz w:val="28"/>
          <w:szCs w:val="28"/>
          <w:lang w:eastAsia="ru-RU"/>
        </w:rPr>
        <w:t xml:space="preserve"> </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Одночасно побудовано трендову модель зміни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 xml:space="preserve">за поліноміальною залежністю (3.6). Результати прогнозування засвідчують подальше стабільне зростання </w:t>
      </w:r>
      <w:r>
        <w:rPr>
          <w:rFonts w:ascii="Times New Roman" w:hAnsi="Times New Roman"/>
          <w:sz w:val="28"/>
          <w:szCs w:val="28"/>
        </w:rPr>
        <w:t>фондовіддачі</w:t>
      </w:r>
      <w:r>
        <w:rPr>
          <w:rFonts w:eastAsia="Times New Roman" w:ascii="Times New Roman" w:hAnsi="Times New Roman"/>
          <w:sz w:val="28"/>
          <w:szCs w:val="28"/>
          <w:lang w:eastAsia="ru-RU"/>
        </w:rPr>
        <w:t xml:space="preserve">, як щодо її фактичного так і розрахункового значення. Зокрема, за результатами трендового прогнозування стрімко зростає результативний показник щодо фактичного рівня </w:t>
      </w:r>
      <w:r>
        <w:rPr>
          <w:rFonts w:ascii="Times New Roman" w:hAnsi="Times New Roman"/>
          <w:sz w:val="28"/>
          <w:szCs w:val="28"/>
        </w:rPr>
        <w:t>фондовіддачі у звітному 2020 р. (11,26 грн)</w:t>
      </w:r>
      <w:r>
        <w:rPr>
          <w:rFonts w:eastAsia="Times New Roman" w:ascii="Times New Roman" w:hAnsi="Times New Roman"/>
          <w:sz w:val="28"/>
          <w:szCs w:val="28"/>
          <w:lang w:eastAsia="ru-RU"/>
        </w:rPr>
        <w:t xml:space="preserve">: у 2021 р. – на 21,19 %, у 2022 р. – на 35,38 % та у 2023 р. – на 50,87 %. Дещо уповільнились темпи приросту </w:t>
      </w:r>
      <w:r>
        <w:rPr>
          <w:rFonts w:ascii="Times New Roman" w:hAnsi="Times New Roman"/>
          <w:sz w:val="28"/>
          <w:szCs w:val="28"/>
        </w:rPr>
        <w:t xml:space="preserve">фондовіддачі щодо змодельованих даних. А саме вона збільшилась; </w:t>
      </w:r>
      <w:r>
        <w:rPr>
          <w:rFonts w:eastAsia="Times New Roman" w:ascii="Times New Roman" w:hAnsi="Times New Roman"/>
          <w:sz w:val="28"/>
          <w:szCs w:val="28"/>
          <w:lang w:eastAsia="ru-RU"/>
        </w:rPr>
        <w:t>у 2021 р. – на 11,89 %, у 2022 р. – на 11,71 % та у 2023 р. – на 11,44 % порівняно з попереднім роком.</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Одночасно досліджено вплив часового фактору на зміну п’яти відібраних чинників, що впливають на зміну </w:t>
      </w:r>
      <w:r>
        <w:rPr>
          <w:rFonts w:ascii="Times New Roman" w:hAnsi="Times New Roman"/>
          <w:sz w:val="28"/>
          <w:szCs w:val="28"/>
        </w:rPr>
        <w:t>фондовіддачі. Найбільший вплив часового фактору здійснюється на питому вагу робітників у складі працівників (83,71 %) та трудомісткість (69,02 %).</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У процесі проведеного дослідження змодельоване (модель з (3.1), по (3.6) та зпрогнозоване значення </w:t>
      </w:r>
      <w:r>
        <w:rPr>
          <w:rFonts w:ascii="Times New Roman" w:hAnsi="Times New Roman"/>
          <w:sz w:val="28"/>
          <w:szCs w:val="28"/>
        </w:rPr>
        <w:t xml:space="preserve">фондовіддачі </w:t>
      </w:r>
      <w:r>
        <w:rPr>
          <w:rFonts w:eastAsia="Times New Roman" w:ascii="Times New Roman" w:hAnsi="Times New Roman"/>
          <w:sz w:val="28"/>
          <w:szCs w:val="28"/>
          <w:lang w:eastAsia="ru-RU"/>
        </w:rPr>
        <w:t xml:space="preserve">ТОВ «НЕЙЛ» </w:t>
      </w:r>
      <w:r>
        <w:rPr>
          <w:rFonts w:ascii="Times New Roman" w:hAnsi="Times New Roman"/>
          <w:sz w:val="28"/>
          <w:szCs w:val="28"/>
        </w:rPr>
        <w:t xml:space="preserve">щодо зміни: </w:t>
      </w:r>
    </w:p>
    <w:p>
      <w:pPr>
        <w:pStyle w:val="Normal"/>
        <w:spacing w:lineRule="auto" w:line="360"/>
        <w:ind w:firstLine="709"/>
        <w:rPr>
          <w:rFonts w:ascii="Times New Roman" w:hAnsi="Times New Roman"/>
          <w:sz w:val="28"/>
          <w:szCs w:val="28"/>
        </w:rPr>
      </w:pPr>
      <w:r>
        <w:rPr>
          <w:rFonts w:ascii="Times New Roman" w:hAnsi="Times New Roman"/>
          <w:sz w:val="28"/>
          <w:szCs w:val="28"/>
        </w:rPr>
        <w:t>1) питомої ваги активної частини основних фондів (х</w:t>
      </w:r>
      <w:r>
        <w:rPr>
          <w:rFonts w:ascii="Times New Roman" w:hAnsi="Times New Roman"/>
          <w:sz w:val="28"/>
          <w:szCs w:val="28"/>
          <w:vertAlign w:val="subscript"/>
        </w:rPr>
        <w:t>1</w:t>
      </w:r>
      <w:r>
        <w:rPr>
          <w:rFonts w:ascii="Times New Roman" w:hAnsi="Times New Roman"/>
          <w:sz w:val="28"/>
          <w:szCs w:val="28"/>
        </w:rPr>
        <w:t>), коефіцієнта введення основних фондів (х</w:t>
      </w:r>
      <w:r>
        <w:rPr>
          <w:rFonts w:ascii="Times New Roman" w:hAnsi="Times New Roman"/>
          <w:sz w:val="28"/>
          <w:szCs w:val="28"/>
          <w:vertAlign w:val="subscript"/>
        </w:rPr>
        <w:t>2</w:t>
      </w:r>
      <w:r>
        <w:rPr>
          <w:rFonts w:ascii="Times New Roman" w:hAnsi="Times New Roman"/>
          <w:sz w:val="28"/>
          <w:szCs w:val="28"/>
        </w:rPr>
        <w:t>), технічної фондоозброєності (х</w:t>
      </w:r>
      <w:r>
        <w:rPr>
          <w:rFonts w:ascii="Times New Roman" w:hAnsi="Times New Roman"/>
          <w:sz w:val="28"/>
          <w:szCs w:val="28"/>
          <w:vertAlign w:val="subscript"/>
        </w:rPr>
        <w:t>3</w:t>
      </w:r>
      <w:r>
        <w:rPr>
          <w:rFonts w:ascii="Times New Roman" w:hAnsi="Times New Roman"/>
          <w:sz w:val="28"/>
          <w:szCs w:val="28"/>
        </w:rPr>
        <w:t>), трудомісткості (х</w:t>
      </w:r>
      <w:r>
        <w:rPr>
          <w:rFonts w:ascii="Times New Roman" w:hAnsi="Times New Roman"/>
          <w:sz w:val="28"/>
          <w:szCs w:val="28"/>
          <w:vertAlign w:val="subscript"/>
        </w:rPr>
        <w:t>4</w:t>
      </w:r>
      <w:r>
        <w:rPr>
          <w:rFonts w:ascii="Times New Roman" w:hAnsi="Times New Roman"/>
          <w:sz w:val="28"/>
          <w:szCs w:val="28"/>
        </w:rPr>
        <w:t>) та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(3.1));</w:t>
      </w:r>
    </w:p>
    <w:p>
      <w:pPr>
        <w:pStyle w:val="Normal"/>
        <w:spacing w:lineRule="auto" w:line="360"/>
        <w:ind w:firstLine="709"/>
        <w:rPr>
          <w:rFonts w:ascii="Times New Roman" w:hAnsi="Times New Roman"/>
          <w:sz w:val="28"/>
          <w:szCs w:val="28"/>
        </w:rPr>
      </w:pPr>
      <w:r>
        <w:rPr>
          <w:rFonts w:ascii="Times New Roman" w:hAnsi="Times New Roman"/>
          <w:sz w:val="28"/>
          <w:szCs w:val="28"/>
        </w:rPr>
        <w:t>2) технічної фондоозброєності (х</w:t>
      </w:r>
      <w:r>
        <w:rPr>
          <w:rFonts w:ascii="Times New Roman" w:hAnsi="Times New Roman"/>
          <w:sz w:val="28"/>
          <w:szCs w:val="28"/>
          <w:vertAlign w:val="subscript"/>
        </w:rPr>
        <w:t>3</w:t>
      </w:r>
      <w:r>
        <w:rPr>
          <w:rFonts w:ascii="Times New Roman" w:hAnsi="Times New Roman"/>
          <w:sz w:val="28"/>
          <w:szCs w:val="28"/>
        </w:rPr>
        <w:t>), трудомісткості (х</w:t>
      </w:r>
      <w:r>
        <w:rPr>
          <w:rFonts w:ascii="Times New Roman" w:hAnsi="Times New Roman"/>
          <w:sz w:val="28"/>
          <w:szCs w:val="28"/>
          <w:vertAlign w:val="subscript"/>
        </w:rPr>
        <w:t>4</w:t>
      </w:r>
      <w:r>
        <w:rPr>
          <w:rFonts w:ascii="Times New Roman" w:hAnsi="Times New Roman"/>
          <w:sz w:val="28"/>
          <w:szCs w:val="28"/>
        </w:rPr>
        <w:t>) та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(3.2));</w:t>
      </w:r>
    </w:p>
    <w:p>
      <w:pPr>
        <w:pStyle w:val="Normal"/>
        <w:spacing w:lineRule="auto" w:line="360"/>
        <w:ind w:firstLine="709"/>
        <w:rPr>
          <w:rFonts w:ascii="Times New Roman" w:hAnsi="Times New Roman"/>
          <w:sz w:val="28"/>
          <w:szCs w:val="28"/>
        </w:rPr>
      </w:pPr>
      <w:r>
        <w:rPr>
          <w:rFonts w:ascii="Times New Roman" w:hAnsi="Times New Roman"/>
          <w:sz w:val="28"/>
          <w:szCs w:val="28"/>
        </w:rPr>
        <w:t>3) технічної фондоозброєності (х</w:t>
      </w:r>
      <w:r>
        <w:rPr>
          <w:rFonts w:ascii="Times New Roman" w:hAnsi="Times New Roman"/>
          <w:sz w:val="28"/>
          <w:szCs w:val="28"/>
          <w:vertAlign w:val="subscript"/>
        </w:rPr>
        <w:t>3</w:t>
      </w:r>
      <w:r>
        <w:rPr>
          <w:rFonts w:ascii="Times New Roman" w:hAnsi="Times New Roman"/>
          <w:sz w:val="28"/>
          <w:szCs w:val="28"/>
        </w:rPr>
        <w:t>) (модель (3.3));</w:t>
      </w:r>
    </w:p>
    <w:p>
      <w:pPr>
        <w:pStyle w:val="Normal"/>
        <w:spacing w:lineRule="auto" w:line="360"/>
        <w:ind w:firstLine="709"/>
        <w:rPr>
          <w:rFonts w:ascii="Times New Roman" w:hAnsi="Times New Roman"/>
          <w:sz w:val="28"/>
          <w:szCs w:val="28"/>
        </w:rPr>
      </w:pPr>
      <w:r>
        <w:rPr>
          <w:rFonts w:ascii="Times New Roman" w:hAnsi="Times New Roman"/>
          <w:sz w:val="28"/>
          <w:szCs w:val="28"/>
        </w:rPr>
        <w:t>4) трудомісткості (х</w:t>
      </w:r>
      <w:r>
        <w:rPr>
          <w:rFonts w:ascii="Times New Roman" w:hAnsi="Times New Roman"/>
          <w:sz w:val="28"/>
          <w:szCs w:val="28"/>
          <w:vertAlign w:val="subscript"/>
        </w:rPr>
        <w:t>4</w:t>
      </w:r>
      <w:r>
        <w:rPr>
          <w:rFonts w:ascii="Times New Roman" w:hAnsi="Times New Roman"/>
          <w:sz w:val="28"/>
          <w:szCs w:val="28"/>
        </w:rPr>
        <w:t>) (модель (3.4));</w:t>
      </w:r>
    </w:p>
    <w:p>
      <w:pPr>
        <w:pStyle w:val="Normal"/>
        <w:spacing w:lineRule="auto" w:line="360"/>
        <w:ind w:firstLine="709"/>
        <w:rPr>
          <w:rFonts w:ascii="Times New Roman" w:hAnsi="Times New Roman"/>
          <w:sz w:val="28"/>
          <w:szCs w:val="28"/>
        </w:rPr>
      </w:pPr>
      <w:r>
        <w:rPr>
          <w:rFonts w:ascii="Times New Roman" w:hAnsi="Times New Roman"/>
          <w:sz w:val="28"/>
          <w:szCs w:val="28"/>
        </w:rPr>
        <w:t>5) питомої ваги робітників у складі працівників (х</w:t>
      </w:r>
      <w:r>
        <w:rPr>
          <w:rFonts w:ascii="Times New Roman" w:hAnsi="Times New Roman"/>
          <w:sz w:val="28"/>
          <w:szCs w:val="28"/>
          <w:vertAlign w:val="subscript"/>
        </w:rPr>
        <w:t>5</w:t>
      </w:r>
      <w:r>
        <w:rPr>
          <w:rFonts w:ascii="Times New Roman" w:hAnsi="Times New Roman"/>
          <w:sz w:val="28"/>
          <w:szCs w:val="28"/>
        </w:rPr>
        <w:t>) (модель (3.5));</w:t>
      </w:r>
    </w:p>
    <w:p>
      <w:pPr>
        <w:pStyle w:val="Normal"/>
        <w:spacing w:lineRule="auto" w:line="360"/>
        <w:ind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t xml:space="preserve">3) часового фактору </w:t>
      </w:r>
      <w:r>
        <w:rPr>
          <w:rFonts w:ascii="Times New Roman" w:hAnsi="Times New Roman"/>
          <w:sz w:val="28"/>
          <w:szCs w:val="28"/>
        </w:rPr>
        <w:t>(модель (3.6))</w:t>
      </w:r>
      <w:r>
        <w:rPr>
          <w:rFonts w:eastAsia="Times New Roman" w:ascii="Times New Roman" w:hAnsi="Times New Roman"/>
          <w:sz w:val="28"/>
          <w:szCs w:val="28"/>
          <w:lang w:eastAsia="ru-RU"/>
        </w:rPr>
        <w:t>.</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Також досліджено вплив часового фактору на відібрані чинники, що впливають на зміну </w:t>
      </w:r>
      <w:r>
        <w:rPr>
          <w:rFonts w:ascii="Times New Roman" w:hAnsi="Times New Roman"/>
          <w:sz w:val="28"/>
          <w:szCs w:val="28"/>
        </w:rPr>
        <w:t>фондовіддачі. При цьому побудовано моделі з (3.7) по (3.11).</w:t>
      </w:r>
    </w:p>
    <w:p>
      <w:pPr>
        <w:pStyle w:val="Normal"/>
        <w:spacing w:lineRule="auto" w:line="360"/>
        <w:ind w:firstLine="709"/>
        <w:rPr>
          <w:rFonts w:ascii="Times New Roman" w:hAnsi="Times New Roman" w:eastAsia="Times New Roman"/>
          <w:sz w:val="28"/>
          <w:szCs w:val="28"/>
          <w:lang w:eastAsia="ru-RU"/>
        </w:rPr>
      </w:pPr>
      <w:r>
        <w:rPr>
          <w:rFonts w:ascii="Times New Roman" w:hAnsi="Times New Roman"/>
          <w:sz w:val="28"/>
          <w:szCs w:val="28"/>
        </w:rPr>
        <w:t xml:space="preserve">Усі побудовані моделі є адекватними (крім моделі (3.8)), тому за ними здійснено прогнозування зміни показника ефективності використання засобів праці </w:t>
      </w:r>
      <w:r>
        <w:rPr>
          <w:rFonts w:eastAsia="Times New Roman" w:ascii="Times New Roman" w:hAnsi="Times New Roman"/>
          <w:sz w:val="28"/>
          <w:szCs w:val="28"/>
          <w:lang w:eastAsia="ru-RU"/>
        </w:rPr>
        <w:t>ТОВ «НЕЙЛ». Прогнозування здійснено як за побудованими трендовими моделями так і за припущенням, що абсолютне значення відібраних факторів буде щорічно зростати на один відсоток.</w:t>
      </w:r>
    </w:p>
    <w:p>
      <w:pPr>
        <w:pStyle w:val="Normal"/>
        <w:spacing w:lineRule="auto" w:line="360"/>
        <w:ind w:firstLine="709"/>
        <w:rPr>
          <w:rFonts w:ascii="Times New Roman" w:hAnsi="Times New Roman"/>
          <w:sz w:val="28"/>
          <w:szCs w:val="28"/>
        </w:rPr>
      </w:pPr>
      <w:r>
        <w:rPr>
          <w:rFonts w:eastAsia="Times New Roman" w:ascii="Times New Roman" w:hAnsi="Times New Roman"/>
          <w:sz w:val="28"/>
          <w:szCs w:val="28"/>
          <w:lang w:eastAsia="ru-RU"/>
        </w:rPr>
        <w:t xml:space="preserve">Змодельовані та прогнозні дані </w:t>
      </w:r>
      <w:r>
        <w:rPr>
          <w:rFonts w:ascii="Times New Roman" w:hAnsi="Times New Roman"/>
          <w:sz w:val="28"/>
          <w:szCs w:val="28"/>
        </w:rPr>
        <w:t xml:space="preserve">фондовіддачі доводять її подальше зростання, що вказує на покращення ефективності використання основних засобів на </w:t>
      </w:r>
      <w:r>
        <w:rPr>
          <w:rFonts w:eastAsia="Times New Roman" w:ascii="Times New Roman" w:hAnsi="Times New Roman"/>
          <w:sz w:val="28"/>
          <w:szCs w:val="28"/>
          <w:lang w:eastAsia="ru-RU"/>
        </w:rPr>
        <w:t>ТОВ «НЕЙЛ».</w:t>
      </w:r>
    </w:p>
    <w:p>
      <w:pPr>
        <w:sectPr>
          <w:headerReference w:type="default" r:id="rId95"/>
          <w:footerReference w:type="default" r:id="rId96"/>
          <w:type w:val="nextPage"/>
          <w:pgSz w:w="11906" w:h="16838"/>
          <w:pgMar w:left="1701" w:right="567" w:header="709" w:top="1134" w:footer="709" w:bottom="1134" w:gutter="0"/>
          <w:pgNumType w:fmt="decimal"/>
          <w:formProt w:val="false"/>
          <w:titlePg/>
          <w:textDirection w:val="lrTb"/>
          <w:docGrid w:type="default" w:linePitch="360" w:charSpace="0"/>
        </w:sectPr>
        <w:pStyle w:val="Normal"/>
        <w:spacing w:lineRule="auto" w:line="360"/>
        <w:ind w:firstLine="709"/>
        <w:rPr>
          <w:rFonts w:ascii="Times New Roman" w:hAnsi="Times New Roman"/>
          <w:sz w:val="28"/>
          <w:szCs w:val="28"/>
        </w:rPr>
      </w:pPr>
      <w:r>
        <w:rPr>
          <w:rFonts w:ascii="Times New Roman" w:hAnsi="Times New Roman"/>
          <w:sz w:val="28"/>
          <w:szCs w:val="28"/>
        </w:rPr>
      </w:r>
    </w:p>
    <w:p>
      <w:pPr>
        <w:pStyle w:val="Normal"/>
        <w:spacing w:lineRule="auto" w:line="336"/>
        <w:jc w:val="center"/>
        <w:rPr>
          <w:rFonts w:ascii="Times New Roman" w:hAnsi="Times New Roman"/>
          <w:sz w:val="28"/>
          <w:szCs w:val="28"/>
        </w:rPr>
      </w:pPr>
      <w:r>
        <w:rPr>
          <w:rFonts w:ascii="Times New Roman" w:hAnsi="Times New Roman"/>
          <w:b/>
          <w:sz w:val="28"/>
          <w:szCs w:val="28"/>
        </w:rPr>
        <w:t>ПЕРЕЛІК ДЖЕРЕЛ ПОСИЛАННЯ</w:t>
      </w:r>
      <w:r>
        <w:rPr>
          <w:rFonts w:ascii="Times New Roman" w:hAnsi="Times New Roman"/>
          <w:sz w:val="28"/>
          <w:szCs w:val="28"/>
        </w:rPr>
        <w:t xml:space="preserve"> </w:t>
      </w:r>
    </w:p>
    <w:p>
      <w:pPr>
        <w:pStyle w:val="Normal"/>
        <w:spacing w:lineRule="auto" w:line="336"/>
        <w:ind w:firstLine="709"/>
        <w:jc w:val="center"/>
        <w:rPr>
          <w:rFonts w:ascii="Times New Roman" w:hAnsi="Times New Roman"/>
          <w:sz w:val="28"/>
          <w:szCs w:val="28"/>
        </w:rPr>
      </w:pPr>
      <w:r>
        <w:rPr>
          <w:rFonts w:ascii="Times New Roman" w:hAnsi="Times New Roman"/>
          <w:sz w:val="28"/>
          <w:szCs w:val="28"/>
        </w:rPr>
      </w:r>
    </w:p>
    <w:p>
      <w:pPr>
        <w:pStyle w:val="Normal"/>
        <w:spacing w:lineRule="auto" w:line="336"/>
        <w:ind w:firstLine="709"/>
        <w:jc w:val="center"/>
        <w:rPr>
          <w:rFonts w:ascii="Times New Roman" w:hAnsi="Times New Roman"/>
          <w:sz w:val="28"/>
          <w:szCs w:val="28"/>
        </w:rPr>
      </w:pPr>
      <w:r>
        <w:rPr>
          <w:rFonts w:ascii="Times New Roman" w:hAnsi="Times New Roman"/>
          <w:sz w:val="28"/>
          <w:szCs w:val="28"/>
        </w:rPr>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Андреєва Г. І.  Економічний аналіз / Г. І. Андреєва. – Київ.: Знання, 2008. – 263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Андрійчук В. Г. Економіка аграрних підприємств: підручник. – 2-ге вид, доп. і перероблене / В.Г. Андрійчук. – Київ: КНЕУ, 2002. – 624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eastAsia="Times New Roman" w:ascii="Times New Roman" w:hAnsi="Times New Roman"/>
          <w:sz w:val="28"/>
          <w:szCs w:val="28"/>
        </w:rPr>
        <w:t>Бєлікова Н.В. Інтенсифікація та ефективність оновлення активної частини основних виробничих фондів промислових підприємств / Автореферат дисертації на здобуття наукового ступеня кандидата економічних наук. Харківський національний економічний університет. – Харків. – 2007. – 20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Бланк И. А. Словарь-справочник финансового менеджера / И. А. Бланк. – Київ: Ника-Центр, 1998. – 480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Борисов А. Б. Большой экономический словарь / А. Б. Борисов.– Москва: Книжный мир, 1999. – 894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pacing w:val="-3"/>
          <w:sz w:val="28"/>
          <w:szCs w:val="28"/>
        </w:rPr>
        <w:t xml:space="preserve">Бутинець </w:t>
      </w:r>
      <w:r>
        <w:rPr>
          <w:rFonts w:ascii="Times New Roman" w:hAnsi="Times New Roman"/>
          <w:sz w:val="28"/>
          <w:szCs w:val="28"/>
        </w:rPr>
        <w:t xml:space="preserve">Ф. Ф. Бухгалтерський облік у зарубіжних країнах: навч. </w:t>
      </w:r>
      <w:r>
        <w:rPr>
          <w:rFonts w:ascii="Times New Roman" w:hAnsi="Times New Roman"/>
          <w:spacing w:val="-3"/>
          <w:sz w:val="28"/>
          <w:szCs w:val="28"/>
        </w:rPr>
        <w:t xml:space="preserve">посібник </w:t>
      </w:r>
      <w:r>
        <w:rPr>
          <w:rFonts w:ascii="Times New Roman" w:hAnsi="Times New Roman"/>
          <w:sz w:val="28"/>
          <w:szCs w:val="28"/>
        </w:rPr>
        <w:t xml:space="preserve">/ Ф.Ф. </w:t>
      </w:r>
      <w:r>
        <w:rPr>
          <w:rFonts w:ascii="Times New Roman" w:hAnsi="Times New Roman"/>
          <w:spacing w:val="-3"/>
          <w:sz w:val="28"/>
          <w:szCs w:val="28"/>
        </w:rPr>
        <w:t xml:space="preserve">Бутинець, </w:t>
      </w:r>
      <w:r>
        <w:rPr>
          <w:rFonts w:ascii="Times New Roman" w:hAnsi="Times New Roman"/>
          <w:sz w:val="28"/>
          <w:szCs w:val="28"/>
        </w:rPr>
        <w:t xml:space="preserve">Л. Л. </w:t>
      </w:r>
      <w:r>
        <w:rPr>
          <w:rFonts w:ascii="Times New Roman" w:hAnsi="Times New Roman"/>
          <w:spacing w:val="-3"/>
          <w:sz w:val="28"/>
          <w:szCs w:val="28"/>
        </w:rPr>
        <w:t xml:space="preserve">Горецька </w:t>
      </w:r>
      <w:r>
        <w:rPr>
          <w:rFonts w:ascii="Times New Roman" w:hAnsi="Times New Roman"/>
          <w:sz w:val="28"/>
          <w:szCs w:val="28"/>
        </w:rPr>
        <w:t>– Житомир: ПП «Рута», 2010. – 544</w:t>
      </w:r>
      <w:r>
        <w:rPr>
          <w:rFonts w:ascii="Times New Roman" w:hAnsi="Times New Roman"/>
          <w:spacing w:val="17"/>
          <w:sz w:val="28"/>
          <w:szCs w:val="28"/>
        </w:rPr>
        <w:t xml:space="preserve"> </w:t>
      </w:r>
      <w:r>
        <w:rPr>
          <w:rFonts w:ascii="Times New Roman" w:hAnsi="Times New Roman"/>
          <w:sz w:val="28"/>
          <w:szCs w:val="28"/>
        </w:rPr>
        <w:t>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Волков Д. П. Місце і роль операційної діяльності в системі підприємництва / Д. П. Волков // Вісник Житомирського державного технологічного університету.  ЖДТУ. – 2013. – № 3 (53). – С. 235.</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w w:val="105"/>
          <w:sz w:val="28"/>
          <w:szCs w:val="28"/>
          <w:lang w:val="ru-RU"/>
        </w:rPr>
        <w:t>Голов</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С.</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Концепции</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амортизації</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та</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її</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вплив</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на</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облік</w:t>
      </w:r>
      <w:r>
        <w:rPr>
          <w:rFonts w:ascii="Times New Roman" w:hAnsi="Times New Roman"/>
          <w:spacing w:val="-28"/>
          <w:w w:val="105"/>
          <w:sz w:val="28"/>
          <w:szCs w:val="28"/>
          <w:lang w:val="ru-RU"/>
        </w:rPr>
        <w:t xml:space="preserve"> </w:t>
      </w:r>
      <w:r>
        <w:rPr>
          <w:rFonts w:ascii="Times New Roman" w:hAnsi="Times New Roman"/>
          <w:w w:val="105"/>
          <w:sz w:val="28"/>
          <w:szCs w:val="28"/>
          <w:lang w:val="ru-RU"/>
        </w:rPr>
        <w:t xml:space="preserve">і управління в сучасних умовах // Бухгалтерський облік і аудит. </w:t>
      </w:r>
      <w:r>
        <w:rPr>
          <w:rFonts w:ascii="Times New Roman" w:hAnsi="Times New Roman"/>
          <w:sz w:val="28"/>
          <w:szCs w:val="28"/>
          <w:lang w:val="ru-RU"/>
        </w:rPr>
        <w:t>–</w:t>
      </w:r>
      <w:r>
        <w:rPr>
          <w:rFonts w:ascii="Times New Roman" w:hAnsi="Times New Roman"/>
          <w:w w:val="105"/>
          <w:sz w:val="28"/>
          <w:szCs w:val="28"/>
          <w:lang w:val="ru-RU"/>
        </w:rPr>
        <w:t xml:space="preserve"> 2004. </w:t>
      </w:r>
      <w:r>
        <w:rPr>
          <w:rFonts w:ascii="Times New Roman" w:hAnsi="Times New Roman"/>
          <w:sz w:val="28"/>
          <w:szCs w:val="28"/>
          <w:lang w:val="ru-RU"/>
        </w:rPr>
        <w:t>–</w:t>
      </w:r>
      <w:r>
        <w:rPr>
          <w:rFonts w:ascii="Times New Roman" w:hAnsi="Times New Roman"/>
          <w:w w:val="105"/>
          <w:sz w:val="28"/>
          <w:szCs w:val="28"/>
          <w:lang w:val="ru-RU"/>
        </w:rPr>
        <w:t xml:space="preserve"> №8. </w:t>
      </w:r>
      <w:r>
        <w:rPr>
          <w:rFonts w:ascii="Times New Roman" w:hAnsi="Times New Roman"/>
          <w:sz w:val="28"/>
          <w:szCs w:val="28"/>
          <w:lang w:val="ru-RU"/>
        </w:rPr>
        <w:t>–</w:t>
      </w:r>
      <w:r>
        <w:rPr>
          <w:rFonts w:ascii="Times New Roman" w:hAnsi="Times New Roman"/>
          <w:w w:val="105"/>
          <w:sz w:val="28"/>
          <w:szCs w:val="28"/>
          <w:lang w:val="ru-RU"/>
        </w:rPr>
        <w:t xml:space="preserve"> С.</w:t>
      </w:r>
      <w:r>
        <w:rPr>
          <w:rFonts w:ascii="Times New Roman" w:hAnsi="Times New Roman"/>
          <w:spacing w:val="-16"/>
          <w:w w:val="105"/>
          <w:sz w:val="28"/>
          <w:szCs w:val="28"/>
          <w:lang w:val="ru-RU"/>
        </w:rPr>
        <w:t xml:space="preserve"> </w:t>
      </w:r>
      <w:r>
        <w:rPr>
          <w:rFonts w:ascii="Times New Roman" w:hAnsi="Times New Roman"/>
          <w:w w:val="105"/>
          <w:sz w:val="28"/>
          <w:szCs w:val="28"/>
          <w:lang w:val="ru-RU"/>
        </w:rPr>
        <w:t>10</w:t>
      </w:r>
      <w:r>
        <w:rPr>
          <w:rFonts w:ascii="Times New Roman" w:hAnsi="Times New Roman"/>
          <w:sz w:val="28"/>
          <w:szCs w:val="28"/>
          <w:lang w:val="ru-RU"/>
        </w:rPr>
        <w:t xml:space="preserve"> –</w:t>
      </w:r>
      <w:r>
        <w:rPr>
          <w:rFonts w:ascii="Times New Roman" w:hAnsi="Times New Roman"/>
          <w:w w:val="105"/>
          <w:sz w:val="28"/>
          <w:szCs w:val="28"/>
          <w:lang w:val="ru-RU"/>
        </w:rPr>
        <w:t>11.</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Горобинська М.В. Підвищення ефективності використання основних фондів підприємств в умовах трансформації економіки: Автореф. дис. канд. екон. наук: 08.06.01 [Електронний ресурс] / М.В. Горобинська; Харк. держ. екон. ун-т. – Харків. – 2002. – 19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Городня Т. Обґрунтування стратегії підвищення ефективності відтворення та використання основних виробничих фондів підприємства / Т. Городня // Науковий вісник НЛТУ. – 2008.– №18.5.– С. 287– 290.</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Домбровская Е. Н. Экономические выгоды от использования основных средств и их влияние на релевантность отчетной информации / Е. Н. Домбровская // Международный бухгалтерский учет. – 2015. – № 33. – С. 24–33</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Дробишева О.О. Шляхи підвищення ефективності використання основних засобів на підприємстві / О.О. Дробишева, С.О. Вініченко // Економічний вісник ЗДІА. – 2014. Вип. 7. – С. 76–81.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Економічна енциклопедія: у трьох томах. Т. 2 / Ред. кол.: С.В. Мочерний (відп.ред.) та ін. – Київ: Видавничий центр «Академія», 2001. – 848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lang w:val="ru-RU"/>
        </w:rPr>
        <w:t xml:space="preserve">Єлькін А.В. Ефективність використання основних виробничих фондів на підприємствах: Дис. ... канд. екон. наук: 08.00.04 / А.В. Єлькін; Класичний приватний університет. – Запоріжжя, 2017. – 218 с.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Єщенко І. Сучасна економіка / І. Єщенко, Ю. Палкім. — Київ. Вища школа, 2005. – 327 с.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Завадський Й.С. Словник економічних термінів: менеджмент, маркетинг, підприємництво / Й.С. Завадський, Г.В. Осовська, О.О. Юшкевич: [Навч.-метод. посібник] – Житомир: ЖІТІ,1999. – 444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Загорна Т. О. Економічна діагностика: [навчальний посібник] / Т. О. Загорна. –</w:t>
      </w:r>
      <w:r>
        <w:rPr>
          <w:rFonts w:ascii="Times New Roman" w:hAnsi="Times New Roman"/>
          <w:b/>
          <w:iCs/>
          <w:sz w:val="28"/>
          <w:szCs w:val="28"/>
        </w:rPr>
        <w:t xml:space="preserve"> </w:t>
      </w:r>
      <w:r>
        <w:rPr>
          <w:rFonts w:ascii="Times New Roman" w:hAnsi="Times New Roman"/>
          <w:sz w:val="28"/>
          <w:szCs w:val="28"/>
        </w:rPr>
        <w:t xml:space="preserve"> Київ: Центр учбової літератури, 2007. –</w:t>
      </w:r>
      <w:r>
        <w:rPr>
          <w:rFonts w:ascii="Times New Roman" w:hAnsi="Times New Roman"/>
          <w:b/>
          <w:iCs/>
          <w:sz w:val="28"/>
          <w:szCs w:val="28"/>
        </w:rPr>
        <w:t xml:space="preserve"> </w:t>
      </w:r>
      <w:r>
        <w:rPr>
          <w:rFonts w:ascii="Times New Roman" w:hAnsi="Times New Roman"/>
          <w:sz w:val="28"/>
          <w:szCs w:val="28"/>
        </w:rPr>
        <w:t xml:space="preserve"> 400 с.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lang w:val="ru-RU"/>
        </w:rPr>
        <w:t>Загородній А.Г. Фінансово-економічний словник / А. Г. Загородній, Г.Л. Вознюк</w:t>
      </w:r>
      <w:r>
        <w:rPr>
          <w:rFonts w:ascii="Times New Roman" w:hAnsi="Times New Roman"/>
          <w:sz w:val="28"/>
          <w:szCs w:val="28"/>
        </w:rPr>
        <w:t>, Т.С. Смовженко</w:t>
      </w:r>
      <w:r>
        <w:rPr>
          <w:rFonts w:ascii="Times New Roman" w:hAnsi="Times New Roman"/>
          <w:sz w:val="28"/>
          <w:szCs w:val="28"/>
          <w:lang w:val="ru-RU"/>
        </w:rPr>
        <w:t>. – Київ: Знання, 2007. – 1072</w:t>
      </w:r>
      <w:r>
        <w:rPr>
          <w:rFonts w:ascii="Times New Roman" w:hAnsi="Times New Roman"/>
          <w:spacing w:val="-5"/>
          <w:sz w:val="28"/>
          <w:szCs w:val="28"/>
          <w:lang w:val="ru-RU"/>
        </w:rPr>
        <w:t xml:space="preserve"> </w:t>
      </w:r>
      <w:r>
        <w:rPr>
          <w:rFonts w:ascii="Times New Roman" w:hAnsi="Times New Roman"/>
          <w:sz w:val="28"/>
          <w:szCs w:val="28"/>
          <w:lang w:val="ru-RU"/>
        </w:rPr>
        <w:t>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Ігнашкіна Т. Б. Моделювання стану та ефективності відтворення основних фондів промислових підприємств // Т. Б. Ігнашкіна, Н. О. Шура. // Вісник ЖДТУ. –</w:t>
      </w:r>
      <w:r>
        <w:rPr>
          <w:rFonts w:ascii="Times New Roman" w:hAnsi="Times New Roman"/>
          <w:b/>
          <w:iCs/>
          <w:sz w:val="28"/>
          <w:szCs w:val="28"/>
        </w:rPr>
        <w:t xml:space="preserve"> </w:t>
      </w:r>
      <w:r>
        <w:rPr>
          <w:rFonts w:ascii="Times New Roman" w:hAnsi="Times New Roman"/>
          <w:sz w:val="28"/>
          <w:szCs w:val="28"/>
        </w:rPr>
        <w:t xml:space="preserve"> 2011. –</w:t>
      </w:r>
      <w:r>
        <w:rPr>
          <w:rFonts w:ascii="Times New Roman" w:hAnsi="Times New Roman"/>
          <w:b/>
          <w:iCs/>
          <w:sz w:val="28"/>
          <w:szCs w:val="28"/>
        </w:rPr>
        <w:t xml:space="preserve"> </w:t>
      </w:r>
      <w:r>
        <w:rPr>
          <w:rFonts w:ascii="Times New Roman" w:hAnsi="Times New Roman"/>
          <w:sz w:val="28"/>
          <w:szCs w:val="28"/>
        </w:rPr>
        <w:t xml:space="preserve"> №1 (55). –</w:t>
      </w:r>
      <w:r>
        <w:rPr>
          <w:rFonts w:ascii="Times New Roman" w:hAnsi="Times New Roman"/>
          <w:b/>
          <w:iCs/>
          <w:sz w:val="28"/>
          <w:szCs w:val="28"/>
        </w:rPr>
        <w:t xml:space="preserve"> </w:t>
      </w:r>
      <w:r>
        <w:rPr>
          <w:rFonts w:ascii="Times New Roman" w:hAnsi="Times New Roman"/>
          <w:sz w:val="28"/>
          <w:szCs w:val="28"/>
        </w:rPr>
        <w:t>С. 205-210.</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Кірейцев Г.Г.  Фінанси  підприємств:  [Навч.  посібник]  /  Г.Г. Кірейцев,  Н.Г. Виговська, О.М. Петрук. – Житомир: ЖІТІ, 2002. – 272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Ковалев В.В. Финансовый учет  и  анализ:  концептуальные  основы  /  В.В. Ковалев. – Москва: Финансы и статистика, 2004. – 720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Ковальчук І.В. Економіка підприємства : навч. посібн. / І. В. Ковальчук. – Київ: Знання, 2008. – 680 с.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eastAsia="Times New Roman" w:ascii="Times New Roman" w:hAnsi="Times New Roman"/>
          <w:sz w:val="28"/>
          <w:szCs w:val="28"/>
        </w:rPr>
        <w:t>Колесник Я.В. Відтворення основних засобів: види, форми та джерела фінансування / Я.В. Колесник // Вісник Дніпропетровської державної фінансової академії: Економічні науки. – 2009. – № 2. – С. 130-133.</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Круш П. В. Капітал та основні засоби підприємства : навч. посібн. для вузів / П. В. Круш, В. І. Подвігіна, О. В. Клименко. – Київ : Центр навчальної літератури, 2005. – 166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Кузьмін Д. Л. Основні засоби і основні фонди: порівняльний аспект / Д.Л. Кузьмін // Проблеми теорії та методології бухгалтерського обліку, контролю і аналізу. –</w:t>
      </w:r>
      <w:r>
        <w:rPr>
          <w:rFonts w:ascii="Times New Roman" w:hAnsi="Times New Roman"/>
          <w:b/>
          <w:iCs/>
          <w:sz w:val="28"/>
          <w:szCs w:val="28"/>
        </w:rPr>
        <w:t xml:space="preserve"> </w:t>
      </w:r>
      <w:r>
        <w:rPr>
          <w:rFonts w:ascii="Times New Roman" w:hAnsi="Times New Roman"/>
          <w:sz w:val="28"/>
          <w:szCs w:val="28"/>
        </w:rPr>
        <w:t xml:space="preserve"> 2012. –</w:t>
      </w:r>
      <w:r>
        <w:rPr>
          <w:rFonts w:ascii="Times New Roman" w:hAnsi="Times New Roman"/>
          <w:b/>
          <w:iCs/>
          <w:sz w:val="28"/>
          <w:szCs w:val="28"/>
        </w:rPr>
        <w:t xml:space="preserve"> </w:t>
      </w:r>
      <w:r>
        <w:rPr>
          <w:rFonts w:ascii="Times New Roman" w:hAnsi="Times New Roman"/>
          <w:sz w:val="28"/>
          <w:szCs w:val="28"/>
        </w:rPr>
        <w:t xml:space="preserve"> № 2 (23). –</w:t>
      </w:r>
      <w:r>
        <w:rPr>
          <w:rFonts w:ascii="Times New Roman" w:hAnsi="Times New Roman"/>
          <w:b/>
          <w:iCs/>
          <w:sz w:val="28"/>
          <w:szCs w:val="28"/>
        </w:rPr>
        <w:t xml:space="preserve"> </w:t>
      </w:r>
      <w:r>
        <w:rPr>
          <w:rFonts w:ascii="Times New Roman" w:hAnsi="Times New Roman"/>
          <w:sz w:val="28"/>
          <w:szCs w:val="28"/>
        </w:rPr>
        <w:t xml:space="preserve"> С. 148 –</w:t>
      </w:r>
      <w:r>
        <w:rPr>
          <w:rFonts w:ascii="Times New Roman" w:hAnsi="Times New Roman"/>
          <w:b/>
          <w:iCs/>
          <w:sz w:val="28"/>
          <w:szCs w:val="28"/>
        </w:rPr>
        <w:t xml:space="preserve"> </w:t>
      </w:r>
      <w:r>
        <w:rPr>
          <w:rFonts w:ascii="Times New Roman" w:hAnsi="Times New Roman"/>
          <w:sz w:val="28"/>
          <w:szCs w:val="28"/>
        </w:rPr>
        <w:t>155.</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Куттер М. И. Теория и принципы бухгалтерского учета: [Учебное пособие] / М. И. Куттер. – Москва: Финансы и статистика, Экспертное бюро, 2000. – 544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Кущик А.П. Підвищення ефективності використання основних засобів на підприємстві / А.П. Кущик, І.В. Коротя. – Вісник Запорізького національного університету. – 2011. – №3 (11). – С. 30–36.</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Лишиленко О. В. Фінансовий облік: [Підручник – 2-ге вид., перероб. і доп.] / О. В. Лишиленко. – Київ: Вид-во «Центр навч. літератури», 2008. – 556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Макаровська Т.П. Економіка підприємства: навч. посібник / Т.П. Макаровська, Н.М. Бондар. – Київ: МАУП, 2003. – 304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 xml:space="preserve">Мацибора В. І. Економіка підприємства : навч. посібн. для вузів / В. І. Мацибора, В. К. Збарський, Т. В. Мацибора. – Київ: Каравела, 2008. – 312 с. </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eastAsia="Times New Roman" w:ascii="Times New Roman" w:hAnsi="Times New Roman"/>
          <w:sz w:val="28"/>
          <w:szCs w:val="28"/>
        </w:rPr>
        <w:t>Назаренко І.М. Використання багатофакторної лінійно-регресійної моделі в управлінні капіталом сільськогосподарських підприємств / І.М. Назаренко, А.О. Курило // Наукові праці Кіровоградського національного технічного університету. Економічні науки. Зб. наук. праць. – 2009. – № 16. – ч.1. – С. 71-78.</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Орошан Т. А., Кухта К. О. Дослідження </w:t>
      </w:r>
      <w:r>
        <w:rPr>
          <w:rFonts w:ascii="Times New Roman" w:hAnsi="Times New Roman"/>
          <w:iCs/>
          <w:sz w:val="28"/>
          <w:szCs w:val="28"/>
        </w:rPr>
        <w:t>ефективності використання основних фондів</w:t>
      </w:r>
      <w:r>
        <w:rPr>
          <w:rFonts w:ascii="Times New Roman" w:hAnsi="Times New Roman"/>
          <w:sz w:val="28"/>
          <w:szCs w:val="28"/>
        </w:rPr>
        <w:t xml:space="preserve"> / Т. А. Орошан, К. О. Кухта // Агросвіт. – 2019. –</w:t>
      </w:r>
      <w:r>
        <w:rPr>
          <w:rFonts w:ascii="Times New Roman" w:hAnsi="Times New Roman"/>
          <w:b/>
          <w:iCs/>
          <w:sz w:val="28"/>
          <w:szCs w:val="28"/>
        </w:rPr>
        <w:t xml:space="preserve"> </w:t>
      </w:r>
      <w:r>
        <w:rPr>
          <w:rFonts w:ascii="Times New Roman" w:hAnsi="Times New Roman"/>
          <w:sz w:val="28"/>
          <w:szCs w:val="28"/>
        </w:rPr>
        <w:t xml:space="preserve"> № 4. – С. 51-55.</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Офіційний сайт ТОВ «НЕЙЛ»  // [Електронний ресурс]. − Режим доступу: https://www.nail.com.ua/</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Покропивний С. Ф. Економіка підприємства : підручник / С. Ф. Покропивний. – Київ.: КНЕУ, 2011. – 528 с.</w:t>
      </w:r>
    </w:p>
    <w:p>
      <w:pPr>
        <w:pStyle w:val="ListParagraph"/>
        <w:widowControl w:val="false"/>
        <w:numPr>
          <w:ilvl w:val="1"/>
          <w:numId w:val="9"/>
        </w:numPr>
        <w:tabs>
          <w:tab w:val="clear" w:pos="708"/>
          <w:tab w:val="left" w:pos="766" w:leader="none"/>
        </w:tabs>
        <w:spacing w:lineRule="auto" w:line="360"/>
        <w:ind w:left="0" w:firstLine="709"/>
        <w:rPr>
          <w:rFonts w:ascii="Times New Roman" w:hAnsi="Times New Roman"/>
          <w:sz w:val="28"/>
          <w:szCs w:val="28"/>
        </w:rPr>
      </w:pPr>
      <w:r>
        <w:rPr>
          <w:rFonts w:ascii="Times New Roman" w:hAnsi="Times New Roman"/>
          <w:sz w:val="28"/>
          <w:szCs w:val="28"/>
        </w:rPr>
        <w:t xml:space="preserve">Положення (стандарт) бухгалтерського обліку 7 </w:t>
      </w:r>
      <w:r>
        <w:rPr>
          <w:rFonts w:ascii="Times New Roman" w:hAnsi="Times New Roman"/>
          <w:spacing w:val="5"/>
          <w:sz w:val="28"/>
          <w:szCs w:val="28"/>
        </w:rPr>
        <w:t xml:space="preserve">«Основні засоби», затверджено наказом Міністерства </w:t>
      </w:r>
      <w:r>
        <w:rPr>
          <w:rFonts w:ascii="Times New Roman" w:hAnsi="Times New Roman"/>
          <w:sz w:val="28"/>
          <w:szCs w:val="28"/>
        </w:rPr>
        <w:t>Фінансів</w:t>
      </w:r>
      <w:r>
        <w:rPr>
          <w:rFonts w:ascii="Times New Roman" w:hAnsi="Times New Roman"/>
          <w:spacing w:val="-6"/>
          <w:sz w:val="28"/>
          <w:szCs w:val="28"/>
        </w:rPr>
        <w:t xml:space="preserve"> </w:t>
      </w:r>
      <w:r>
        <w:rPr>
          <w:rFonts w:ascii="Times New Roman" w:hAnsi="Times New Roman"/>
          <w:sz w:val="28"/>
          <w:szCs w:val="28"/>
        </w:rPr>
        <w:t>України</w:t>
      </w:r>
      <w:r>
        <w:rPr>
          <w:rFonts w:ascii="Times New Roman" w:hAnsi="Times New Roman"/>
          <w:spacing w:val="-6"/>
          <w:sz w:val="28"/>
          <w:szCs w:val="28"/>
        </w:rPr>
        <w:t xml:space="preserve"> </w:t>
      </w:r>
      <w:r>
        <w:rPr>
          <w:rFonts w:ascii="Times New Roman" w:hAnsi="Times New Roman"/>
          <w:sz w:val="28"/>
          <w:szCs w:val="28"/>
        </w:rPr>
        <w:t>від</w:t>
      </w:r>
      <w:r>
        <w:rPr>
          <w:rFonts w:ascii="Times New Roman" w:hAnsi="Times New Roman"/>
          <w:spacing w:val="-6"/>
          <w:sz w:val="28"/>
          <w:szCs w:val="28"/>
        </w:rPr>
        <w:t xml:space="preserve"> </w:t>
      </w:r>
      <w:r>
        <w:rPr>
          <w:rFonts w:ascii="Times New Roman" w:hAnsi="Times New Roman"/>
          <w:sz w:val="28"/>
          <w:szCs w:val="28"/>
        </w:rPr>
        <w:t>27</w:t>
      </w:r>
      <w:r>
        <w:rPr>
          <w:rFonts w:ascii="Times New Roman" w:hAnsi="Times New Roman"/>
          <w:spacing w:val="-6"/>
          <w:sz w:val="28"/>
          <w:szCs w:val="28"/>
        </w:rPr>
        <w:t xml:space="preserve"> </w:t>
      </w:r>
      <w:r>
        <w:rPr>
          <w:rFonts w:ascii="Times New Roman" w:hAnsi="Times New Roman"/>
          <w:sz w:val="28"/>
          <w:szCs w:val="28"/>
        </w:rPr>
        <w:t>квітня</w:t>
      </w:r>
      <w:r>
        <w:rPr>
          <w:rFonts w:ascii="Times New Roman" w:hAnsi="Times New Roman"/>
          <w:spacing w:val="-6"/>
          <w:sz w:val="28"/>
          <w:szCs w:val="28"/>
        </w:rPr>
        <w:t xml:space="preserve"> </w:t>
      </w:r>
      <w:r>
        <w:rPr>
          <w:rFonts w:ascii="Times New Roman" w:hAnsi="Times New Roman"/>
          <w:sz w:val="28"/>
          <w:szCs w:val="28"/>
        </w:rPr>
        <w:t>2000</w:t>
      </w:r>
      <w:r>
        <w:rPr>
          <w:rFonts w:ascii="Times New Roman" w:hAnsi="Times New Roman"/>
          <w:spacing w:val="-6"/>
          <w:sz w:val="28"/>
          <w:szCs w:val="28"/>
        </w:rPr>
        <w:t xml:space="preserve"> </w:t>
      </w:r>
      <w:r>
        <w:rPr>
          <w:rFonts w:ascii="Times New Roman" w:hAnsi="Times New Roman"/>
          <w:sz w:val="28"/>
          <w:szCs w:val="28"/>
        </w:rPr>
        <w:t>р.</w:t>
      </w:r>
      <w:r>
        <w:rPr>
          <w:rFonts w:ascii="Times New Roman" w:hAnsi="Times New Roman"/>
          <w:spacing w:val="-6"/>
          <w:sz w:val="28"/>
          <w:szCs w:val="28"/>
        </w:rPr>
        <w:t xml:space="preserve"> </w:t>
      </w:r>
      <w:r>
        <w:rPr>
          <w:rFonts w:ascii="Times New Roman" w:hAnsi="Times New Roman"/>
          <w:sz w:val="28"/>
          <w:szCs w:val="28"/>
        </w:rPr>
        <w:t>№</w:t>
      </w:r>
      <w:r>
        <w:rPr>
          <w:rFonts w:ascii="Times New Roman" w:hAnsi="Times New Roman"/>
          <w:spacing w:val="-6"/>
          <w:sz w:val="28"/>
          <w:szCs w:val="28"/>
        </w:rPr>
        <w:t xml:space="preserve"> </w:t>
      </w:r>
      <w:r>
        <w:rPr>
          <w:rFonts w:ascii="Times New Roman" w:hAnsi="Times New Roman"/>
          <w:sz w:val="28"/>
          <w:szCs w:val="28"/>
        </w:rPr>
        <w:t>92,</w:t>
      </w:r>
      <w:r>
        <w:rPr>
          <w:rFonts w:ascii="Times New Roman" w:hAnsi="Times New Roman"/>
          <w:spacing w:val="-6"/>
          <w:sz w:val="28"/>
          <w:szCs w:val="28"/>
        </w:rPr>
        <w:t xml:space="preserve"> </w:t>
      </w:r>
      <w:r>
        <w:rPr>
          <w:rFonts w:ascii="Times New Roman" w:hAnsi="Times New Roman"/>
          <w:sz w:val="28"/>
          <w:szCs w:val="28"/>
        </w:rPr>
        <w:t>зареєстровано в Міністерстві юстиції 18 травня 2000 р. №</w:t>
      </w:r>
      <w:r>
        <w:rPr>
          <w:rFonts w:ascii="Times New Roman" w:hAnsi="Times New Roman"/>
          <w:spacing w:val="-25"/>
          <w:sz w:val="28"/>
          <w:szCs w:val="28"/>
        </w:rPr>
        <w:t xml:space="preserve"> </w:t>
      </w:r>
      <w:r>
        <w:rPr>
          <w:rFonts w:ascii="Times New Roman" w:hAnsi="Times New Roman"/>
          <w:sz w:val="28"/>
          <w:szCs w:val="28"/>
        </w:rPr>
        <w:t>288/4509.</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Проскурович О. В. Діагностика та моделювання ефективності використання основних фондів будівельного підприємства / О. В. Проскурович, М. М. Ястремський, Л. О. Сорока // Вісник Хмельницького національного університету. Економічні науки. –</w:t>
      </w:r>
      <w:r>
        <w:rPr>
          <w:rFonts w:ascii="Times New Roman" w:hAnsi="Times New Roman"/>
          <w:b/>
          <w:iCs/>
          <w:sz w:val="28"/>
          <w:szCs w:val="28"/>
        </w:rPr>
        <w:t xml:space="preserve"> </w:t>
      </w:r>
      <w:r>
        <w:rPr>
          <w:rFonts w:ascii="Times New Roman" w:hAnsi="Times New Roman"/>
          <w:sz w:val="28"/>
          <w:szCs w:val="28"/>
        </w:rPr>
        <w:t>2016. –</w:t>
      </w:r>
      <w:r>
        <w:rPr>
          <w:rFonts w:ascii="Times New Roman" w:hAnsi="Times New Roman"/>
          <w:b/>
          <w:iCs/>
          <w:sz w:val="28"/>
          <w:szCs w:val="28"/>
        </w:rPr>
        <w:t xml:space="preserve"> </w:t>
      </w:r>
      <w:r>
        <w:rPr>
          <w:rFonts w:ascii="Times New Roman" w:hAnsi="Times New Roman"/>
          <w:sz w:val="28"/>
          <w:szCs w:val="28"/>
        </w:rPr>
        <w:t>№ 4 (2). –</w:t>
      </w:r>
      <w:r>
        <w:rPr>
          <w:rFonts w:ascii="Times New Roman" w:hAnsi="Times New Roman"/>
          <w:b/>
          <w:iCs/>
          <w:sz w:val="28"/>
          <w:szCs w:val="28"/>
        </w:rPr>
        <w:t xml:space="preserve"> </w:t>
      </w:r>
      <w:r>
        <w:rPr>
          <w:rFonts w:ascii="Times New Roman" w:hAnsi="Times New Roman"/>
          <w:sz w:val="28"/>
          <w:szCs w:val="28"/>
        </w:rPr>
        <w:t>С. 219-224.</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Проскурович О. В. Діагностування та економетричне моделювання ефективності використання основних фондів / О. В. Проскурович, М. М. Ястремський, Л. О. Сорока // Науковий вісник Херсонського державного університету. Сер.: Економічні науки. –</w:t>
      </w:r>
      <w:r>
        <w:rPr>
          <w:rFonts w:ascii="Times New Roman" w:hAnsi="Times New Roman"/>
          <w:b/>
          <w:iCs/>
          <w:sz w:val="28"/>
          <w:szCs w:val="28"/>
        </w:rPr>
        <w:t xml:space="preserve"> </w:t>
      </w:r>
      <w:r>
        <w:rPr>
          <w:rFonts w:ascii="Times New Roman" w:hAnsi="Times New Roman"/>
          <w:sz w:val="28"/>
          <w:szCs w:val="28"/>
        </w:rPr>
        <w:t>2017. –</w:t>
      </w:r>
      <w:r>
        <w:rPr>
          <w:rFonts w:ascii="Times New Roman" w:hAnsi="Times New Roman"/>
          <w:b/>
          <w:iCs/>
          <w:sz w:val="28"/>
          <w:szCs w:val="28"/>
        </w:rPr>
        <w:t xml:space="preserve"> </w:t>
      </w:r>
      <w:r>
        <w:rPr>
          <w:rFonts w:ascii="Times New Roman" w:hAnsi="Times New Roman"/>
          <w:sz w:val="28"/>
          <w:szCs w:val="28"/>
        </w:rPr>
        <w:t>Вип. 25 (2). –</w:t>
      </w:r>
      <w:r>
        <w:rPr>
          <w:rFonts w:ascii="Times New Roman" w:hAnsi="Times New Roman"/>
          <w:b/>
          <w:iCs/>
          <w:sz w:val="28"/>
          <w:szCs w:val="28"/>
        </w:rPr>
        <w:t xml:space="preserve"> </w:t>
      </w:r>
      <w:r>
        <w:rPr>
          <w:rFonts w:ascii="Times New Roman" w:hAnsi="Times New Roman"/>
          <w:sz w:val="28"/>
          <w:szCs w:val="28"/>
        </w:rPr>
        <w:t>С. 195-199.</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Проскурович О. В. Економетричне моделювання випуску продукції, пов’язаного з поліпшенням використання засобів праці / О.В. Проскурович, В. Рудик // Вісник Львівського університету. Серія економічна. –</w:t>
      </w:r>
      <w:r>
        <w:rPr>
          <w:rFonts w:ascii="Times New Roman" w:hAnsi="Times New Roman"/>
          <w:b/>
          <w:iCs/>
          <w:sz w:val="28"/>
          <w:szCs w:val="28"/>
        </w:rPr>
        <w:t xml:space="preserve"> </w:t>
      </w:r>
      <w:r>
        <w:rPr>
          <w:rFonts w:ascii="Times New Roman" w:hAnsi="Times New Roman"/>
          <w:sz w:val="28"/>
          <w:szCs w:val="28"/>
        </w:rPr>
        <w:t>2013. –</w:t>
      </w:r>
      <w:r>
        <w:rPr>
          <w:rFonts w:ascii="Times New Roman" w:hAnsi="Times New Roman"/>
          <w:b/>
          <w:iCs/>
          <w:sz w:val="28"/>
          <w:szCs w:val="28"/>
        </w:rPr>
        <w:t xml:space="preserve"> </w:t>
      </w:r>
      <w:r>
        <w:rPr>
          <w:rFonts w:ascii="Times New Roman" w:hAnsi="Times New Roman"/>
          <w:sz w:val="28"/>
          <w:szCs w:val="28"/>
        </w:rPr>
        <w:t>Випуск 50. – С. 271 – 276</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Проскурович О. В. Економетричне моделювання структури основних фондів будівельного підприємства / О. В. Проскурович, А. О. Горощак // Вісник Хмельницького національного університету. Економічні науки. –</w:t>
      </w:r>
      <w:r>
        <w:rPr>
          <w:rFonts w:ascii="Times New Roman" w:hAnsi="Times New Roman"/>
          <w:b/>
          <w:iCs/>
          <w:sz w:val="28"/>
          <w:szCs w:val="28"/>
        </w:rPr>
        <w:t xml:space="preserve"> </w:t>
      </w:r>
      <w:r>
        <w:rPr>
          <w:rFonts w:ascii="Times New Roman" w:hAnsi="Times New Roman"/>
          <w:sz w:val="28"/>
          <w:szCs w:val="28"/>
        </w:rPr>
        <w:t xml:space="preserve"> 2016. –</w:t>
      </w:r>
      <w:r>
        <w:rPr>
          <w:rFonts w:ascii="Times New Roman" w:hAnsi="Times New Roman"/>
          <w:b/>
          <w:iCs/>
          <w:sz w:val="28"/>
          <w:szCs w:val="28"/>
        </w:rPr>
        <w:t xml:space="preserve"> </w:t>
      </w:r>
      <w:r>
        <w:rPr>
          <w:rFonts w:ascii="Times New Roman" w:hAnsi="Times New Roman"/>
          <w:sz w:val="28"/>
          <w:szCs w:val="28"/>
        </w:rPr>
        <w:t>№ 4 (2). –</w:t>
      </w:r>
      <w:r>
        <w:rPr>
          <w:rFonts w:ascii="Times New Roman" w:hAnsi="Times New Roman"/>
          <w:b/>
          <w:iCs/>
          <w:sz w:val="28"/>
          <w:szCs w:val="28"/>
        </w:rPr>
        <w:t xml:space="preserve"> </w:t>
      </w:r>
      <w:r>
        <w:rPr>
          <w:rFonts w:ascii="Times New Roman" w:hAnsi="Times New Roman"/>
          <w:sz w:val="28"/>
          <w:szCs w:val="28"/>
        </w:rPr>
        <w:t>С. 247-250.</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lang w:val="ru-RU"/>
        </w:rPr>
        <w:t>Проскурович О. В. Комп’ютерні технології економічного аналізу: навч. посібник / О. В. Проскурович, В. А. Бойчук. – Львів. : «Новий Світ–2000», 2012. – 310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Проскурович О. В. Моделювання результативності роботи будівельного підприємства щодо ефективності використання основних фондів / О. В. Проскурович, М. М. Ястремський, Л. О. Сорока //Причорноморські економічні студії. – 2016. – №. 7. – С. 248-252.</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Сердюк В. Н. Бухгалтерский учет: [учебноепособие] / В. Н. Сердюк. – Донецк: ДонНУ, 2009. – 595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iCs/>
          <w:sz w:val="28"/>
          <w:szCs w:val="28"/>
        </w:rPr>
        <w:t>Сирота О. В.</w:t>
      </w:r>
      <w:r>
        <w:rPr>
          <w:rFonts w:ascii="Times New Roman" w:hAnsi="Times New Roman"/>
          <w:sz w:val="28"/>
          <w:szCs w:val="28"/>
        </w:rPr>
        <w:t xml:space="preserve"> </w:t>
      </w:r>
      <w:r>
        <w:rPr>
          <w:rFonts w:ascii="Times New Roman" w:hAnsi="Times New Roman"/>
          <w:iCs/>
          <w:sz w:val="28"/>
          <w:szCs w:val="28"/>
        </w:rPr>
        <w:t xml:space="preserve">Проблематика визначення економічної сутності категорії «основні засоби» / О. В. Сирота // </w:t>
      </w:r>
      <w:r>
        <w:rPr>
          <w:rFonts w:ascii="Times New Roman" w:hAnsi="Times New Roman"/>
          <w:sz w:val="28"/>
          <w:szCs w:val="28"/>
        </w:rPr>
        <w:t xml:space="preserve">Економіка та держава: </w:t>
      </w:r>
      <w:r>
        <w:rPr>
          <w:rFonts w:ascii="Times New Roman" w:hAnsi="Times New Roman"/>
          <w:iCs/>
          <w:sz w:val="28"/>
          <w:szCs w:val="28"/>
        </w:rPr>
        <w:t xml:space="preserve">Економічна наука. </w:t>
      </w:r>
      <w:r>
        <w:rPr>
          <w:rFonts w:ascii="Times New Roman" w:hAnsi="Times New Roman"/>
          <w:sz w:val="28"/>
          <w:szCs w:val="28"/>
          <w:lang w:val="ru-RU"/>
        </w:rPr>
        <w:t>–</w:t>
      </w:r>
      <w:r>
        <w:rPr>
          <w:rFonts w:ascii="Times New Roman" w:hAnsi="Times New Roman"/>
          <w:sz w:val="28"/>
          <w:szCs w:val="28"/>
        </w:rPr>
        <w:t xml:space="preserve"> 2013. </w:t>
      </w:r>
      <w:r>
        <w:rPr>
          <w:rFonts w:ascii="Times New Roman" w:hAnsi="Times New Roman"/>
          <w:sz w:val="28"/>
          <w:szCs w:val="28"/>
          <w:lang w:val="ru-RU"/>
        </w:rPr>
        <w:t>–</w:t>
      </w:r>
      <w:r>
        <w:rPr>
          <w:rFonts w:ascii="Times New Roman" w:hAnsi="Times New Roman"/>
          <w:sz w:val="28"/>
          <w:szCs w:val="28"/>
        </w:rPr>
        <w:t xml:space="preserve"> № 2. </w:t>
      </w:r>
      <w:r>
        <w:rPr>
          <w:rFonts w:ascii="Times New Roman" w:hAnsi="Times New Roman"/>
          <w:sz w:val="28"/>
          <w:szCs w:val="28"/>
          <w:lang w:val="ru-RU"/>
        </w:rPr>
        <w:t>–</w:t>
      </w:r>
      <w:r>
        <w:rPr>
          <w:rFonts w:ascii="Times New Roman" w:hAnsi="Times New Roman"/>
          <w:sz w:val="28"/>
          <w:szCs w:val="28"/>
        </w:rPr>
        <w:t xml:space="preserve"> С. 51-55.</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Скляренко В. К. Экономика предприятия/ В. К. Скляренко, В. М. Прудников.- Москва: ИНФРА-М, 2006. – 528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lang w:val="ru-RU"/>
        </w:rPr>
        <w:t>Сук Л. К. Облік капітальних вкладень / Л. К. Сук // Бухгалтерія в</w:t>
      </w:r>
      <w:r>
        <w:rPr>
          <w:rFonts w:ascii="Times New Roman" w:hAnsi="Times New Roman"/>
          <w:spacing w:val="7"/>
          <w:sz w:val="28"/>
          <w:szCs w:val="28"/>
          <w:lang w:val="ru-RU"/>
        </w:rPr>
        <w:t xml:space="preserve"> </w:t>
      </w:r>
      <w:r>
        <w:rPr>
          <w:rFonts w:ascii="Times New Roman" w:hAnsi="Times New Roman"/>
          <w:sz w:val="28"/>
          <w:szCs w:val="28"/>
          <w:lang w:val="ru-RU"/>
        </w:rPr>
        <w:t>сільському</w:t>
      </w:r>
      <w:r>
        <w:rPr>
          <w:rFonts w:ascii="Times New Roman" w:hAnsi="Times New Roman"/>
          <w:spacing w:val="7"/>
          <w:sz w:val="28"/>
          <w:szCs w:val="28"/>
          <w:lang w:val="ru-RU"/>
        </w:rPr>
        <w:t xml:space="preserve"> </w:t>
      </w:r>
      <w:r>
        <w:rPr>
          <w:rFonts w:ascii="Times New Roman" w:hAnsi="Times New Roman"/>
          <w:sz w:val="28"/>
          <w:szCs w:val="28"/>
          <w:lang w:val="ru-RU"/>
        </w:rPr>
        <w:t>господарстві.</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1998.</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№8.</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С.</w:t>
      </w:r>
      <w:r>
        <w:rPr>
          <w:rFonts w:ascii="Times New Roman" w:hAnsi="Times New Roman"/>
          <w:spacing w:val="7"/>
          <w:sz w:val="28"/>
          <w:szCs w:val="28"/>
          <w:lang w:val="ru-RU"/>
        </w:rPr>
        <w:t xml:space="preserve"> </w:t>
      </w:r>
      <w:r>
        <w:rPr>
          <w:rFonts w:ascii="Times New Roman" w:hAnsi="Times New Roman"/>
          <w:sz w:val="28"/>
          <w:szCs w:val="28"/>
          <w:lang w:val="ru-RU"/>
        </w:rPr>
        <w:t>2 –12.</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Сухарський В. С. Економічний словник-довідник / В. С. Сухарський. – Тернопіль: Богдан, 2002.– 720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Титов В. И. Экономика предприятия : учебник / В. И. Титов. – Москва : Эксмо, 2008. – 416 с.</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Удовиченко Я. А., Єршова Н. Ю. Актуальні проблеми аналізу основних засобів (на прикладі компанії «Надія») / Я. А. Удовиченко, Н. Ю. Єршова // Класичний приватний університет. – 2017. – Випуск 5 (05). – С. 328-334.</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Фальченко О.О. Шляхи підвищення ефективності використання основних фондів підприємства / О.О. Фальченко. – Вісник НТУ «ХПІ». – 2012. – №51 (957). – С. 168–171.</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Цал-Цалко Ю.С. Проблеми оцінки стану та ефективності використання основних засобів підприємства / Ю.С. Цал-Цалко // Вісник ЖІТІ. – 2001. – № 15 – С. 162.</w:t>
      </w:r>
    </w:p>
    <w:p>
      <w:p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Чебанова Н.В. Бухгалтерський фінансовий облік / Н.В. Чебанова,  Ю.А. Василенко: [Посібник]. – Київ: Видавничий центр «Академія». 2002. – 672 с.</w:t>
      </w:r>
    </w:p>
    <w:p>
      <w:pPr>
        <w:sectPr>
          <w:headerReference w:type="default" r:id="rId97"/>
          <w:footerReference w:type="default" r:id="rId98"/>
          <w:type w:val="nextPage"/>
          <w:pgSz w:w="11906" w:h="16838"/>
          <w:pgMar w:left="1701" w:right="567" w:header="708" w:top="1134" w:footer="708" w:bottom="1134" w:gutter="0"/>
          <w:pgNumType w:fmt="decimal"/>
          <w:formProt w:val="false"/>
          <w:textDirection w:val="lrTb"/>
          <w:docGrid w:type="default" w:linePitch="360" w:charSpace="0"/>
        </w:sectPr>
        <w:pStyle w:val="ListParagraph"/>
        <w:widowControl w:val="false"/>
        <w:numPr>
          <w:ilvl w:val="1"/>
          <w:numId w:val="9"/>
        </w:numPr>
        <w:tabs>
          <w:tab w:val="clear" w:pos="708"/>
          <w:tab w:val="left" w:pos="759" w:leader="none"/>
        </w:tabs>
        <w:spacing w:lineRule="auto" w:line="360"/>
        <w:ind w:left="0" w:firstLine="709"/>
        <w:rPr>
          <w:rFonts w:ascii="Times New Roman" w:hAnsi="Times New Roman"/>
          <w:sz w:val="28"/>
          <w:szCs w:val="28"/>
        </w:rPr>
      </w:pPr>
      <w:r>
        <w:rPr>
          <w:rFonts w:ascii="Times New Roman" w:hAnsi="Times New Roman"/>
          <w:sz w:val="28"/>
          <w:szCs w:val="28"/>
        </w:rPr>
        <w:t xml:space="preserve">Чорна І. О. Ефективність використання виробничих фондів та розробка пропозицій щодо її поліпшення [Текст] / І. О. Чорна // Держава та регіони. Серія: Економіка та підприємництво. - 2009. - № 2. - С. 212-216. </w:t>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t>ДОДАТОК А</w:t>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r>
    </w:p>
    <w:p>
      <w:pPr>
        <w:pStyle w:val="ListParagraph"/>
        <w:spacing w:lineRule="auto" w:line="360"/>
        <w:ind w:left="0" w:firstLine="709"/>
        <w:jc w:val="center"/>
        <w:rPr>
          <w:rFonts w:ascii="Times New Roman" w:hAnsi="Times New Roman"/>
          <w:b/>
          <w:b/>
          <w:sz w:val="28"/>
          <w:szCs w:val="28"/>
        </w:rPr>
      </w:pPr>
      <w:r>
        <w:rPr/>
        <w:drawing>
          <wp:inline distT="0" distB="0" distL="0" distR="0">
            <wp:extent cx="9251950" cy="4690110"/>
            <wp:effectExtent l="0" t="0" r="0" b="0"/>
            <wp:docPr id="3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1" descr=""/>
                    <pic:cNvPicPr>
                      <a:picLocks noChangeAspect="1" noChangeArrowheads="1"/>
                    </pic:cNvPicPr>
                  </pic:nvPicPr>
                  <pic:blipFill>
                    <a:blip r:embed="rId99"/>
                    <a:stretch>
                      <a:fillRect/>
                    </a:stretch>
                  </pic:blipFill>
                  <pic:spPr bwMode="auto">
                    <a:xfrm>
                      <a:off x="0" y="0"/>
                      <a:ext cx="9251950" cy="4690110"/>
                    </a:xfrm>
                    <a:prstGeom prst="rect">
                      <a:avLst/>
                    </a:prstGeom>
                  </pic:spPr>
                </pic:pic>
              </a:graphicData>
            </a:graphic>
          </wp:inline>
        </w:drawing>
      </w:r>
    </w:p>
    <w:p>
      <w:pPr>
        <w:sectPr>
          <w:headerReference w:type="default" r:id="rId100"/>
          <w:footerReference w:type="default" r:id="rId101"/>
          <w:type w:val="nextPage"/>
          <w:pgSz w:orient="landscape" w:w="16838" w:h="11906"/>
          <w:pgMar w:left="1134" w:right="1134" w:header="708" w:top="765" w:footer="708" w:bottom="1701" w:gutter="0"/>
          <w:pgNumType w:fmt="decimal"/>
          <w:formProt w:val="false"/>
          <w:textDirection w:val="lrTb"/>
          <w:docGrid w:type="default" w:linePitch="360" w:charSpace="0"/>
        </w:sect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t>Додаток Б</w:t>
      </w:r>
    </w:p>
    <w:p>
      <w:pPr>
        <w:pStyle w:val="ListParagraph"/>
        <w:spacing w:lineRule="auto" w:line="276"/>
        <w:ind w:left="0" w:firstLine="709"/>
        <w:jc w:val="center"/>
        <w:rPr>
          <w:rFonts w:ascii="Times New Roman" w:hAnsi="Times New Roman"/>
          <w:b/>
          <w:b/>
          <w:sz w:val="16"/>
          <w:szCs w:val="16"/>
        </w:rPr>
      </w:pPr>
      <w:r>
        <w:rPr>
          <w:rFonts w:ascii="Times New Roman" w:hAnsi="Times New Roman"/>
          <w:b/>
          <w:sz w:val="16"/>
          <w:szCs w:val="16"/>
        </w:rPr>
      </w:r>
    </w:p>
    <w:p>
      <w:pPr>
        <w:pStyle w:val="ListParagraph"/>
        <w:spacing w:lineRule="auto" w:line="276"/>
        <w:ind w:left="0" w:firstLine="709"/>
        <w:rPr>
          <w:rFonts w:ascii="Times New Roman" w:hAnsi="Times New Roman" w:eastAsia="Times New Roman"/>
          <w:sz w:val="28"/>
          <w:szCs w:val="28"/>
          <w:lang w:eastAsia="ru-RU"/>
        </w:rPr>
      </w:pPr>
      <w:r>
        <w:rPr>
          <w:rFonts w:ascii="Times New Roman" w:hAnsi="Times New Roman"/>
          <w:sz w:val="28"/>
          <w:szCs w:val="28"/>
        </w:rPr>
        <w:t xml:space="preserve">Таблиця Б – Баланс </w:t>
      </w:r>
      <w:r>
        <w:rPr>
          <w:rFonts w:eastAsia="Times New Roman" w:ascii="Times New Roman" w:hAnsi="Times New Roman"/>
          <w:sz w:val="28"/>
          <w:szCs w:val="28"/>
          <w:lang w:eastAsia="ru-RU"/>
        </w:rPr>
        <w:t>ТОВ «НЕЙЛ»</w:t>
      </w:r>
    </w:p>
    <w:tbl>
      <w:tblPr>
        <w:tblW w:w="14559" w:type="dxa"/>
        <w:jc w:val="left"/>
        <w:tblInd w:w="0" w:type="dxa"/>
        <w:tblCellMar>
          <w:top w:w="0" w:type="dxa"/>
          <w:left w:w="108" w:type="dxa"/>
          <w:bottom w:w="0" w:type="dxa"/>
          <w:right w:w="108" w:type="dxa"/>
        </w:tblCellMar>
        <w:tblLook w:firstRow="1" w:noVBand="1" w:lastRow="0" w:firstColumn="1" w:lastColumn="0" w:noHBand="0" w:val="04a0"/>
      </w:tblPr>
      <w:tblGrid>
        <w:gridCol w:w="4648"/>
        <w:gridCol w:w="1168"/>
        <w:gridCol w:w="766"/>
        <w:gridCol w:w="765"/>
        <w:gridCol w:w="766"/>
        <w:gridCol w:w="766"/>
        <w:gridCol w:w="766"/>
        <w:gridCol w:w="766"/>
        <w:gridCol w:w="765"/>
        <w:gridCol w:w="766"/>
        <w:gridCol w:w="766"/>
        <w:gridCol w:w="2"/>
        <w:gridCol w:w="764"/>
        <w:gridCol w:w="1"/>
        <w:gridCol w:w="1083"/>
      </w:tblGrid>
      <w:tr>
        <w:trPr>
          <w:trHeight w:val="20" w:hRule="atLeast"/>
        </w:trPr>
        <w:tc>
          <w:tcPr>
            <w:tcW w:w="464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Актив</w:t>
            </w:r>
          </w:p>
        </w:tc>
        <w:tc>
          <w:tcPr>
            <w:tcW w:w="116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Код рядка</w:t>
            </w:r>
          </w:p>
        </w:tc>
        <w:tc>
          <w:tcPr>
            <w:tcW w:w="8742" w:type="dxa"/>
            <w:gridSpan w:val="1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xml:space="preserve">Роки </w:t>
            </w:r>
          </w:p>
        </w:tc>
      </w:tr>
      <w:tr>
        <w:trPr>
          <w:trHeight w:val="20" w:hRule="atLeast"/>
        </w:trPr>
        <w:tc>
          <w:tcPr>
            <w:tcW w:w="4648"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1168" w:type="dxa"/>
            <w:vMerge w:val="continue"/>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2010</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2018</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2019</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2020</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t>I. Необоротні активи</w:t>
            </w:r>
          </w:p>
        </w:tc>
        <w:tc>
          <w:tcPr>
            <w:tcW w:w="76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Нематеріальні активи: залишкова вартість</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19</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290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279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250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218</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173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123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76</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lang w:eastAsia="uk-UA"/>
              </w:rPr>
            </w:pPr>
            <w:r>
              <w:rPr>
                <w:rFonts w:ascii="Times New Roman" w:hAnsi="Times New Roman"/>
                <w:szCs w:val="20"/>
              </w:rPr>
              <w:t>33</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rPr>
            </w:pPr>
            <w:r>
              <w:rPr>
                <w:rFonts w:ascii="Times New Roman" w:hAnsi="Times New Roman"/>
                <w:szCs w:val="20"/>
              </w:rPr>
              <w:t>3,1</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первісна вартість</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362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417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469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497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525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520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506</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511</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511,3</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накопичена амортизація</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219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279</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352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397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430</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478</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508,2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Незавершені капітальні інвестиції</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72</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144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115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1887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237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156</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74</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948,5</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Основні засоби: залишкова вартість</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6907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8249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8179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7380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7323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7250</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11290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9871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14004</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lang w:eastAsia="uk-UA"/>
              </w:rPr>
            </w:pPr>
            <w:r>
              <w:rPr>
                <w:rFonts w:ascii="Times New Roman" w:hAnsi="Times New Roman"/>
                <w:szCs w:val="20"/>
              </w:rPr>
              <w:t>11380</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rPr>
            </w:pPr>
            <w:r>
              <w:rPr>
                <w:rFonts w:ascii="Times New Roman" w:hAnsi="Times New Roman"/>
                <w:szCs w:val="20"/>
              </w:rPr>
              <w:t>11532,2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первісна вартість</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14012</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16106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16894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16969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17397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18164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24357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25176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32292</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32721</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35901,50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знос</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7105</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7857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8715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9589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10074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10914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13067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15305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18288</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21341</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24369,30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Усього за розділом I</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80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6998</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8405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8517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7774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7608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9355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11549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10231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14236</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bCs/>
                <w:szCs w:val="20"/>
                <w:lang w:eastAsia="uk-UA"/>
              </w:rPr>
            </w:pPr>
            <w:r>
              <w:rPr>
                <w:rFonts w:ascii="Times New Roman" w:hAnsi="Times New Roman"/>
                <w:bCs/>
                <w:szCs w:val="20"/>
              </w:rPr>
              <w:t>11487</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bCs/>
                <w:szCs w:val="20"/>
              </w:rPr>
            </w:pPr>
            <w:r>
              <w:rPr>
                <w:rFonts w:ascii="Times New Roman" w:hAnsi="Times New Roman"/>
                <w:bCs/>
                <w:szCs w:val="20"/>
              </w:rPr>
              <w:t>12483,8</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t>II. Оборотні активи</w:t>
            </w:r>
          </w:p>
        </w:tc>
        <w:tc>
          <w:tcPr>
            <w:tcW w:w="76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Запаси:</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11471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14161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13712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12739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17906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22738</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26513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32857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40921</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left"/>
              <w:rPr>
                <w:rFonts w:ascii="Times New Roman" w:hAnsi="Times New Roman"/>
                <w:szCs w:val="20"/>
                <w:lang w:eastAsia="uk-UA"/>
              </w:rPr>
            </w:pPr>
            <w:r>
              <w:rPr>
                <w:rFonts w:ascii="Times New Roman" w:hAnsi="Times New Roman"/>
                <w:szCs w:val="20"/>
              </w:rPr>
              <w:t>38835</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rPr>
                <w:rFonts w:ascii="Times New Roman" w:hAnsi="Times New Roman"/>
                <w:szCs w:val="20"/>
              </w:rPr>
            </w:pPr>
            <w:r>
              <w:rPr>
                <w:rFonts w:ascii="Times New Roman" w:hAnsi="Times New Roman"/>
                <w:szCs w:val="20"/>
              </w:rPr>
              <w:t>40515,9</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виробничі запаси</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100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2624</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1759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2346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2508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3625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4427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5208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5142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6982</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6562</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3367,9</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незавершене виробництво</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120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1212</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992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865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1116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1681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3011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2386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4378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3185</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3130</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3230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готова продукція</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130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3584</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3325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3309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3253</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4384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4629</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6004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7498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9995</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10104</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16 028,00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товари</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140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4051</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8085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7192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5862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8216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10671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12915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15839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20759</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19039</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17890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Дебіторська заборгованість за товари, роботи, послуги: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160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2806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3833</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4152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4433</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5163</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3230</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5209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5054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8944</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9364</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8184,3</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Дебіторська заборгованість за розрахунками:</w:t>
            </w:r>
          </w:p>
        </w:tc>
        <w:tc>
          <w:tcPr>
            <w:tcW w:w="765" w:type="dxa"/>
            <w:gridSpan w:val="2"/>
            <w:tcBorders>
              <w:top w:val="single" w:sz="4" w:space="0" w:color="000000"/>
              <w:left w:val="single" w:sz="4" w:space="0" w:color="000000"/>
              <w:bottom w:val="single" w:sz="4" w:space="0" w:color="000000"/>
              <w:right w:val="single" w:sz="4" w:space="0" w:color="000000"/>
            </w:tcBorders>
            <w:shd w:color="000000" w:fill="FFFFFF"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color="000000" w:fill="FFFFFF"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 бюджетом</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170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227</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115</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938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823</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lang w:eastAsia="uk-UA"/>
              </w:rPr>
            </w:pPr>
            <w:r>
              <w:rPr>
                <w:rFonts w:ascii="Times New Roman" w:hAnsi="Times New Roman"/>
                <w:color w:val="000000"/>
                <w:szCs w:val="20"/>
              </w:rPr>
              <w:t> </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46,2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за виданими авансами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180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478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2835</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691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2300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2575</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2906</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4097,1</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Інша поточна дебіторська заборгованість</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210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2000</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1352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360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19</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t> </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Грошові кошти та їх еквіваленти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230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236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214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287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892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524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860</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1296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1074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983</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1539</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825,3</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в іноземній валюті</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240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48</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94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Інші оборотні активи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250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126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20</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56,8</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Усього за розділом II</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260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16914</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19808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18659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18578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23908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29790</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33731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42261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54261</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bCs/>
                <w:szCs w:val="20"/>
              </w:rPr>
            </w:pPr>
            <w:r>
              <w:rPr>
                <w:rFonts w:ascii="Times New Roman" w:hAnsi="Times New Roman"/>
                <w:bCs/>
                <w:szCs w:val="20"/>
              </w:rPr>
              <w:t>52683</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bCs/>
                <w:szCs w:val="20"/>
              </w:rPr>
            </w:pPr>
            <w:r>
              <w:rPr>
                <w:rFonts w:ascii="Times New Roman" w:hAnsi="Times New Roman"/>
                <w:bCs/>
                <w:szCs w:val="20"/>
              </w:rPr>
              <w:t>53725,6</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III. Витрати майбутніх періодів</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270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70</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59,6</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Баланс</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280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23914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28260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27223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26352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31516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39145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45284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52495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68510</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lang w:eastAsia="uk-UA"/>
              </w:rPr>
            </w:pPr>
            <w:r>
              <w:rPr>
                <w:rFonts w:ascii="Times New Roman" w:hAnsi="Times New Roman"/>
                <w:bCs/>
                <w:szCs w:val="20"/>
              </w:rPr>
              <w:t>64240</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t>66269</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r>
          </w:p>
        </w:tc>
      </w:tr>
      <w:tr>
        <w:trPr>
          <w:trHeight w:val="20" w:hRule="atLeast"/>
        </w:trPr>
        <w:tc>
          <w:tcPr>
            <w:tcW w:w="464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Пасив</w:t>
            </w:r>
          </w:p>
        </w:tc>
        <w:tc>
          <w:tcPr>
            <w:tcW w:w="1168"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Код рядка</w:t>
            </w:r>
          </w:p>
        </w:tc>
        <w:tc>
          <w:tcPr>
            <w:tcW w:w="6892" w:type="dxa"/>
            <w:gridSpan w:val="9"/>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Роки</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r>
      <w:tr>
        <w:trPr>
          <w:trHeight w:val="20" w:hRule="atLeast"/>
        </w:trPr>
        <w:tc>
          <w:tcPr>
            <w:tcW w:w="4648" w:type="dxa"/>
            <w:vMerge w:val="continue"/>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1168" w:type="dxa"/>
            <w:vMerge w:val="continue"/>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2010</w:t>
            </w:r>
          </w:p>
        </w:tc>
        <w:tc>
          <w:tcPr>
            <w:tcW w:w="765"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2011</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2012</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2013</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2014</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2015</w:t>
            </w:r>
          </w:p>
        </w:tc>
        <w:tc>
          <w:tcPr>
            <w:tcW w:w="765"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2016</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2017</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2018</w:t>
            </w:r>
          </w:p>
        </w:tc>
        <w:tc>
          <w:tcPr>
            <w:tcW w:w="766" w:type="dxa"/>
            <w:gridSpan w:val="2"/>
            <w:tcBorders>
              <w:top w:val="single" w:sz="4" w:space="0" w:color="000000"/>
              <w:left w:val="single" w:sz="4" w:space="0" w:color="000000"/>
              <w:bottom w:val="single" w:sz="4" w:space="0" w:color="000000"/>
              <w:right w:val="single" w:sz="4" w:space="0" w:color="000000"/>
            </w:tcBorders>
            <w:shd w:color="auto" w:fill="FFFFFF" w:themeFill="background1"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2019</w:t>
            </w:r>
          </w:p>
        </w:tc>
        <w:tc>
          <w:tcPr>
            <w:tcW w:w="1084" w:type="dxa"/>
            <w:gridSpan w:val="2"/>
            <w:tcBorders>
              <w:top w:val="single" w:sz="4" w:space="0" w:color="000000"/>
              <w:left w:val="single" w:sz="4" w:space="0" w:color="000000"/>
              <w:bottom w:val="single" w:sz="4" w:space="0" w:color="000000"/>
              <w:right w:val="single" w:sz="4" w:space="0" w:color="000000"/>
            </w:tcBorders>
            <w:shd w:color="auto" w:fill="FFFFFF" w:themeFill="background1"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2020</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t>I. Власний капітал</w:t>
            </w:r>
          </w:p>
        </w:tc>
        <w:tc>
          <w:tcPr>
            <w:tcW w:w="76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Статутний капітал</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300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6177</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Інший додатковий капітал</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330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1181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2481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2481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2260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1954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1847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1743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1134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981</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869</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756,5</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Резервний капітал</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340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434</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rPr>
            </w:pPr>
            <w:r>
              <w:rPr>
                <w:rFonts w:ascii="Times New Roman" w:hAnsi="Times New Roman"/>
                <w:szCs w:val="20"/>
              </w:rPr>
              <w:t>434</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Cs w:val="20"/>
              </w:rPr>
            </w:pPr>
            <w:r>
              <w:rPr>
                <w:rFonts w:ascii="Times New Roman" w:hAnsi="Times New Roman"/>
                <w:szCs w:val="20"/>
              </w:rPr>
              <w:t>433,8</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Нерозподілений прибуток (непокритий збиток)</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350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7779</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8192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8093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8721</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10053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17357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21449</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25712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26336</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29149</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31730,6</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Усього за розділом I</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380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15571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17284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17185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17592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18618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25815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29803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33457</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33928</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lang w:eastAsia="uk-UA"/>
              </w:rPr>
            </w:pPr>
            <w:r>
              <w:rPr>
                <w:rFonts w:ascii="Times New Roman" w:hAnsi="Times New Roman"/>
                <w:bCs/>
                <w:szCs w:val="20"/>
              </w:rPr>
              <w:t>36629</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t>39097,5</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t>III. Довгострокові зобов'язання</w:t>
            </w:r>
          </w:p>
        </w:tc>
        <w:tc>
          <w:tcPr>
            <w:tcW w:w="76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Довгострокові кредити банків</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440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2466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582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482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300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1893</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1826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2113</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11621</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9149,6</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Цільове фінансування</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450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 xml:space="preserve">Відстрочені податкові зобов’язання </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460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Усього за розділом III</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480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2472</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588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488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308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1893</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1826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2113</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11621</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9149,6</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t>IV. Поточні зобов'язання</w:t>
            </w:r>
          </w:p>
        </w:tc>
        <w:tc>
          <w:tcPr>
            <w:tcW w:w="76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Cs w:val="20"/>
                <w:lang w:eastAsia="uk-UA"/>
              </w:rPr>
            </w:pPr>
            <w:r>
              <w:rPr>
                <w:rFonts w:eastAsia="Times New Roman" w:ascii="Times New Roman" w:hAnsi="Times New Roman"/>
                <w:i/>
                <w:iCs/>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Короткострокові кредити банків</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500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5157</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8882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8852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7834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9484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8234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10138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16110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18853</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9396</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color w:val="000000"/>
                <w:szCs w:val="20"/>
              </w:rPr>
              <w:t>2058</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Кредиторська заборгованість за товари, роботи, послуги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530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183</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438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111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2244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1189</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2002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824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9657</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3637</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2499,7</w:t>
            </w:r>
          </w:p>
        </w:tc>
      </w:tr>
      <w:tr>
        <w:trPr>
          <w:trHeight w:val="20" w:hRule="atLeast"/>
        </w:trPr>
        <w:tc>
          <w:tcPr>
            <w:tcW w:w="12710" w:type="dxa"/>
            <w:gridSpan w:val="12"/>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Поточні зобов'язання за розрахунками:</w:t>
            </w:r>
          </w:p>
        </w:tc>
        <w:tc>
          <w:tcPr>
            <w:tcW w:w="765" w:type="dxa"/>
            <w:gridSpan w:val="2"/>
            <w:tcBorders>
              <w:top w:val="single" w:sz="4" w:space="0" w:color="000000"/>
              <w:left w:val="single" w:sz="4" w:space="0" w:color="000000"/>
              <w:bottom w:val="single" w:sz="4" w:space="0" w:color="000000"/>
              <w:right w:val="single" w:sz="4" w:space="0" w:color="000000"/>
            </w:tcBorders>
            <w:shd w:color="auto" w:fill="FFFFFF" w:themeFill="background1"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c>
          <w:tcPr>
            <w:tcW w:w="1083" w:type="dxa"/>
            <w:tcBorders>
              <w:top w:val="single" w:sz="4" w:space="0" w:color="000000"/>
              <w:left w:val="single" w:sz="4" w:space="0" w:color="000000"/>
              <w:bottom w:val="single" w:sz="4" w:space="0" w:color="000000"/>
              <w:right w:val="single" w:sz="4" w:space="0" w:color="000000"/>
            </w:tcBorders>
            <w:shd w:color="auto" w:fill="FFFFFF" w:themeFill="background1" w:val="clea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 одержаних авансів</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540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44</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100</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lang w:eastAsia="uk-UA"/>
              </w:rPr>
            </w:pPr>
            <w:r>
              <w:rPr>
                <w:rFonts w:ascii="Times New Roman" w:hAnsi="Times New Roman"/>
                <w:color w:val="000000"/>
                <w:szCs w:val="20"/>
              </w:rPr>
              <w:t>99</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t> </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 бюджетом</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550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150</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254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186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1328</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307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150</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932</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572,6</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зі страхування</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570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86</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67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79</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81</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98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142</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t> </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11490</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 оплати праці</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580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207</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167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138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157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191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172</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336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364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517</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110</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143,2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з учасниками</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590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228</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325</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1753</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305</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524,2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із внутрішніх розрахунків</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600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465</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276</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t> </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Поточні зобов’язання</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605</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246</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Інші поточні зобов'язання</w:t>
            </w:r>
          </w:p>
        </w:tc>
        <w:tc>
          <w:tcPr>
            <w:tcW w:w="1168"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610</w:t>
            </w:r>
          </w:p>
        </w:tc>
        <w:tc>
          <w:tcPr>
            <w:tcW w:w="766" w:type="dxa"/>
            <w:tcBorders>
              <w:top w:val="single" w:sz="4" w:space="0" w:color="000000"/>
              <w:left w:val="single" w:sz="4" w:space="0" w:color="000000"/>
              <w:bottom w:val="single" w:sz="4" w:space="0" w:color="000000"/>
              <w:right w:val="single" w:sz="4" w:space="0" w:color="000000"/>
            </w:tcBorders>
            <w:shd w:color="auto" w:fill="FFFFFF" w:themeFill="background1"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212</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684</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371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262</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357</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389</w:t>
            </w:r>
          </w:p>
        </w:tc>
        <w:tc>
          <w:tcPr>
            <w:tcW w:w="765"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551</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756</w:t>
            </w:r>
          </w:p>
        </w:tc>
        <w:tc>
          <w:tcPr>
            <w:tcW w:w="766" w:type="dxa"/>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832</w:t>
            </w:r>
          </w:p>
        </w:tc>
        <w:tc>
          <w:tcPr>
            <w:tcW w:w="766"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right"/>
              <w:rPr>
                <w:rFonts w:ascii="Times New Roman" w:hAnsi="Times New Roman"/>
                <w:color w:val="000000"/>
                <w:szCs w:val="20"/>
              </w:rPr>
            </w:pPr>
            <w:r>
              <w:rPr>
                <w:rFonts w:ascii="Times New Roman" w:hAnsi="Times New Roman"/>
                <w:color w:val="000000"/>
                <w:szCs w:val="20"/>
              </w:rPr>
              <w:t>989</w:t>
            </w:r>
          </w:p>
        </w:tc>
        <w:tc>
          <w:tcPr>
            <w:tcW w:w="1084" w:type="dxa"/>
            <w:gridSpan w:val="2"/>
            <w:tcBorders>
              <w:top w:val="single" w:sz="4" w:space="0" w:color="000000"/>
              <w:left w:val="single" w:sz="4" w:space="0" w:color="000000"/>
              <w:bottom w:val="single" w:sz="4" w:space="0" w:color="000000"/>
              <w:right w:val="single" w:sz="4" w:space="0" w:color="000000"/>
            </w:tcBorders>
            <w:shd w:color="000000" w:fill="FFFFFF" w:val="clear"/>
            <w:vAlign w:val="bottom"/>
          </w:tcPr>
          <w:p>
            <w:pPr>
              <w:pStyle w:val="Normal"/>
              <w:jc w:val="left"/>
              <w:rPr>
                <w:rFonts w:ascii="Times New Roman" w:hAnsi="Times New Roman"/>
                <w:color w:val="000000"/>
                <w:szCs w:val="20"/>
              </w:rPr>
            </w:pPr>
            <w:r>
              <w:rPr>
                <w:rFonts w:ascii="Times New Roman" w:hAnsi="Times New Roman"/>
                <w:color w:val="000000"/>
                <w:szCs w:val="20"/>
              </w:rPr>
              <w:t> </w:t>
            </w:r>
            <w:r>
              <w:rPr>
                <w:rFonts w:ascii="Times New Roman" w:hAnsi="Times New Roman"/>
                <w:color w:val="000000"/>
                <w:szCs w:val="20"/>
              </w:rPr>
              <w:t>734,2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Усього за розділом IV</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620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5871</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10388</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9550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8726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12590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11437</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13655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19005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32469</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right"/>
              <w:rPr>
                <w:rFonts w:ascii="Times New Roman" w:hAnsi="Times New Roman"/>
                <w:color w:val="000000"/>
                <w:szCs w:val="20"/>
              </w:rPr>
            </w:pPr>
            <w:r>
              <w:rPr>
                <w:rFonts w:ascii="Times New Roman" w:hAnsi="Times New Roman"/>
                <w:bCs/>
                <w:szCs w:val="20"/>
              </w:rPr>
              <w:t>15990</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color w:val="000000"/>
                <w:szCs w:val="20"/>
              </w:rPr>
            </w:pPr>
            <w:r>
              <w:rPr>
                <w:rFonts w:ascii="Times New Roman" w:hAnsi="Times New Roman"/>
                <w:bCs/>
                <w:szCs w:val="20"/>
              </w:rPr>
              <w:t>18022</w:t>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V. Доходи майбутніх періодів</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630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 </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color w:val="000000"/>
                <w:szCs w:val="20"/>
                <w:lang w:eastAsia="uk-UA"/>
              </w:rPr>
            </w:pPr>
            <w:r>
              <w:rPr>
                <w:rFonts w:eastAsia="Times New Roman" w:ascii="Times New Roman" w:hAnsi="Times New Roman"/>
                <w:color w:val="000000"/>
                <w:szCs w:val="20"/>
                <w:lang w:eastAsia="uk-UA"/>
              </w:rPr>
              <w:t>0</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r>
          </w:p>
        </w:tc>
      </w:tr>
      <w:tr>
        <w:trPr>
          <w:trHeight w:val="20" w:hRule="atLeast"/>
        </w:trPr>
        <w:tc>
          <w:tcPr>
            <w:tcW w:w="46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Баланс</w:t>
            </w:r>
          </w:p>
        </w:tc>
        <w:tc>
          <w:tcPr>
            <w:tcW w:w="116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left"/>
              <w:rPr>
                <w:rFonts w:ascii="Times New Roman" w:hAnsi="Times New Roman" w:eastAsia="Times New Roman"/>
                <w:szCs w:val="20"/>
                <w:lang w:eastAsia="uk-UA"/>
              </w:rPr>
            </w:pPr>
            <w:r>
              <w:rPr>
                <w:rFonts w:eastAsia="Times New Roman" w:ascii="Times New Roman" w:hAnsi="Times New Roman"/>
                <w:szCs w:val="20"/>
                <w:lang w:eastAsia="uk-UA"/>
              </w:rPr>
              <w:t>640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23914</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28260</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27223</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26352</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31516</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39145</w:t>
            </w:r>
          </w:p>
        </w:tc>
        <w:tc>
          <w:tcPr>
            <w:tcW w:w="76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45284</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52495</w:t>
            </w:r>
          </w:p>
        </w:tc>
        <w:tc>
          <w:tcPr>
            <w:tcW w:w="76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szCs w:val="20"/>
                <w:lang w:eastAsia="uk-UA"/>
              </w:rPr>
            </w:pPr>
            <w:r>
              <w:rPr>
                <w:rFonts w:eastAsia="Times New Roman" w:ascii="Times New Roman" w:hAnsi="Times New Roman"/>
                <w:szCs w:val="20"/>
                <w:lang w:eastAsia="uk-UA"/>
              </w:rPr>
              <w:t>68510</w:t>
            </w:r>
          </w:p>
        </w:tc>
        <w:tc>
          <w:tcPr>
            <w:tcW w:w="766"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lang w:eastAsia="uk-UA"/>
              </w:rPr>
            </w:pPr>
            <w:r>
              <w:rPr>
                <w:rFonts w:ascii="Times New Roman" w:hAnsi="Times New Roman"/>
                <w:bCs/>
                <w:szCs w:val="20"/>
              </w:rPr>
              <w:t>64240</w:t>
            </w:r>
          </w:p>
        </w:tc>
        <w:tc>
          <w:tcPr>
            <w:tcW w:w="108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szCs w:val="20"/>
              </w:rPr>
            </w:pPr>
            <w:r>
              <w:rPr>
                <w:rFonts w:ascii="Times New Roman" w:hAnsi="Times New Roman"/>
                <w:bCs/>
                <w:szCs w:val="20"/>
              </w:rPr>
              <w:t>66269</w:t>
            </w:r>
          </w:p>
        </w:tc>
      </w:tr>
    </w:tbl>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sectPr>
          <w:headerReference w:type="default" r:id="rId102"/>
          <w:footerReference w:type="default" r:id="rId103"/>
          <w:type w:val="nextPage"/>
          <w:pgSz w:orient="landscape" w:w="16838" w:h="11906"/>
          <w:pgMar w:left="1134" w:right="1134" w:header="708" w:top="765" w:footer="708" w:bottom="1701" w:gutter="0"/>
          <w:pgNumType w:fmt="decimal"/>
          <w:formProt w:val="false"/>
          <w:textDirection w:val="lrTb"/>
          <w:docGrid w:type="default" w:linePitch="360" w:charSpace="0"/>
        </w:sectPr>
        <w:pStyle w:val="ListParagraph"/>
        <w:spacing w:lineRule="auto" w:line="360"/>
        <w:ind w:left="0" w:firstLine="709"/>
        <w:rPr>
          <w:rFonts w:ascii="Times New Roman" w:hAnsi="Times New Roman"/>
          <w:sz w:val="10"/>
          <w:szCs w:val="28"/>
        </w:rPr>
      </w:pPr>
      <w:r>
        <w:rPr>
          <w:rFonts w:ascii="Times New Roman" w:hAnsi="Times New Roman"/>
          <w:sz w:val="28"/>
          <w:szCs w:val="28"/>
        </w:rPr>
        <w:t xml:space="preserve"> </w:t>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t>ДОДАТОК В</w:t>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r>
    </w:p>
    <w:p>
      <w:pPr>
        <w:pStyle w:val="ListParagraph"/>
        <w:spacing w:lineRule="auto" w:line="360"/>
        <w:ind w:left="0" w:firstLine="709"/>
        <w:jc w:val="center"/>
        <w:rPr>
          <w:rFonts w:ascii="Times New Roman" w:hAnsi="Times New Roman"/>
          <w:b/>
          <w:b/>
          <w:sz w:val="28"/>
          <w:szCs w:val="28"/>
        </w:rPr>
      </w:pPr>
      <w:r>
        <w:rPr>
          <w:rFonts w:ascii="Times New Roman" w:hAnsi="Times New Roman"/>
          <w:b/>
          <w:sz w:val="28"/>
          <w:szCs w:val="28"/>
        </w:rPr>
      </w:r>
    </w:p>
    <w:p>
      <w:pPr>
        <w:pStyle w:val="ListParagraph"/>
        <w:spacing w:lineRule="auto" w:line="360"/>
        <w:ind w:left="0" w:firstLine="709"/>
        <w:rPr>
          <w:rFonts w:ascii="Times New Roman" w:hAnsi="Times New Roman" w:eastAsia="Times New Roman"/>
          <w:sz w:val="28"/>
          <w:szCs w:val="28"/>
          <w:lang w:eastAsia="ru-RU"/>
        </w:rPr>
      </w:pPr>
      <w:r>
        <w:rPr>
          <w:rFonts w:ascii="Times New Roman" w:hAnsi="Times New Roman"/>
          <w:sz w:val="28"/>
          <w:szCs w:val="28"/>
        </w:rPr>
        <w:t xml:space="preserve">Таблиця В – Звіт про фінансові результати </w:t>
      </w:r>
      <w:r>
        <w:rPr>
          <w:rFonts w:eastAsia="Times New Roman" w:ascii="Times New Roman" w:hAnsi="Times New Roman"/>
          <w:sz w:val="28"/>
          <w:szCs w:val="28"/>
          <w:lang w:eastAsia="ru-RU"/>
        </w:rPr>
        <w:t>ТОВ «НЕЙЛ»</w:t>
      </w:r>
    </w:p>
    <w:tbl>
      <w:tblPr>
        <w:tblW w:w="9629" w:type="dxa"/>
        <w:jc w:val="left"/>
        <w:tblInd w:w="0" w:type="dxa"/>
        <w:tblCellMar>
          <w:top w:w="0" w:type="dxa"/>
          <w:left w:w="108" w:type="dxa"/>
          <w:bottom w:w="0" w:type="dxa"/>
          <w:right w:w="108" w:type="dxa"/>
        </w:tblCellMar>
        <w:tblLook w:firstRow="1" w:noVBand="1" w:lastRow="0" w:firstColumn="1" w:lastColumn="0" w:noHBand="0" w:val="04a0"/>
      </w:tblPr>
      <w:tblGrid>
        <w:gridCol w:w="1851"/>
        <w:gridCol w:w="816"/>
        <w:gridCol w:w="615"/>
        <w:gridCol w:w="615"/>
        <w:gridCol w:w="616"/>
        <w:gridCol w:w="615"/>
        <w:gridCol w:w="615"/>
        <w:gridCol w:w="695"/>
        <w:gridCol w:w="696"/>
        <w:gridCol w:w="695"/>
        <w:gridCol w:w="8"/>
        <w:gridCol w:w="887"/>
        <w:gridCol w:w="8"/>
        <w:gridCol w:w="896"/>
      </w:tblGrid>
      <w:tr>
        <w:trPr>
          <w:trHeight w:val="20" w:hRule="atLeast"/>
        </w:trPr>
        <w:tc>
          <w:tcPr>
            <w:tcW w:w="1851" w:type="dxa"/>
            <w:vMerge w:val="restart"/>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333333"/>
                <w:sz w:val="16"/>
                <w:szCs w:val="16"/>
                <w:lang w:eastAsia="uk-UA"/>
              </w:rPr>
            </w:pPr>
            <w:r>
              <w:rPr>
                <w:rFonts w:eastAsia="Times New Roman" w:ascii="Times New Roman" w:hAnsi="Times New Roman"/>
                <w:color w:val="333333"/>
                <w:sz w:val="16"/>
                <w:szCs w:val="16"/>
                <w:lang w:eastAsia="uk-UA"/>
              </w:rPr>
              <w:t xml:space="preserve">Показники </w:t>
            </w:r>
          </w:p>
        </w:tc>
        <w:tc>
          <w:tcPr>
            <w:tcW w:w="7777" w:type="dxa"/>
            <w:gridSpan w:val="13"/>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 xml:space="preserve">Роки </w:t>
            </w:r>
          </w:p>
        </w:tc>
      </w:tr>
      <w:tr>
        <w:trPr>
          <w:trHeight w:val="20" w:hRule="atLeast"/>
        </w:trPr>
        <w:tc>
          <w:tcPr>
            <w:tcW w:w="1851" w:type="dxa"/>
            <w:vMerge w:val="continue"/>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right"/>
              <w:rPr>
                <w:rFonts w:ascii="Times New Roman" w:hAnsi="Times New Roman" w:eastAsia="Times New Roman"/>
                <w:color w:val="333333"/>
                <w:sz w:val="16"/>
                <w:szCs w:val="16"/>
                <w:lang w:eastAsia="uk-UA"/>
              </w:rPr>
            </w:pPr>
            <w:r>
              <w:rPr>
                <w:rFonts w:eastAsia="Times New Roman" w:ascii="Times New Roman" w:hAnsi="Times New Roman"/>
                <w:color w:val="333333"/>
                <w:sz w:val="16"/>
                <w:szCs w:val="16"/>
                <w:lang w:eastAsia="uk-UA"/>
              </w:rPr>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2011</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2012</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2015</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2017</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2018</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2019</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2020</w:t>
            </w:r>
          </w:p>
        </w:tc>
      </w:tr>
      <w:tr>
        <w:trPr>
          <w:trHeight w:val="20" w:hRule="atLeast"/>
        </w:trPr>
        <w:tc>
          <w:tcPr>
            <w:tcW w:w="7837" w:type="dxa"/>
            <w:gridSpan w:val="11"/>
            <w:tcBorders>
              <w:top w:val="single" w:sz="4" w:space="0" w:color="000000"/>
              <w:left w:val="single" w:sz="4" w:space="0" w:color="000000"/>
              <w:bottom w:val="single" w:sz="4" w:space="0" w:color="000000"/>
              <w:right w:val="single" w:sz="4" w:space="0" w:color="000000"/>
            </w:tcBorders>
            <w:shd w:color="auto" w:fill="auto" w:val="clear"/>
            <w:vAlign w:val="bottom"/>
          </w:tcPr>
          <w:p>
            <w:pPr>
              <w:pStyle w:val="Normal"/>
              <w:jc w:val="center"/>
              <w:rPr>
                <w:rFonts w:ascii="Times New Roman" w:hAnsi="Times New Roman" w:eastAsia="Times New Roman"/>
                <w:i/>
                <w:i/>
                <w:iCs/>
                <w:sz w:val="16"/>
                <w:szCs w:val="16"/>
                <w:lang w:eastAsia="uk-UA"/>
              </w:rPr>
            </w:pPr>
            <w:r>
              <w:rPr>
                <w:rFonts w:eastAsia="Times New Roman" w:ascii="Times New Roman" w:hAnsi="Times New Roman"/>
                <w:i/>
                <w:iCs/>
                <w:sz w:val="16"/>
                <w:szCs w:val="16"/>
                <w:lang w:eastAsia="uk-UA"/>
              </w:rPr>
              <w:t>І. ФІНАНСОВІ РЕЗУЛЬТАТИ</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 w:val="16"/>
                <w:szCs w:val="16"/>
                <w:lang w:eastAsia="uk-UA"/>
              </w:rPr>
            </w:pPr>
            <w:r>
              <w:rPr>
                <w:rFonts w:eastAsia="Times New Roman" w:ascii="Times New Roman" w:hAnsi="Times New Roman"/>
                <w:i/>
                <w:iCs/>
                <w:sz w:val="16"/>
                <w:szCs w:val="16"/>
                <w:lang w:eastAsia="uk-UA"/>
              </w:rPr>
            </w:r>
          </w:p>
        </w:tc>
        <w:tc>
          <w:tcPr>
            <w:tcW w:w="89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i/>
                <w:i/>
                <w:iCs/>
                <w:sz w:val="16"/>
                <w:szCs w:val="16"/>
                <w:lang w:eastAsia="uk-UA"/>
              </w:rPr>
            </w:pPr>
            <w:r>
              <w:rPr>
                <w:rFonts w:eastAsia="Times New Roman" w:ascii="Times New Roman" w:hAnsi="Times New Roman"/>
                <w:i/>
                <w:iCs/>
                <w:sz w:val="16"/>
                <w:szCs w:val="16"/>
                <w:lang w:eastAsia="uk-UA"/>
              </w:rPr>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Чистий доход (виручка) від реалізації продукції (товарів, робіт, послуг)</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50690,00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55023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54395</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49483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66146</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96243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109915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129924</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177270</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174043,00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151132,90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Собівартість реалізованої продукції (товарів, робіт, послуг)</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40946</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42894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42949</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37431</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50188</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69240</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82130</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100391</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142460</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140483,00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119559,70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Валовий :прибуток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9744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12129</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11446</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12052</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15958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27003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27785</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29533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34810</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lang w:eastAsia="uk-UA"/>
              </w:rPr>
            </w:pPr>
            <w:r>
              <w:rPr>
                <w:rFonts w:ascii="Times New Roman" w:hAnsi="Times New Roman"/>
                <w:bCs/>
                <w:color w:val="000000"/>
                <w:sz w:val="16"/>
                <w:szCs w:val="16"/>
              </w:rPr>
              <w:t>33560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31573</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операційні доходи</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7115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2460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2469</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498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784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2132</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1413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1073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1574</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2190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1570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Адміністративні витрати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1715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2313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2387</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2929</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3104</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4943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6023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6538</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7263</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6447</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6123</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Витрати на збут</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6273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6704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6993</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6665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8406</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10920</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14266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16252</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21231</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21271</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19899</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операційні витрати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7485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2684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2581</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726</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1767</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2453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1263</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792</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964</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center"/>
              <w:rPr>
                <w:rFonts w:ascii="Times New Roman" w:hAnsi="Times New Roman"/>
                <w:color w:val="000000"/>
                <w:sz w:val="16"/>
                <w:szCs w:val="16"/>
              </w:rPr>
            </w:pPr>
            <w:r>
              <w:rPr>
                <w:rFonts w:ascii="Times New Roman" w:hAnsi="Times New Roman"/>
                <w:color w:val="000000"/>
                <w:sz w:val="16"/>
                <w:szCs w:val="16"/>
              </w:rPr>
              <w:t>942,00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bottom"/>
          </w:tcPr>
          <w:p>
            <w:pPr>
              <w:pStyle w:val="Normal"/>
              <w:jc w:val="center"/>
              <w:rPr>
                <w:rFonts w:ascii="Times New Roman" w:hAnsi="Times New Roman"/>
                <w:color w:val="000000"/>
                <w:sz w:val="16"/>
                <w:szCs w:val="16"/>
              </w:rPr>
            </w:pPr>
            <w:r>
              <w:rPr>
                <w:rFonts w:ascii="Times New Roman" w:hAnsi="Times New Roman"/>
                <w:color w:val="000000"/>
                <w:sz w:val="16"/>
                <w:szCs w:val="16"/>
              </w:rPr>
              <w:t>1 426,30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Фінансові результати від операційної діяльності: прибуток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1386</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2888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1954</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2230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3465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10819</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7646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7024</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6926</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lang w:eastAsia="uk-UA"/>
              </w:rPr>
            </w:pPr>
            <w:r>
              <w:rPr>
                <w:rFonts w:ascii="Times New Roman" w:hAnsi="Times New Roman"/>
                <w:bCs/>
                <w:color w:val="000000"/>
                <w:sz w:val="16"/>
                <w:szCs w:val="16"/>
              </w:rPr>
              <w:t>7090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5694,9</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фінансові доходи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доходи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171</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19</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34</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300</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1068</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300,1</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Фінансові витрати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2078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1768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1920</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1675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1828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2069</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2790</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2535</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3599</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4520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2702,9</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витрати</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210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357</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325</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345</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Фінансові результати від звичайної діяльності до оподаткування: прибуток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1116</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35</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555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1308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8753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4879</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4523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3627</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lang w:eastAsia="uk-UA"/>
              </w:rPr>
            </w:pPr>
            <w:r>
              <w:rPr>
                <w:rFonts w:ascii="Times New Roman" w:hAnsi="Times New Roman"/>
                <w:bCs/>
                <w:color w:val="000000"/>
                <w:sz w:val="16"/>
                <w:szCs w:val="16"/>
              </w:rPr>
              <w:t>3313</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2947,1</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збиток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-726</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Податок на прибуток від звичайної діяльності</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703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148</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283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1556</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897</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869</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656</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612</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476,3</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Фінансові результати від звичайної діяльності: прибуток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413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407</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1025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7197</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3982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3654</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2971</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lang w:eastAsia="uk-UA"/>
              </w:rPr>
            </w:pPr>
            <w:r>
              <w:rPr>
                <w:rFonts w:ascii="Times New Roman" w:hAnsi="Times New Roman"/>
                <w:bCs/>
                <w:color w:val="000000"/>
                <w:sz w:val="16"/>
                <w:szCs w:val="16"/>
              </w:rPr>
              <w:t>2701</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2470,8</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збиток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-779</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Чистий:</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прибуток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413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407</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1025</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7197</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3982</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3654</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2971</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lang w:eastAsia="uk-UA"/>
              </w:rPr>
            </w:pPr>
            <w:r>
              <w:rPr>
                <w:rFonts w:ascii="Times New Roman" w:hAnsi="Times New Roman"/>
                <w:bCs/>
                <w:color w:val="000000"/>
                <w:sz w:val="16"/>
                <w:szCs w:val="16"/>
              </w:rPr>
              <w:t>2701</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2470,8</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збиток</w:t>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-779</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vMerge w:val="restart"/>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i/>
                <w:iCs/>
                <w:color w:val="000000"/>
                <w:sz w:val="16"/>
                <w:szCs w:val="16"/>
                <w:lang w:eastAsia="uk-UA"/>
              </w:rPr>
              <w:t>ІІ. ЕЛЕМЕНТИ ОПЕРАЦІЙНИХ ВИТРАТ</w:t>
            </w:r>
          </w:p>
        </w:tc>
        <w:tc>
          <w:tcPr>
            <w:tcW w:w="5986" w:type="dxa"/>
            <w:gridSpan w:val="10"/>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 xml:space="preserve">Роки </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c>
          <w:tcPr>
            <w:tcW w:w="896" w:type="dxa"/>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r>
          </w:p>
        </w:tc>
      </w:tr>
      <w:tr>
        <w:trPr>
          <w:trHeight w:val="20" w:hRule="atLeast"/>
        </w:trPr>
        <w:tc>
          <w:tcPr>
            <w:tcW w:w="1851" w:type="dxa"/>
            <w:vMerge w:val="continue"/>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i/>
                <w:i/>
                <w:iCs/>
                <w:color w:val="000000"/>
                <w:sz w:val="16"/>
                <w:szCs w:val="16"/>
                <w:lang w:eastAsia="uk-UA"/>
              </w:rPr>
            </w:pPr>
            <w:r>
              <w:rPr>
                <w:rFonts w:eastAsia="Times New Roman" w:ascii="Times New Roman" w:hAnsi="Times New Roman"/>
                <w:i/>
                <w:iCs/>
                <w:color w:val="000000"/>
                <w:sz w:val="16"/>
                <w:szCs w:val="16"/>
                <w:lang w:eastAsia="uk-UA"/>
              </w:rPr>
            </w:r>
          </w:p>
        </w:tc>
        <w:tc>
          <w:tcPr>
            <w:tcW w:w="8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2010</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2011</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2012</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2013</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2014</w:t>
            </w:r>
          </w:p>
        </w:tc>
        <w:tc>
          <w:tcPr>
            <w:tcW w:w="61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2015</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2016</w:t>
            </w:r>
          </w:p>
        </w:tc>
        <w:tc>
          <w:tcPr>
            <w:tcW w:w="69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2017</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2018</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2019</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2020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Матеріальні затрати</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26026</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25491</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22003</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20438</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30133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43236</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48871</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68739</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98388</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lang w:eastAsia="uk-UA"/>
              </w:rPr>
            </w:pPr>
            <w:r>
              <w:rPr>
                <w:rFonts w:ascii="Times New Roman" w:hAnsi="Times New Roman"/>
                <w:sz w:val="16"/>
                <w:szCs w:val="16"/>
              </w:rPr>
              <w:t>87143</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89560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Витрати на оплату праці</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4740</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4970</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4417</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4258</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4844</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5907</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9071</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9716</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12856</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14690</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15789</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Відрахування на соціальні заходи</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1801</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1852</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1652</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1571</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1750</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1894</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1881</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2015</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2765</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3188</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4320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Амортизація</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771</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778</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1040</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1032</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1135</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1246</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2381</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2409</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3178</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3374</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3679</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Інші операційні витрати</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3045</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3763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5001</w:t>
            </w:r>
          </w:p>
        </w:tc>
        <w:tc>
          <w:tcPr>
            <w:tcW w:w="616"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5893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7943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12232</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13008</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13583</w:t>
            </w:r>
          </w:p>
        </w:tc>
        <w:tc>
          <w:tcPr>
            <w:tcW w:w="695"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16907</w:t>
            </w:r>
          </w:p>
        </w:tc>
        <w:tc>
          <w:tcPr>
            <w:tcW w:w="895"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15995</w:t>
            </w:r>
          </w:p>
        </w:tc>
        <w:tc>
          <w:tcPr>
            <w:tcW w:w="904" w:type="dxa"/>
            <w:gridSpan w:val="2"/>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center"/>
              <w:rPr>
                <w:rFonts w:ascii="Times New Roman" w:hAnsi="Times New Roman"/>
                <w:sz w:val="16"/>
                <w:szCs w:val="16"/>
              </w:rPr>
            </w:pPr>
            <w:r>
              <w:rPr>
                <w:rFonts w:ascii="Times New Roman" w:hAnsi="Times New Roman"/>
                <w:sz w:val="16"/>
                <w:szCs w:val="16"/>
              </w:rPr>
              <w:t>2780</w:t>
            </w:r>
          </w:p>
        </w:tc>
      </w:tr>
      <w:tr>
        <w:trPr>
          <w:trHeight w:val="20" w:hRule="atLeast"/>
        </w:trPr>
        <w:tc>
          <w:tcPr>
            <w:tcW w:w="1851" w:type="dxa"/>
            <w:tcBorders>
              <w:top w:val="single" w:sz="4" w:space="0" w:color="000000"/>
              <w:left w:val="single" w:sz="4" w:space="0" w:color="000000"/>
              <w:bottom w:val="single" w:sz="4" w:space="0" w:color="000000"/>
              <w:right w:val="single" w:sz="4" w:space="0" w:color="000000"/>
            </w:tcBorders>
            <w:shd w:color="auto" w:fill="auto" w:val="clear"/>
          </w:tcPr>
          <w:p>
            <w:pPr>
              <w:pStyle w:val="Normal"/>
              <w:jc w:val="left"/>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Разом</w:t>
            </w:r>
          </w:p>
        </w:tc>
        <w:tc>
          <w:tcPr>
            <w:tcW w:w="8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36383</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36854</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34113</w:t>
            </w:r>
          </w:p>
        </w:tc>
        <w:tc>
          <w:tcPr>
            <w:tcW w:w="61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33192</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45805</w:t>
            </w:r>
          </w:p>
        </w:tc>
        <w:tc>
          <w:tcPr>
            <w:tcW w:w="61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64515</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75212</w:t>
            </w:r>
          </w:p>
        </w:tc>
        <w:tc>
          <w:tcPr>
            <w:tcW w:w="696"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96462</w:t>
            </w:r>
          </w:p>
        </w:tc>
        <w:tc>
          <w:tcPr>
            <w:tcW w:w="695" w:type="dxa"/>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eastAsia="Times New Roman"/>
                <w:color w:val="000000"/>
                <w:sz w:val="16"/>
                <w:szCs w:val="16"/>
                <w:lang w:eastAsia="uk-UA"/>
              </w:rPr>
            </w:pPr>
            <w:r>
              <w:rPr>
                <w:rFonts w:eastAsia="Times New Roman" w:ascii="Times New Roman" w:hAnsi="Times New Roman"/>
                <w:color w:val="000000"/>
                <w:sz w:val="16"/>
                <w:szCs w:val="16"/>
                <w:lang w:eastAsia="uk-UA"/>
              </w:rPr>
              <w:t>134094</w:t>
            </w:r>
          </w:p>
        </w:tc>
        <w:tc>
          <w:tcPr>
            <w:tcW w:w="895" w:type="dxa"/>
            <w:gridSpan w:val="2"/>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124390</w:t>
            </w:r>
          </w:p>
        </w:tc>
        <w:tc>
          <w:tcPr>
            <w:tcW w:w="904" w:type="dxa"/>
            <w:gridSpan w:val="2"/>
            <w:tcBorders>
              <w:top w:val="single" w:sz="4" w:space="0" w:color="000000"/>
              <w:left w:val="single" w:sz="4" w:space="0" w:color="000000"/>
              <w:bottom w:val="single" w:sz="4" w:space="0" w:color="000000"/>
              <w:right w:val="single" w:sz="4" w:space="0" w:color="000000"/>
            </w:tcBorders>
            <w:shd w:color="000000" w:fill="FFFFFF" w:val="clear"/>
            <w:vAlign w:val="center"/>
          </w:tcPr>
          <w:p>
            <w:pPr>
              <w:pStyle w:val="Normal"/>
              <w:jc w:val="center"/>
              <w:rPr>
                <w:rFonts w:ascii="Times New Roman" w:hAnsi="Times New Roman"/>
                <w:bCs/>
                <w:color w:val="000000"/>
                <w:sz w:val="16"/>
                <w:szCs w:val="16"/>
              </w:rPr>
            </w:pPr>
            <w:r>
              <w:rPr>
                <w:rFonts w:ascii="Times New Roman" w:hAnsi="Times New Roman"/>
                <w:bCs/>
                <w:color w:val="000000"/>
                <w:sz w:val="16"/>
                <w:szCs w:val="16"/>
              </w:rPr>
              <w:t>116128</w:t>
            </w:r>
          </w:p>
        </w:tc>
      </w:tr>
    </w:tbl>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ListParagraph"/>
        <w:spacing w:lineRule="auto" w:line="360"/>
        <w:ind w:left="0" w:firstLine="709"/>
        <w:rPr>
          <w:rFonts w:ascii="Times New Roman" w:hAnsi="Times New Roman" w:eastAsia="Times New Roman"/>
          <w:sz w:val="28"/>
          <w:szCs w:val="28"/>
          <w:lang w:eastAsia="ru-RU"/>
        </w:rPr>
      </w:pPr>
      <w:r>
        <w:rPr>
          <w:rFonts w:eastAsia="Times New Roman" w:ascii="Times New Roman" w:hAnsi="Times New Roman"/>
          <w:sz w:val="28"/>
          <w:szCs w:val="28"/>
          <w:lang w:eastAsia="ru-RU"/>
        </w:rPr>
      </w:r>
    </w:p>
    <w:p>
      <w:pPr>
        <w:pStyle w:val="Normal"/>
        <w:spacing w:lineRule="auto" w:line="360"/>
        <w:rPr/>
      </w:pPr>
      <w:r>
        <w:rPr/>
      </w:r>
    </w:p>
    <w:sectPr>
      <w:headerReference w:type="default" r:id="rId104"/>
      <w:footerReference w:type="default" r:id="rId105"/>
      <w:type w:val="nextPage"/>
      <w:pgSz w:w="11906" w:h="16838"/>
      <w:pgMar w:left="1701" w:right="567" w:header="708" w:top="1134" w:footer="708"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w:charset w:val="cc"/>
    <w:family w:val="roman"/>
    <w:pitch w:val="variable"/>
  </w:font>
  <w:font w:name="Cambria">
    <w:charset w:val="cc"/>
    <w:family w:val="roman"/>
    <w:pitch w:val="variable"/>
  </w:font>
  <w:font w:name="Times New Roman">
    <w:charset w:val="cc"/>
    <w:family w:val="roman"/>
    <w:pitch w:val="variable"/>
  </w:font>
  <w:font w:name="Tahoma">
    <w:charset w:val="cc"/>
    <w:family w:val="roman"/>
    <w:pitch w:val="variable"/>
  </w:font>
  <w:font w:name="Courier New">
    <w:charset w:val="cc"/>
    <w:family w:val="roman"/>
    <w:pitch w:val="variable"/>
  </w:font>
  <w:font w:name="Verdana">
    <w:charset w:val="cc"/>
    <w:family w:val="roman"/>
    <w:pitch w:val="variable"/>
  </w:font>
  <w:font w:name="Liberation Sans">
    <w:altName w:val="Arial"/>
    <w:charset w:val="cc"/>
    <w:family w:val="swiss"/>
    <w:pitch w:val="variable"/>
  </w:font>
  <w:font w:name="Times New Roman">
    <w:charset w:val="cc"/>
    <w:family w:val="auto"/>
    <w:pitch w:val="default"/>
  </w:font>
  <w:font w:name="Courier New">
    <w:charset w:val="01"/>
    <w:family w:val="modern"/>
    <w:pitch w:val="fixed"/>
  </w:font>
  <w:font w:name="Wingdings">
    <w:charset w:val="02"/>
    <w:family w:val="auto"/>
    <w:pitch w:val="variable"/>
  </w:font>
  <w:font w:name="Times New Roman">
    <w:charset w:val="01"/>
    <w:family w:val="roman"/>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5"/>
      <w:spacing w:lineRule="auto" w:line="12" w:before="0" w:after="120"/>
      <w:rPr>
        <w:sz w:val="20"/>
      </w:rPr>
    </w:pPr>
    <w:r>
      <w:rPr>
        <w:sz w:val="20"/>
      </w:rPr>
    </w:r>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1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Web"/>
      <w:spacing w:before="0" w:after="280"/>
      <w:rPr/>
    </w:pPr>
    <w:r>
      <w:rPr/>
    </w:r>
  </w:p>
</w:ftr>
</file>

<file path=word/footer2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2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3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1</w:t>
    </w:r>
    <w:r>
      <w:rPr>
        <w:sz w:val="20"/>
        <w:szCs w:val="20"/>
        <w:rFonts w:ascii="Times New Roman" w:hAnsi="Times New Roman"/>
      </w:rPr>
      <w:fldChar w:fldCharType="end"/>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28</w:t>
    </w:r>
    <w:r>
      <w:rPr>
        <w:sz w:val="20"/>
        <w:szCs w:val="20"/>
        <w:rFonts w:ascii="Times New Roman" w:hAnsi="Times New Roman"/>
      </w:rPr>
      <w:fldChar w:fldCharType="end"/>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30</w:t>
    </w:r>
    <w:r>
      <w:rPr>
        <w:sz w:val="20"/>
        <w:szCs w:val="20"/>
        <w:rFonts w:ascii="Times New Roman" w:hAnsi="Times New Roman"/>
      </w:rPr>
      <w:fldChar w:fldCharType="end"/>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32</w:t>
    </w:r>
    <w:r>
      <w:rPr>
        <w:sz w:val="20"/>
        <w:szCs w:val="20"/>
        <w:rFonts w:ascii="Times New Roman" w:hAnsi="Times New Roman"/>
      </w:rPr>
      <w:fldChar w:fldCharType="end"/>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46</w:t>
    </w:r>
    <w:r>
      <w:rPr>
        <w:sz w:val="24"/>
        <w:rFonts w:ascii="Times New Roman" w:hAnsi="Times New Roman"/>
      </w:rPr>
      <w:fldChar w:fldCharType="end"/>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47</w:t>
    </w:r>
    <w:r>
      <w:rPr>
        <w:sz w:val="24"/>
        <w:rFonts w:ascii="Times New Roman" w:hAnsi="Times New Roman"/>
      </w:rPr>
      <w:fldChar w:fldCharType="end"/>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48</w:t>
    </w:r>
    <w:r>
      <w:rPr>
        <w:sz w:val="24"/>
        <w:rFonts w:ascii="Times New Roman" w:hAnsi="Times New Roman"/>
      </w:rPr>
      <w:fldChar w:fldCharType="end"/>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49</w:t>
    </w:r>
    <w:r>
      <w:rPr>
        <w:sz w:val="24"/>
        <w:rFonts w:ascii="Times New Roman" w:hAnsi="Times New Roman"/>
      </w:rPr>
      <w:fldChar w:fldCharType="end"/>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50</w:t>
    </w:r>
    <w:r>
      <w:rPr>
        <w:sz w:val="24"/>
        <w:rFonts w:ascii="Times New Roman" w:hAnsi="Times New Roman"/>
      </w:rPr>
      <w:fldChar w:fldCharType="end"/>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51</w:t>
    </w:r>
    <w:r>
      <w:rPr>
        <w:sz w:val="24"/>
        <w:rFonts w:ascii="Times New Roman" w:hAnsi="Times New Roman"/>
      </w:rPr>
      <w:fldChar w:fldCharType="end"/>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53</w:t>
    </w:r>
    <w:r>
      <w:rPr>
        <w:sz w:val="24"/>
        <w:rFonts w:ascii="Times New Roman" w:hAnsi="Times New Roman"/>
      </w:rPr>
      <w:fldChar w:fldCharType="end"/>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2</w:t>
    </w:r>
    <w:r>
      <w:rPr>
        <w:sz w:val="20"/>
        <w:szCs w:val="20"/>
        <w:rFonts w:ascii="Times New Roman" w:hAnsi="Times New Roman"/>
      </w:rPr>
      <w:fldChar w:fldCharType="end"/>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54</w:t>
    </w:r>
    <w:r>
      <w:rPr>
        <w:sz w:val="24"/>
        <w:rFonts w:ascii="Times New Roman" w:hAnsi="Times New Roman"/>
      </w:rPr>
      <w:fldChar w:fldCharType="end"/>
    </w:r>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61</w:t>
    </w:r>
    <w:r>
      <w:rPr>
        <w:sz w:val="24"/>
        <w:rFonts w:ascii="Times New Roman" w:hAnsi="Times New Roman"/>
      </w:rPr>
      <w:fldChar w:fldCharType="end"/>
    </w:r>
  </w:p>
</w:hdr>
</file>

<file path=word/header2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64</w:t>
    </w:r>
    <w:r>
      <w:rPr>
        <w:sz w:val="24"/>
        <w:rFonts w:ascii="Times New Roman" w:hAnsi="Times New Roman"/>
      </w:rPr>
      <w:fldChar w:fldCharType="end"/>
    </w:r>
  </w:p>
</w:hdr>
</file>

<file path=word/header2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70</w:t>
    </w:r>
    <w:r>
      <w:rPr>
        <w:sz w:val="24"/>
        <w:rFonts w:ascii="Times New Roman" w:hAnsi="Times New Roman"/>
      </w:rPr>
      <w:fldChar w:fldCharType="end"/>
    </w:r>
  </w:p>
</w:hdr>
</file>

<file path=word/header2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78</w:t>
    </w:r>
    <w:r>
      <w:rPr>
        <w:sz w:val="24"/>
        <w:rFonts w:ascii="Times New Roman" w:hAnsi="Times New Roman"/>
      </w:rPr>
      <w:fldChar w:fldCharType="end"/>
    </w:r>
  </w:p>
</w:hdr>
</file>

<file path=word/header2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80</w:t>
    </w:r>
    <w:r>
      <w:rPr>
        <w:sz w:val="24"/>
        <w:rFonts w:ascii="Times New Roman" w:hAnsi="Times New Roman"/>
      </w:rPr>
      <w:fldChar w:fldCharType="end"/>
    </w:r>
  </w:p>
</w:hdr>
</file>

<file path=word/header2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82</w:t>
    </w:r>
    <w:r>
      <w:rPr>
        <w:sz w:val="24"/>
        <w:rFonts w:ascii="Times New Roman" w:hAnsi="Times New Roman"/>
      </w:rPr>
      <w:fldChar w:fldCharType="end"/>
    </w:r>
  </w:p>
</w:hdr>
</file>

<file path=word/header2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84</w:t>
    </w:r>
    <w:r>
      <w:rPr>
        <w:sz w:val="24"/>
        <w:rFonts w:ascii="Times New Roman" w:hAnsi="Times New Roman"/>
      </w:rPr>
      <w:fldChar w:fldCharType="end"/>
    </w:r>
  </w:p>
</w:hdr>
</file>

<file path=word/header2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87</w:t>
    </w:r>
    <w:r>
      <w:rPr>
        <w:sz w:val="24"/>
        <w:rFonts w:ascii="Times New Roman" w:hAnsi="Times New Roman"/>
      </w:rPr>
      <w:fldChar w:fldCharType="end"/>
    </w:r>
  </w:p>
</w:hdr>
</file>

<file path=word/header2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88</w:t>
    </w:r>
    <w:r>
      <w:rPr>
        <w:sz w:val="24"/>
        <w:rFonts w:ascii="Times New Roman" w:hAnsi="Times New Roman"/>
      </w:rPr>
      <w:fldChar w:fldCharType="end"/>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3</w:t>
    </w:r>
    <w:r>
      <w:rPr>
        <w:sz w:val="20"/>
        <w:szCs w:val="20"/>
        <w:rFonts w:ascii="Times New Roman" w:hAnsi="Times New Roman"/>
      </w:rPr>
      <w:fldChar w:fldCharType="end"/>
    </w:r>
  </w:p>
</w:hdr>
</file>

<file path=word/header3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89</w:t>
    </w:r>
    <w:r>
      <w:rPr>
        <w:sz w:val="24"/>
        <w:rFonts w:ascii="Times New Roman" w:hAnsi="Times New Roman"/>
      </w:rPr>
      <w:fldChar w:fldCharType="end"/>
    </w:r>
  </w:p>
</w:hdr>
</file>

<file path=word/header3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93</w:t>
    </w:r>
    <w:r>
      <w:rPr>
        <w:sz w:val="24"/>
        <w:rFonts w:ascii="Times New Roman" w:hAnsi="Times New Roman"/>
      </w:rPr>
      <w:fldChar w:fldCharType="end"/>
    </w:r>
  </w:p>
</w:hdr>
</file>

<file path=word/header3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95</w:t>
    </w:r>
    <w:r>
      <w:rPr>
        <w:sz w:val="24"/>
        <w:rFonts w:ascii="Times New Roman" w:hAnsi="Times New Roman"/>
      </w:rPr>
      <w:fldChar w:fldCharType="end"/>
    </w:r>
  </w:p>
</w:hdr>
</file>

<file path=word/header3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96</w:t>
    </w:r>
    <w:r>
      <w:rPr>
        <w:sz w:val="24"/>
        <w:rFonts w:ascii="Times New Roman" w:hAnsi="Times New Roman"/>
      </w:rPr>
      <w:fldChar w:fldCharType="end"/>
    </w:r>
  </w:p>
</w:hdr>
</file>

<file path=word/header3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101</w:t>
    </w:r>
    <w:r>
      <w:rPr>
        <w:sz w:val="24"/>
        <w:rFonts w:ascii="Times New Roman" w:hAnsi="Times New Roman"/>
      </w:rPr>
      <w:fldChar w:fldCharType="end"/>
    </w:r>
  </w:p>
</w:hdr>
</file>

<file path=word/header3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106</w:t>
    </w:r>
    <w:r>
      <w:rPr>
        <w:sz w:val="24"/>
        <w:rFonts w:ascii="Times New Roman" w:hAnsi="Times New Roman"/>
      </w:rPr>
      <w:fldChar w:fldCharType="end"/>
    </w:r>
  </w:p>
</w:hdr>
</file>

<file path=word/header3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107</w:t>
    </w:r>
    <w:r>
      <w:rPr>
        <w:sz w:val="24"/>
        <w:rFonts w:ascii="Times New Roman" w:hAnsi="Times New Roman"/>
      </w:rPr>
      <w:fldChar w:fldCharType="end"/>
    </w:r>
  </w:p>
</w:hdr>
</file>

<file path=word/header3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110</w:t>
    </w:r>
    <w:r>
      <w:rPr>
        <w:sz w:val="24"/>
        <w:rFonts w:ascii="Times New Roman" w:hAnsi="Times New Roman"/>
      </w:rPr>
      <w:fldChar w:fldCharType="end"/>
    </w:r>
  </w:p>
</w:hdr>
</file>

<file path=word/header3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4"/>
      </w:rPr>
      <w:fldChar w:fldCharType="begin"/>
    </w:r>
    <w:r>
      <w:rPr>
        <w:sz w:val="24"/>
        <w:rFonts w:ascii="Times New Roman" w:hAnsi="Times New Roman"/>
      </w:rPr>
      <w:instrText> PAGE </w:instrText>
    </w:r>
    <w:r>
      <w:rPr>
        <w:sz w:val="24"/>
        <w:rFonts w:ascii="Times New Roman" w:hAnsi="Times New Roman"/>
      </w:rPr>
      <w:fldChar w:fldCharType="separate"/>
    </w:r>
    <w:r>
      <w:rPr>
        <w:sz w:val="24"/>
        <w:rFonts w:ascii="Times New Roman" w:hAnsi="Times New Roman"/>
      </w:rPr>
      <w:t>111</w:t>
    </w:r>
    <w:r>
      <w:rPr>
        <w:sz w:val="24"/>
        <w:rFonts w:ascii="Times New Roman" w:hAnsi="Times New Roman"/>
      </w:rPr>
      <w:fldChar w:fldCharType="end"/>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4</w:t>
    </w:r>
    <w:r>
      <w:rPr>
        <w:sz w:val="20"/>
        <w:szCs w:val="20"/>
        <w:rFonts w:ascii="Times New Roman" w:hAnsi="Times New Roman"/>
      </w:rPr>
      <w:fldChar w:fldCharType="end"/>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5</w:t>
    </w:r>
    <w:r>
      <w:rPr>
        <w:sz w:val="20"/>
        <w:szCs w:val="20"/>
        <w:rFonts w:ascii="Times New Roman" w:hAnsi="Times New Roman"/>
      </w:rPr>
      <w:fldChar w:fldCharType="end"/>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7</w:t>
    </w:r>
    <w:r>
      <w:rPr>
        <w:sz w:val="20"/>
        <w:szCs w:val="20"/>
        <w:rFonts w:ascii="Times New Roman" w:hAnsi="Times New Roman"/>
      </w:rPr>
      <w:fldChar w:fldCharType="end"/>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18</w:t>
    </w:r>
    <w:r>
      <w:rPr>
        <w:sz w:val="20"/>
        <w:szCs w:val="20"/>
        <w:rFonts w:ascii="Times New Roman" w:hAnsi="Times New Roman"/>
      </w:rPr>
      <w:fldChar w:fldCharType="end"/>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24</w:t>
    </w:r>
    <w:r>
      <w:rPr>
        <w:sz w:val="20"/>
        <w:szCs w:val="20"/>
        <w:rFonts w:ascii="Times New Roman" w:hAnsi="Times New Roman"/>
      </w:rPr>
      <w:fldChar w:fldCharType="end"/>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1"/>
      <w:jc w:val="right"/>
      <w:rPr/>
    </w:pPr>
    <w:r>
      <w:rPr>
        <w:rFonts w:ascii="Times New Roman" w:hAnsi="Times New Roman"/>
        <w:sz w:val="20"/>
        <w:szCs w:val="20"/>
      </w:rPr>
      <w:fldChar w:fldCharType="begin"/>
    </w:r>
    <w:r>
      <w:rPr>
        <w:sz w:val="20"/>
        <w:szCs w:val="20"/>
        <w:rFonts w:ascii="Times New Roman" w:hAnsi="Times New Roman"/>
      </w:rPr>
      <w:instrText> PAGE </w:instrText>
    </w:r>
    <w:r>
      <w:rPr>
        <w:sz w:val="20"/>
        <w:szCs w:val="20"/>
        <w:rFonts w:ascii="Times New Roman" w:hAnsi="Times New Roman"/>
      </w:rPr>
      <w:fldChar w:fldCharType="separate"/>
    </w:r>
    <w:r>
      <w:rPr>
        <w:sz w:val="20"/>
        <w:szCs w:val="20"/>
        <w:rFonts w:ascii="Times New Roman" w:hAnsi="Times New Roman"/>
      </w:rPr>
      <w:t>26</w:t>
    </w:r>
    <w:r>
      <w:rPr>
        <w:sz w:val="20"/>
        <w:szCs w:val="20"/>
        <w:rFonts w:ascii="Times New Roman" w:hAnsi="Times New Roman"/>
      </w:rP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suff w:val="space"/>
      <w:lvlText w:val="%1)"/>
      <w:lvlJc w:val="left"/>
      <w:pPr>
        <w:ind w:left="1418" w:hanging="708"/>
      </w:pPr>
      <w:rPr>
        <w:sz w:val="28"/>
        <w:i w:val="false"/>
        <w:b/>
        <w:rFonts w:ascii="Times New Roman" w:hAnsi="Times New Roman"/>
        <w:color w:val="000000"/>
      </w:rPr>
    </w:lvl>
    <w:lvl w:ilvl="1">
      <w:start w:val="1"/>
      <w:numFmt w:val="bullet"/>
      <w:lvlText w:val="o"/>
      <w:lvlJc w:val="left"/>
      <w:pPr>
        <w:ind w:left="1790" w:hanging="360"/>
      </w:pPr>
      <w:rPr>
        <w:rFonts w:ascii="Courier New" w:hAnsi="Courier New" w:cs="Courier New" w:hint="default"/>
        <w:rFonts w:cs="Courier New"/>
      </w:rPr>
    </w:lvl>
    <w:lvl w:ilvl="2">
      <w:start w:val="1"/>
      <w:numFmt w:val="bullet"/>
      <w:lvlText w:val=""/>
      <w:lvlJc w:val="left"/>
      <w:pPr>
        <w:ind w:left="2510" w:hanging="360"/>
      </w:pPr>
      <w:rPr>
        <w:rFonts w:ascii="Wingdings" w:hAnsi="Wingdings" w:cs="Wingdings" w:hint="default"/>
      </w:rPr>
    </w:lvl>
    <w:lvl w:ilvl="3">
      <w:start w:val="1"/>
      <w:numFmt w:val="bullet"/>
      <w:lvlText w:val=""/>
      <w:lvlJc w:val="left"/>
      <w:pPr>
        <w:ind w:left="3230" w:hanging="360"/>
      </w:pPr>
      <w:rPr>
        <w:rFonts w:ascii="Symbol" w:hAnsi="Symbol" w:cs="Symbol" w:hint="default"/>
      </w:rPr>
    </w:lvl>
    <w:lvl w:ilvl="4">
      <w:start w:val="1"/>
      <w:numFmt w:val="bullet"/>
      <w:lvlText w:val="o"/>
      <w:lvlJc w:val="left"/>
      <w:pPr>
        <w:ind w:left="3950" w:hanging="360"/>
      </w:pPr>
      <w:rPr>
        <w:rFonts w:ascii="Courier New" w:hAnsi="Courier New" w:cs="Courier New" w:hint="default"/>
        <w:rFonts w:cs="Courier New"/>
      </w:rPr>
    </w:lvl>
    <w:lvl w:ilvl="5">
      <w:start w:val="1"/>
      <w:numFmt w:val="bullet"/>
      <w:lvlText w:val=""/>
      <w:lvlJc w:val="left"/>
      <w:pPr>
        <w:ind w:left="4670" w:hanging="360"/>
      </w:pPr>
      <w:rPr>
        <w:rFonts w:ascii="Wingdings" w:hAnsi="Wingdings" w:cs="Wingdings" w:hint="default"/>
      </w:rPr>
    </w:lvl>
    <w:lvl w:ilvl="6">
      <w:start w:val="1"/>
      <w:numFmt w:val="bullet"/>
      <w:lvlText w:val=""/>
      <w:lvlJc w:val="left"/>
      <w:pPr>
        <w:ind w:left="5390" w:hanging="360"/>
      </w:pPr>
      <w:rPr>
        <w:rFonts w:ascii="Symbol" w:hAnsi="Symbol" w:cs="Symbol" w:hint="default"/>
      </w:rPr>
    </w:lvl>
    <w:lvl w:ilvl="7">
      <w:start w:val="1"/>
      <w:numFmt w:val="bullet"/>
      <w:lvlText w:val="o"/>
      <w:lvlJc w:val="left"/>
      <w:pPr>
        <w:ind w:left="6110" w:hanging="360"/>
      </w:pPr>
      <w:rPr>
        <w:rFonts w:ascii="Courier New" w:hAnsi="Courier New" w:cs="Courier New" w:hint="default"/>
        <w:rFonts w:cs="Courier New"/>
      </w:rPr>
    </w:lvl>
    <w:lvl w:ilvl="8">
      <w:start w:val="1"/>
      <w:numFmt w:val="bullet"/>
      <w:lvlText w:val=""/>
      <w:lvlJc w:val="left"/>
      <w:pPr>
        <w:ind w:left="6830" w:hanging="360"/>
      </w:pPr>
      <w:rPr>
        <w:rFonts w:ascii="Wingdings" w:hAnsi="Wingdings" w:cs="Wingdings" w:hint="default"/>
      </w:rPr>
    </w:lvl>
  </w:abstractNum>
  <w:abstractNum w:abstractNumId="2">
    <w:lvl w:ilvl="0">
      <w:start w:val="1"/>
      <w:numFmt w:val="decimal"/>
      <w:suff w:val="space"/>
      <w:lvlText w:val="%1)"/>
      <w:lvlJc w:val="left"/>
      <w:pPr>
        <w:ind w:left="360" w:hanging="360"/>
      </w:p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lvl w:ilvl="0">
      <w:start w:val="1"/>
      <w:numFmt w:val="bullet"/>
      <w:suff w:val="space"/>
      <w:lvlText w:val="-"/>
      <w:lvlJc w:val="left"/>
      <w:pPr>
        <w:ind w:left="0" w:hanging="0"/>
      </w:pPr>
      <w:rPr>
        <w:rFonts w:ascii="Times New Roman" w:hAnsi="Times New Roman" w:cs="Times New Roman" w:hint="default"/>
        <w:sz w:val="28"/>
        <w:rFonts w:cs="Times New Roman"/>
      </w:rPr>
    </w:lvl>
    <w:lvl w:ilvl="1">
      <w:start w:val="1"/>
      <w:numFmt w:val="bullet"/>
      <w:lvlText w:val="o"/>
      <w:lvlJc w:val="left"/>
      <w:pPr>
        <w:ind w:left="2496" w:hanging="360"/>
      </w:pPr>
      <w:rPr>
        <w:rFonts w:ascii="Courier New" w:hAnsi="Courier New" w:cs="Courier New" w:hint="default"/>
        <w:rFonts w:cs="Courier New"/>
      </w:rPr>
    </w:lvl>
    <w:lvl w:ilvl="2">
      <w:start w:val="1"/>
      <w:numFmt w:val="bullet"/>
      <w:lvlText w:val=""/>
      <w:lvlJc w:val="left"/>
      <w:pPr>
        <w:ind w:left="3216" w:hanging="360"/>
      </w:pPr>
      <w:rPr>
        <w:rFonts w:ascii="Wingdings" w:hAnsi="Wingdings" w:cs="Wingdings" w:hint="default"/>
      </w:rPr>
    </w:lvl>
    <w:lvl w:ilvl="3">
      <w:start w:val="1"/>
      <w:numFmt w:val="bullet"/>
      <w:lvlText w:val=""/>
      <w:lvlJc w:val="left"/>
      <w:pPr>
        <w:ind w:left="3936" w:hanging="360"/>
      </w:pPr>
      <w:rPr>
        <w:rFonts w:ascii="Symbol" w:hAnsi="Symbol" w:cs="Symbol" w:hint="default"/>
      </w:rPr>
    </w:lvl>
    <w:lvl w:ilvl="4">
      <w:start w:val="1"/>
      <w:numFmt w:val="bullet"/>
      <w:lvlText w:val="o"/>
      <w:lvlJc w:val="left"/>
      <w:pPr>
        <w:ind w:left="4656" w:hanging="360"/>
      </w:pPr>
      <w:rPr>
        <w:rFonts w:ascii="Courier New" w:hAnsi="Courier New" w:cs="Courier New" w:hint="default"/>
        <w:rFonts w:cs="Courier New"/>
      </w:rPr>
    </w:lvl>
    <w:lvl w:ilvl="5">
      <w:start w:val="1"/>
      <w:numFmt w:val="bullet"/>
      <w:lvlText w:val=""/>
      <w:lvlJc w:val="left"/>
      <w:pPr>
        <w:ind w:left="5376" w:hanging="360"/>
      </w:pPr>
      <w:rPr>
        <w:rFonts w:ascii="Wingdings" w:hAnsi="Wingdings" w:cs="Wingdings" w:hint="default"/>
      </w:rPr>
    </w:lvl>
    <w:lvl w:ilvl="6">
      <w:start w:val="1"/>
      <w:numFmt w:val="bullet"/>
      <w:lvlText w:val=""/>
      <w:lvlJc w:val="left"/>
      <w:pPr>
        <w:ind w:left="6096" w:hanging="360"/>
      </w:pPr>
      <w:rPr>
        <w:rFonts w:ascii="Symbol" w:hAnsi="Symbol" w:cs="Symbol" w:hint="default"/>
      </w:rPr>
    </w:lvl>
    <w:lvl w:ilvl="7">
      <w:start w:val="1"/>
      <w:numFmt w:val="bullet"/>
      <w:lvlText w:val="o"/>
      <w:lvlJc w:val="left"/>
      <w:pPr>
        <w:ind w:left="6816" w:hanging="360"/>
      </w:pPr>
      <w:rPr>
        <w:rFonts w:ascii="Courier New" w:hAnsi="Courier New" w:cs="Courier New" w:hint="default"/>
        <w:rFonts w:cs="Courier New"/>
      </w:rPr>
    </w:lvl>
    <w:lvl w:ilvl="8">
      <w:start w:val="1"/>
      <w:numFmt w:val="bullet"/>
      <w:lvlText w:val=""/>
      <w:lvlJc w:val="left"/>
      <w:pPr>
        <w:ind w:left="7536" w:hanging="360"/>
      </w:pPr>
      <w:rPr>
        <w:rFonts w:ascii="Wingdings" w:hAnsi="Wingdings" w:cs="Wingdings" w:hint="default"/>
      </w:rPr>
    </w:lvl>
  </w:abstractNum>
  <w:abstractNum w:abstractNumId="4">
    <w:lvl w:ilvl="0">
      <w:start w:val="1"/>
      <w:numFmt w:val="decimal"/>
      <w:suff w:val="space"/>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lvl w:ilvl="0">
      <w:start w:val="1"/>
      <w:numFmt w:val="bullet"/>
      <w:suff w:val="space"/>
      <w:lvlText w:val="-"/>
      <w:lvlJc w:val="left"/>
      <w:pPr>
        <w:ind w:left="0" w:hanging="0"/>
      </w:pPr>
      <w:rPr>
        <w:rFonts w:ascii="Times New Roman" w:hAnsi="Times New Roman" w:cs="Times New Roman" w:hint="default"/>
        <w:sz w:val="28"/>
        <w:rFonts w:cs="Times New Roman"/>
      </w:rPr>
    </w:lvl>
    <w:lvl w:ilvl="1">
      <w:start w:val="1"/>
      <w:numFmt w:val="bullet"/>
      <w:lvlText w:val="o"/>
      <w:lvlJc w:val="left"/>
      <w:pPr>
        <w:ind w:left="1080" w:hanging="360"/>
      </w:pPr>
      <w:rPr>
        <w:rFonts w:ascii="Courier New" w:hAnsi="Courier New" w:cs="Courier New" w:hint="default"/>
        <w:rFonts w:cs="Courier New"/>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Fonts w:cs="Courier New"/>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Fonts w:cs="Courier New"/>
      </w:rPr>
    </w:lvl>
    <w:lvl w:ilvl="8">
      <w:start w:val="1"/>
      <w:numFmt w:val="bullet"/>
      <w:lvlText w:val=""/>
      <w:lvlJc w:val="left"/>
      <w:pPr>
        <w:ind w:left="6120" w:hanging="360"/>
      </w:pPr>
      <w:rPr>
        <w:rFonts w:ascii="Wingdings" w:hAnsi="Wingdings" w:cs="Wingdings" w:hint="default"/>
      </w:rPr>
    </w:lvl>
  </w:abstractNum>
  <w:abstractNum w:abstractNumId="6">
    <w:lvl w:ilvl="0">
      <w:start w:val="1"/>
      <w:numFmt w:val="decimal"/>
      <w:lvlText w:val="%1)"/>
      <w:lvlJc w:val="left"/>
      <w:pPr>
        <w:ind w:left="1243" w:hanging="226"/>
      </w:pPr>
      <w:rPr>
        <w:sz w:val="28"/>
        <w:spacing w:val="-2"/>
        <w:szCs w:val="20"/>
        <w:w w:val="100"/>
        <w:rFonts w:ascii="Times New Roman" w:hAnsi="Times New Roman" w:cs="Times New Roman"/>
      </w:rPr>
    </w:lvl>
    <w:lvl w:ilvl="1">
      <w:start w:val="1"/>
      <w:numFmt w:val="bullet"/>
      <w:lvlText w:val=""/>
      <w:lvlJc w:val="left"/>
      <w:pPr>
        <w:ind w:left="1978" w:hanging="226"/>
      </w:pPr>
      <w:rPr>
        <w:rFonts w:ascii="Symbol" w:hAnsi="Symbol" w:cs="Symbol" w:hint="default"/>
      </w:rPr>
    </w:lvl>
    <w:lvl w:ilvl="2">
      <w:start w:val="1"/>
      <w:numFmt w:val="bullet"/>
      <w:lvlText w:val=""/>
      <w:lvlJc w:val="left"/>
      <w:pPr>
        <w:ind w:left="2717" w:hanging="226"/>
      </w:pPr>
      <w:rPr>
        <w:rFonts w:ascii="Symbol" w:hAnsi="Symbol" w:cs="Symbol" w:hint="default"/>
      </w:rPr>
    </w:lvl>
    <w:lvl w:ilvl="3">
      <w:start w:val="1"/>
      <w:numFmt w:val="bullet"/>
      <w:lvlText w:val=""/>
      <w:lvlJc w:val="left"/>
      <w:pPr>
        <w:ind w:left="3456" w:hanging="226"/>
      </w:pPr>
      <w:rPr>
        <w:rFonts w:ascii="Symbol" w:hAnsi="Symbol" w:cs="Symbol" w:hint="default"/>
      </w:rPr>
    </w:lvl>
    <w:lvl w:ilvl="4">
      <w:start w:val="1"/>
      <w:numFmt w:val="bullet"/>
      <w:lvlText w:val=""/>
      <w:lvlJc w:val="left"/>
      <w:pPr>
        <w:ind w:left="4195" w:hanging="226"/>
      </w:pPr>
      <w:rPr>
        <w:rFonts w:ascii="Symbol" w:hAnsi="Symbol" w:cs="Symbol" w:hint="default"/>
      </w:rPr>
    </w:lvl>
    <w:lvl w:ilvl="5">
      <w:start w:val="1"/>
      <w:numFmt w:val="bullet"/>
      <w:lvlText w:val=""/>
      <w:lvlJc w:val="left"/>
      <w:pPr>
        <w:ind w:left="4934" w:hanging="226"/>
      </w:pPr>
      <w:rPr>
        <w:rFonts w:ascii="Symbol" w:hAnsi="Symbol" w:cs="Symbol" w:hint="default"/>
      </w:rPr>
    </w:lvl>
    <w:lvl w:ilvl="6">
      <w:start w:val="1"/>
      <w:numFmt w:val="bullet"/>
      <w:lvlText w:val=""/>
      <w:lvlJc w:val="left"/>
      <w:pPr>
        <w:ind w:left="5673" w:hanging="226"/>
      </w:pPr>
      <w:rPr>
        <w:rFonts w:ascii="Symbol" w:hAnsi="Symbol" w:cs="Symbol" w:hint="default"/>
      </w:rPr>
    </w:lvl>
    <w:lvl w:ilvl="7">
      <w:start w:val="1"/>
      <w:numFmt w:val="bullet"/>
      <w:lvlText w:val=""/>
      <w:lvlJc w:val="left"/>
      <w:pPr>
        <w:ind w:left="6412" w:hanging="226"/>
      </w:pPr>
      <w:rPr>
        <w:rFonts w:ascii="Symbol" w:hAnsi="Symbol" w:cs="Symbol" w:hint="default"/>
      </w:rPr>
    </w:lvl>
    <w:lvl w:ilvl="8">
      <w:start w:val="1"/>
      <w:numFmt w:val="bullet"/>
      <w:lvlText w:val=""/>
      <w:lvlJc w:val="left"/>
      <w:pPr>
        <w:ind w:left="7151" w:hanging="226"/>
      </w:pPr>
      <w:rPr>
        <w:rFonts w:ascii="Symbol" w:hAnsi="Symbol" w:cs="Symbol" w:hint="default"/>
      </w:rPr>
    </w:lvl>
  </w:abstractNum>
  <w:abstractNum w:abstractNumId="7">
    <w:lvl w:ilvl="0">
      <w:start w:val="1"/>
      <w:numFmt w:val="bullet"/>
      <w:lvlText w:val="–"/>
      <w:lvlJc w:val="left"/>
      <w:pPr>
        <w:ind w:left="1429" w:hanging="360"/>
      </w:pPr>
      <w:rPr>
        <w:rFonts w:ascii="Times New Roman" w:hAnsi="Times New Roman" w:cs="Times New Roman" w:hint="default"/>
        <w:sz w:val="28"/>
        <w:szCs w:val="28"/>
        <w:w w:val="100"/>
        <w:rFonts w:cs="Times New Roman"/>
        <w:lang w:val="en-US" w:eastAsia="en-US" w:bidi="en-US"/>
      </w:rPr>
    </w:lvl>
    <w:lvl w:ilvl="1">
      <w:start w:val="1"/>
      <w:numFmt w:val="bullet"/>
      <w:lvlText w:val="o"/>
      <w:lvlJc w:val="left"/>
      <w:pPr>
        <w:ind w:left="2149" w:hanging="360"/>
      </w:pPr>
      <w:rPr>
        <w:rFonts w:ascii="Courier New" w:hAnsi="Courier New" w:cs="Courier New" w:hint="default"/>
        <w:rFonts w:cs="Courier New"/>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Fonts w:cs="Courier New"/>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Fonts w:cs="Courier New"/>
      </w:rPr>
    </w:lvl>
    <w:lvl w:ilvl="8">
      <w:start w:val="1"/>
      <w:numFmt w:val="bullet"/>
      <w:lvlText w:val=""/>
      <w:lvlJc w:val="left"/>
      <w:pPr>
        <w:ind w:left="7189" w:hanging="360"/>
      </w:pPr>
      <w:rPr>
        <w:rFonts w:ascii="Wingdings" w:hAnsi="Wingdings" w:cs="Wingdings" w:hint="default"/>
      </w:rPr>
    </w:lvl>
  </w:abstractNum>
  <w:abstractNum w:abstractNumId="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lvl w:ilvl="0">
      <w:start w:val="1"/>
      <w:numFmt w:val="decimal"/>
      <w:lvlText w:val="%1)"/>
      <w:lvlJc w:val="left"/>
      <w:pPr>
        <w:ind w:left="113" w:hanging="191"/>
      </w:pPr>
      <w:rPr>
        <w:sz w:val="18"/>
        <w:szCs w:val="18"/>
        <w:w w:val="107"/>
        <w:rFonts w:eastAsia="Georgia" w:cs="Georgia"/>
      </w:rPr>
    </w:lvl>
    <w:lvl w:ilvl="1">
      <w:start w:val="1"/>
      <w:numFmt w:val="decimal"/>
      <w:lvlText w:val="%2."/>
      <w:lvlJc w:val="left"/>
      <w:pPr>
        <w:ind w:left="113" w:hanging="209"/>
      </w:pPr>
      <w:rPr>
        <w:sz w:val="28"/>
        <w:spacing w:val="-5"/>
        <w:szCs w:val="22"/>
        <w:w w:val="100"/>
        <w:rFonts w:ascii="Times New Roman" w:hAnsi="Times New Roman" w:cs="Times New Roman"/>
      </w:rPr>
    </w:lvl>
    <w:lvl w:ilvl="2">
      <w:start w:val="1"/>
      <w:numFmt w:val="bullet"/>
      <w:lvlText w:val=""/>
      <w:lvlJc w:val="left"/>
      <w:pPr>
        <w:ind w:left="86" w:hanging="209"/>
      </w:pPr>
      <w:rPr>
        <w:rFonts w:ascii="Symbol" w:hAnsi="Symbol" w:cs="Symbol" w:hint="default"/>
      </w:rPr>
    </w:lvl>
    <w:lvl w:ilvl="3">
      <w:start w:val="1"/>
      <w:numFmt w:val="bullet"/>
      <w:lvlText w:val=""/>
      <w:lvlJc w:val="left"/>
      <w:pPr>
        <w:ind w:left="70" w:hanging="209"/>
      </w:pPr>
      <w:rPr>
        <w:rFonts w:ascii="Symbol" w:hAnsi="Symbol" w:cs="Symbol" w:hint="default"/>
      </w:rPr>
    </w:lvl>
    <w:lvl w:ilvl="4">
      <w:start w:val="1"/>
      <w:numFmt w:val="bullet"/>
      <w:lvlText w:val=""/>
      <w:lvlJc w:val="left"/>
      <w:pPr>
        <w:ind w:left="53" w:hanging="209"/>
      </w:pPr>
      <w:rPr>
        <w:rFonts w:ascii="Symbol" w:hAnsi="Symbol" w:cs="Symbol" w:hint="default"/>
      </w:rPr>
    </w:lvl>
    <w:lvl w:ilvl="5">
      <w:start w:val="1"/>
      <w:numFmt w:val="bullet"/>
      <w:lvlText w:val=""/>
      <w:lvlJc w:val="left"/>
      <w:pPr>
        <w:ind w:left="37" w:hanging="209"/>
      </w:pPr>
      <w:rPr>
        <w:rFonts w:ascii="Symbol" w:hAnsi="Symbol" w:cs="Symbol" w:hint="default"/>
      </w:rPr>
    </w:lvl>
    <w:lvl w:ilvl="6">
      <w:start w:val="1"/>
      <w:numFmt w:val="bullet"/>
      <w:lvlText w:val=""/>
      <w:lvlJc w:val="left"/>
      <w:pPr>
        <w:ind w:left="20" w:hanging="209"/>
      </w:pPr>
      <w:rPr>
        <w:rFonts w:ascii="Symbol" w:hAnsi="Symbol" w:cs="Symbol" w:hint="default"/>
      </w:rPr>
    </w:lvl>
    <w:lvl w:ilvl="7">
      <w:start w:val="1"/>
      <w:numFmt w:val="bullet"/>
      <w:lvlText w:val=""/>
      <w:lvlJc w:val="left"/>
      <w:pPr>
        <w:ind w:left="4" w:hanging="209"/>
      </w:pPr>
      <w:rPr>
        <w:rFonts w:ascii="Symbol" w:hAnsi="Symbol" w:cs="Symbol" w:hint="default"/>
      </w:rPr>
    </w:lvl>
    <w:lvl w:ilvl="8">
      <w:start w:val="1"/>
      <w:numFmt w:val="bullet"/>
      <w:lvlText w:val=""/>
      <w:lvlJc w:val="left"/>
      <w:pPr>
        <w:ind w:left="-13" w:hanging="209"/>
      </w:pPr>
      <w:rPr>
        <w:rFonts w:ascii="Symbol" w:hAnsi="Symbol" w:cs="Symbol" w:hint="default"/>
      </w:rPr>
    </w:lvl>
  </w:abstractNum>
  <w:abstractNum w:abstractNumId="1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w:zoom w:percent="96"/>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uk-UA" w:eastAsia="uk-UA"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uiPriority="9" w:semiHidden="1" w:unhideWhenUsed="1" w:qFormat="1"/>
    <w:lsdException w:name="heading 5" w:uiPriority="0"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0"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uiPriority="0"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55821"/>
    <w:pPr>
      <w:widowControl/>
      <w:bidi w:val="0"/>
      <w:jc w:val="both"/>
    </w:pPr>
    <w:rPr>
      <w:rFonts w:ascii="Calibri" w:hAnsi="Calibri" w:eastAsia="Calibri" w:cs="Times New Roman"/>
      <w:color w:val="auto"/>
      <w:kern w:val="0"/>
      <w:sz w:val="22"/>
      <w:szCs w:val="22"/>
      <w:lang w:eastAsia="en-US" w:val="uk-UA" w:bidi="ar-SA"/>
    </w:rPr>
  </w:style>
  <w:style w:type="paragraph" w:styleId="1">
    <w:name w:val="Heading 1"/>
    <w:basedOn w:val="Normal"/>
    <w:link w:val="10"/>
    <w:qFormat/>
    <w:rsid w:val="006511e8"/>
    <w:pPr>
      <w:widowControl w:val="false"/>
      <w:jc w:val="left"/>
      <w:outlineLvl w:val="0"/>
    </w:pPr>
    <w:rPr>
      <w:rFonts w:ascii="Arial" w:hAnsi="Arial" w:eastAsia="Arial" w:cs="Arial"/>
      <w:b/>
      <w:bCs/>
      <w:sz w:val="20"/>
      <w:szCs w:val="20"/>
      <w:lang w:val="en-US"/>
    </w:rPr>
  </w:style>
  <w:style w:type="paragraph" w:styleId="2">
    <w:name w:val="Heading 2"/>
    <w:basedOn w:val="Normal"/>
    <w:next w:val="Normal"/>
    <w:link w:val="20"/>
    <w:unhideWhenUsed/>
    <w:qFormat/>
    <w:rsid w:val="005941b8"/>
    <w:pPr>
      <w:keepNext w:val="true"/>
      <w:keepLines/>
      <w:spacing w:lineRule="auto" w:line="259" w:before="40" w:after="0"/>
      <w:jc w:val="left"/>
      <w:outlineLvl w:val="1"/>
    </w:pPr>
    <w:rPr>
      <w:rFonts w:ascii="Cambria" w:hAnsi="Cambria" w:eastAsia="Times New Roman"/>
      <w:color w:val="365F91"/>
      <w:sz w:val="26"/>
      <w:szCs w:val="26"/>
    </w:rPr>
  </w:style>
  <w:style w:type="paragraph" w:styleId="3">
    <w:name w:val="Heading 3"/>
    <w:basedOn w:val="Normal"/>
    <w:next w:val="Normal"/>
    <w:link w:val="30"/>
    <w:semiHidden/>
    <w:unhideWhenUsed/>
    <w:qFormat/>
    <w:rsid w:val="005941b8"/>
    <w:pPr>
      <w:keepNext w:val="true"/>
      <w:keepLines/>
      <w:spacing w:lineRule="auto" w:line="259" w:before="40" w:after="0"/>
      <w:jc w:val="left"/>
      <w:outlineLvl w:val="2"/>
    </w:pPr>
    <w:rPr>
      <w:rFonts w:ascii="Cambria" w:hAnsi="Cambria" w:eastAsia="Times New Roman"/>
      <w:color w:val="243F60"/>
      <w:sz w:val="24"/>
      <w:szCs w:val="24"/>
    </w:rPr>
  </w:style>
  <w:style w:type="paragraph" w:styleId="4">
    <w:name w:val="Heading 4"/>
    <w:basedOn w:val="Normal"/>
    <w:next w:val="Normal"/>
    <w:link w:val="40"/>
    <w:uiPriority w:val="9"/>
    <w:unhideWhenUsed/>
    <w:qFormat/>
    <w:rsid w:val="006c200b"/>
    <w:pPr>
      <w:keepNext w:val="true"/>
      <w:keepLines/>
      <w:spacing w:before="200" w:after="0"/>
      <w:outlineLvl w:val="3"/>
    </w:pPr>
    <w:rPr>
      <w:rFonts w:ascii="Cambria" w:hAnsi="Cambria" w:eastAsia="Times New Roman"/>
      <w:b/>
      <w:bCs/>
      <w:i/>
      <w:iCs/>
      <w:color w:val="4F81BD"/>
    </w:rPr>
  </w:style>
  <w:style w:type="paragraph" w:styleId="5">
    <w:name w:val="Heading 5"/>
    <w:basedOn w:val="Normal"/>
    <w:next w:val="Normal"/>
    <w:link w:val="50"/>
    <w:unhideWhenUsed/>
    <w:qFormat/>
    <w:rsid w:val="005941b8"/>
    <w:pPr>
      <w:keepNext w:val="true"/>
      <w:keepLines/>
      <w:spacing w:lineRule="auto" w:line="259" w:before="40" w:after="0"/>
      <w:jc w:val="left"/>
      <w:outlineLvl w:val="4"/>
    </w:pPr>
    <w:rPr>
      <w:rFonts w:ascii="Cambria" w:hAnsi="Cambria" w:eastAsia="Times New Roman"/>
      <w:color w:val="365F91"/>
    </w:rPr>
  </w:style>
  <w:style w:type="character" w:styleId="DefaultParagraphFont" w:default="1">
    <w:name w:val="Default Paragraph Font"/>
    <w:uiPriority w:val="1"/>
    <w:semiHidden/>
    <w:unhideWhenUsed/>
    <w:qFormat/>
    <w:rPr/>
  </w:style>
  <w:style w:type="character" w:styleId="11" w:customStyle="1">
    <w:name w:val="Заголовок 1 Знак"/>
    <w:link w:val="1"/>
    <w:qFormat/>
    <w:rsid w:val="006511e8"/>
    <w:rPr>
      <w:rFonts w:ascii="Arial" w:hAnsi="Arial" w:eastAsia="Arial" w:cs="Arial"/>
      <w:b/>
      <w:bCs/>
      <w:sz w:val="20"/>
      <w:szCs w:val="20"/>
      <w:lang w:val="en-US"/>
    </w:rPr>
  </w:style>
  <w:style w:type="character" w:styleId="21" w:customStyle="1">
    <w:name w:val="Заголовок 2 Знак"/>
    <w:link w:val="2"/>
    <w:qFormat/>
    <w:rsid w:val="005941b8"/>
    <w:rPr>
      <w:rFonts w:ascii="Cambria" w:hAnsi="Cambria" w:eastAsia="Times New Roman" w:cs="Times New Roman"/>
      <w:color w:val="365F91"/>
      <w:sz w:val="26"/>
      <w:szCs w:val="26"/>
      <w:lang w:val="uk-UA"/>
    </w:rPr>
  </w:style>
  <w:style w:type="character" w:styleId="31" w:customStyle="1">
    <w:name w:val="Заголовок 3 Знак"/>
    <w:link w:val="3"/>
    <w:semiHidden/>
    <w:qFormat/>
    <w:rsid w:val="005941b8"/>
    <w:rPr>
      <w:rFonts w:ascii="Cambria" w:hAnsi="Cambria" w:eastAsia="Times New Roman" w:cs="Times New Roman"/>
      <w:color w:val="243F60"/>
      <w:sz w:val="24"/>
      <w:szCs w:val="24"/>
      <w:lang w:val="uk-UA"/>
    </w:rPr>
  </w:style>
  <w:style w:type="character" w:styleId="41" w:customStyle="1">
    <w:name w:val="Заголовок 4 Знак"/>
    <w:link w:val="4"/>
    <w:uiPriority w:val="9"/>
    <w:qFormat/>
    <w:rsid w:val="006c200b"/>
    <w:rPr>
      <w:rFonts w:ascii="Cambria" w:hAnsi="Cambria" w:eastAsia="Times New Roman" w:cs="Times New Roman"/>
      <w:b/>
      <w:bCs/>
      <w:i/>
      <w:iCs/>
      <w:color w:val="4F81BD"/>
      <w:lang w:val="uk-UA"/>
    </w:rPr>
  </w:style>
  <w:style w:type="character" w:styleId="51" w:customStyle="1">
    <w:name w:val="Заголовок 5 Знак"/>
    <w:link w:val="5"/>
    <w:qFormat/>
    <w:rsid w:val="005941b8"/>
    <w:rPr>
      <w:rFonts w:ascii="Cambria" w:hAnsi="Cambria" w:eastAsia="Times New Roman" w:cs="Times New Roman"/>
      <w:color w:val="365F91"/>
      <w:lang w:val="uk-UA"/>
    </w:rPr>
  </w:style>
  <w:style w:type="character" w:styleId="Style9" w:customStyle="1">
    <w:name w:val="Нижний колонтитул Знак"/>
    <w:link w:val="a4"/>
    <w:uiPriority w:val="99"/>
    <w:qFormat/>
    <w:rsid w:val="000c2fbd"/>
    <w:rPr>
      <w:rFonts w:ascii="Times New Roman" w:hAnsi="Times New Roman" w:eastAsia="Times New Roman" w:cs="Times New Roman"/>
      <w:sz w:val="20"/>
      <w:szCs w:val="20"/>
    </w:rPr>
  </w:style>
  <w:style w:type="character" w:styleId="Style10" w:customStyle="1">
    <w:name w:val="Текст выноски Знак"/>
    <w:link w:val="a7"/>
    <w:uiPriority w:val="99"/>
    <w:semiHidden/>
    <w:qFormat/>
    <w:rsid w:val="000c2fbd"/>
    <w:rPr>
      <w:rFonts w:ascii="Tahoma" w:hAnsi="Tahoma" w:cs="Tahoma"/>
      <w:sz w:val="16"/>
      <w:szCs w:val="16"/>
      <w:lang w:val="uk-UA"/>
    </w:rPr>
  </w:style>
  <w:style w:type="character" w:styleId="Strong">
    <w:name w:val="Strong"/>
    <w:uiPriority w:val="22"/>
    <w:qFormat/>
    <w:rsid w:val="000c2fbd"/>
    <w:rPr>
      <w:b/>
      <w:bCs/>
    </w:rPr>
  </w:style>
  <w:style w:type="character" w:styleId="Style11">
    <w:name w:val="Интернет-ссылка"/>
    <w:uiPriority w:val="99"/>
    <w:unhideWhenUsed/>
    <w:rsid w:val="000c2fbd"/>
    <w:rPr>
      <w:color w:val="0000FF"/>
      <w:u w:val="single"/>
    </w:rPr>
  </w:style>
  <w:style w:type="character" w:styleId="Style12" w:customStyle="1">
    <w:name w:val="Верхний колонтитул Знак"/>
    <w:link w:val="ab"/>
    <w:uiPriority w:val="99"/>
    <w:qFormat/>
    <w:rsid w:val="000c2fbd"/>
    <w:rPr>
      <w:lang w:val="uk-UA"/>
    </w:rPr>
  </w:style>
  <w:style w:type="character" w:styleId="Style13" w:customStyle="1">
    <w:name w:val="Без интервала Знак"/>
    <w:link w:val="ae"/>
    <w:uiPriority w:val="1"/>
    <w:qFormat/>
    <w:locked/>
    <w:rsid w:val="0036448e"/>
    <w:rPr>
      <w:sz w:val="22"/>
      <w:szCs w:val="22"/>
      <w:lang w:eastAsia="en-US"/>
    </w:rPr>
  </w:style>
  <w:style w:type="character" w:styleId="22" w:customStyle="1">
    <w:name w:val="Основной текст 2 Знак"/>
    <w:link w:val="21"/>
    <w:qFormat/>
    <w:rsid w:val="000f67a0"/>
    <w:rPr>
      <w:rFonts w:ascii="Times New Roman" w:hAnsi="Times New Roman" w:eastAsia="Times New Roman" w:cs="Times New Roman"/>
      <w:sz w:val="20"/>
      <w:szCs w:val="20"/>
      <w:lang w:val="x-none" w:eastAsia="x-none"/>
    </w:rPr>
  </w:style>
  <w:style w:type="character" w:styleId="Style14" w:customStyle="1">
    <w:name w:val="Основной текст Знак"/>
    <w:link w:val="af1"/>
    <w:uiPriority w:val="99"/>
    <w:qFormat/>
    <w:rsid w:val="006511e8"/>
    <w:rPr>
      <w:lang w:val="uk-UA"/>
    </w:rPr>
  </w:style>
  <w:style w:type="character" w:styleId="PlaceholderText">
    <w:name w:val="Placeholder Text"/>
    <w:uiPriority w:val="99"/>
    <w:semiHidden/>
    <w:qFormat/>
    <w:rsid w:val="007830c0"/>
    <w:rPr>
      <w:color w:val="808080"/>
    </w:rPr>
  </w:style>
  <w:style w:type="character" w:styleId="12" w:customStyle="1">
    <w:name w:val="Неразрешенное упоминание1"/>
    <w:uiPriority w:val="99"/>
    <w:semiHidden/>
    <w:unhideWhenUsed/>
    <w:qFormat/>
    <w:rsid w:val="005941b8"/>
    <w:rPr>
      <w:color w:val="808080"/>
      <w:shd w:fill="E6E6E6" w:val="clear"/>
    </w:rPr>
  </w:style>
  <w:style w:type="character" w:styleId="FollowedHyperlink">
    <w:name w:val="FollowedHyperlink"/>
    <w:uiPriority w:val="99"/>
    <w:semiHidden/>
    <w:unhideWhenUsed/>
    <w:qFormat/>
    <w:rsid w:val="005941b8"/>
    <w:rPr>
      <w:color w:val="800080"/>
      <w:u w:val="single"/>
    </w:rPr>
  </w:style>
  <w:style w:type="character" w:styleId="23" w:customStyle="1">
    <w:name w:val="Неразрешенное упоминание2"/>
    <w:uiPriority w:val="99"/>
    <w:semiHidden/>
    <w:unhideWhenUsed/>
    <w:qFormat/>
    <w:rsid w:val="005941b8"/>
    <w:rPr>
      <w:color w:val="808080"/>
      <w:shd w:fill="E6E6E6" w:val="clear"/>
    </w:rPr>
  </w:style>
  <w:style w:type="character" w:styleId="Style15" w:customStyle="1">
    <w:name w:val="Заголовок Знак"/>
    <w:link w:val="af6"/>
    <w:qFormat/>
    <w:rsid w:val="005941b8"/>
    <w:rPr>
      <w:rFonts w:ascii="Times New Roman" w:hAnsi="Times New Roman" w:eastAsia="Times New Roman" w:cs="Times New Roman"/>
      <w:spacing w:val="20"/>
      <w:sz w:val="28"/>
      <w:szCs w:val="24"/>
      <w:lang w:val="uk-UA" w:eastAsia="ru-RU"/>
    </w:rPr>
  </w:style>
  <w:style w:type="character" w:styleId="32" w:customStyle="1">
    <w:name w:val="Основной текст 3 Знак"/>
    <w:link w:val="31"/>
    <w:uiPriority w:val="99"/>
    <w:semiHidden/>
    <w:qFormat/>
    <w:rsid w:val="00fa2003"/>
    <w:rPr>
      <w:rFonts w:ascii="Times New Roman" w:hAnsi="Times New Roman" w:eastAsia="Times New Roman" w:cs="Times New Roman"/>
      <w:sz w:val="16"/>
      <w:szCs w:val="16"/>
      <w:lang w:eastAsia="ru-RU"/>
    </w:rPr>
  </w:style>
  <w:style w:type="character" w:styleId="24" w:customStyle="1">
    <w:name w:val="Основной текст с отступом 2 Знак"/>
    <w:link w:val="24"/>
    <w:uiPriority w:val="99"/>
    <w:semiHidden/>
    <w:qFormat/>
    <w:rsid w:val="00d74d96"/>
    <w:rPr>
      <w:lang w:val="uk-UA"/>
    </w:rPr>
  </w:style>
  <w:style w:type="character" w:styleId="33" w:customStyle="1">
    <w:name w:val="Основной текст с отступом 3 Знак"/>
    <w:link w:val="33"/>
    <w:uiPriority w:val="99"/>
    <w:qFormat/>
    <w:rsid w:val="00d74d96"/>
    <w:rPr>
      <w:sz w:val="16"/>
      <w:szCs w:val="16"/>
      <w:lang w:val="uk-UA"/>
    </w:rPr>
  </w:style>
  <w:style w:type="character" w:styleId="Appleconvertedspace" w:customStyle="1">
    <w:name w:val="apple-converted-space"/>
    <w:basedOn w:val="DefaultParagraphFont"/>
    <w:qFormat/>
    <w:rsid w:val="00ad1d29"/>
    <w:rPr/>
  </w:style>
  <w:style w:type="character" w:styleId="UnresolvedMention" w:customStyle="1">
    <w:name w:val="Unresolved Mention"/>
    <w:basedOn w:val="DefaultParagraphFont"/>
    <w:uiPriority w:val="99"/>
    <w:semiHidden/>
    <w:unhideWhenUsed/>
    <w:qFormat/>
    <w:rsid w:val="00dc3755"/>
    <w:rPr>
      <w:color w:val="605E5C"/>
      <w:shd w:fill="E1DFDD" w:val="clear"/>
    </w:rPr>
  </w:style>
  <w:style w:type="character" w:styleId="HTML" w:customStyle="1">
    <w:name w:val="Стандартный HTML Знак"/>
    <w:basedOn w:val="DefaultParagraphFont"/>
    <w:link w:val="HTML0"/>
    <w:semiHidden/>
    <w:qFormat/>
    <w:rsid w:val="0036448e"/>
    <w:rPr>
      <w:rFonts w:ascii="Courier New" w:hAnsi="Courier New" w:eastAsia="Times New Roman" w:cs="Courier New"/>
      <w:color w:val="000000"/>
      <w:sz w:val="21"/>
      <w:szCs w:val="21"/>
      <w:lang w:val="ru-RU" w:eastAsia="ru-RU"/>
    </w:rPr>
  </w:style>
  <w:style w:type="character" w:styleId="Style16" w:customStyle="1">
    <w:name w:val="Текст примечания Знак"/>
    <w:basedOn w:val="DefaultParagraphFont"/>
    <w:link w:val="af9"/>
    <w:semiHidden/>
    <w:qFormat/>
    <w:rsid w:val="0036448e"/>
    <w:rPr>
      <w:rFonts w:ascii="Times New Roman" w:hAnsi="Times New Roman" w:eastAsia="Times New Roman"/>
      <w:lang w:val="ru-RU"/>
    </w:rPr>
  </w:style>
  <w:style w:type="character" w:styleId="Style17" w:customStyle="1">
    <w:name w:val="Основной текст с отступом Знак"/>
    <w:basedOn w:val="DefaultParagraphFont"/>
    <w:link w:val="afb"/>
    <w:uiPriority w:val="99"/>
    <w:semiHidden/>
    <w:qFormat/>
    <w:rsid w:val="0036448e"/>
    <w:rPr>
      <w:rFonts w:ascii="Times New Roman" w:hAnsi="Times New Roman" w:eastAsia="Times New Roman"/>
      <w:sz w:val="24"/>
      <w:szCs w:val="24"/>
      <w:lang w:val="ru-RU" w:eastAsia="ru-RU"/>
    </w:rPr>
  </w:style>
  <w:style w:type="character" w:styleId="Style18" w:customStyle="1">
    <w:name w:val="Красная строка Знак"/>
    <w:basedOn w:val="Style14"/>
    <w:link w:val="afd"/>
    <w:semiHidden/>
    <w:qFormat/>
    <w:rsid w:val="0036448e"/>
    <w:rPr>
      <w:rFonts w:ascii="Times New Roman" w:hAnsi="Times New Roman" w:eastAsia="Times New Roman"/>
      <w:sz w:val="24"/>
      <w:szCs w:val="24"/>
      <w:lang w:val="ru-RU"/>
    </w:rPr>
  </w:style>
  <w:style w:type="character" w:styleId="Style19" w:customStyle="1">
    <w:name w:val="Схема документа Знак"/>
    <w:basedOn w:val="DefaultParagraphFont"/>
    <w:link w:val="aff"/>
    <w:uiPriority w:val="99"/>
    <w:semiHidden/>
    <w:qFormat/>
    <w:rsid w:val="0036448e"/>
    <w:rPr>
      <w:rFonts w:ascii="Tahoma" w:hAnsi="Tahoma" w:eastAsia="Times New Roman" w:cs="Tahoma"/>
      <w:shd w:fill="000080" w:val="clear"/>
      <w:lang w:val="ru-RU" w:eastAsia="ru-RU"/>
    </w:rPr>
  </w:style>
  <w:style w:type="character" w:styleId="Style20" w:customStyle="1">
    <w:name w:val="Тема примечания Знак"/>
    <w:basedOn w:val="Style16"/>
    <w:link w:val="aff1"/>
    <w:semiHidden/>
    <w:qFormat/>
    <w:rsid w:val="0036448e"/>
    <w:rPr>
      <w:rFonts w:ascii="Times New Roman" w:hAnsi="Times New Roman" w:eastAsia="Times New Roman"/>
      <w:b/>
      <w:bCs/>
      <w:lang w:val="ru-RU"/>
    </w:rPr>
  </w:style>
  <w:style w:type="character" w:styleId="Style21" w:customStyle="1">
    <w:name w:val="Знак Знак Знак"/>
    <w:link w:val="aff3"/>
    <w:qFormat/>
    <w:locked/>
    <w:rsid w:val="0036448e"/>
    <w:rPr>
      <w:rFonts w:ascii="Verdana" w:hAnsi="Verdana" w:cs="Verdana"/>
      <w:lang w:val="en-US" w:eastAsia="en-US"/>
    </w:rPr>
  </w:style>
  <w:style w:type="character" w:styleId="Style22" w:customStyle="1">
    <w:name w:val="Основний текст_"/>
    <w:link w:val="aff5"/>
    <w:qFormat/>
    <w:locked/>
    <w:rsid w:val="0036448e"/>
    <w:rPr>
      <w:sz w:val="22"/>
      <w:szCs w:val="22"/>
      <w:shd w:fill="FFFFFF" w:val="clear"/>
    </w:rPr>
  </w:style>
  <w:style w:type="character" w:styleId="Style23">
    <w:name w:val="Выделение"/>
    <w:basedOn w:val="DefaultParagraphFont"/>
    <w:uiPriority w:val="20"/>
    <w:qFormat/>
    <w:rsid w:val="0036448e"/>
    <w:rPr>
      <w:i/>
      <w:iCs/>
    </w:rPr>
  </w:style>
  <w:style w:type="paragraph" w:styleId="Style24">
    <w:name w:val="Заголовок"/>
    <w:basedOn w:val="Normal"/>
    <w:next w:val="Style25"/>
    <w:qFormat/>
    <w:pPr>
      <w:keepNext w:val="true"/>
      <w:spacing w:before="240" w:after="120"/>
    </w:pPr>
    <w:rPr>
      <w:rFonts w:ascii="Liberation Sans" w:hAnsi="Liberation Sans" w:eastAsia="Microsoft YaHei" w:cs="Arial"/>
      <w:sz w:val="28"/>
      <w:szCs w:val="28"/>
    </w:rPr>
  </w:style>
  <w:style w:type="paragraph" w:styleId="Style25">
    <w:name w:val="Body Text"/>
    <w:basedOn w:val="Normal"/>
    <w:link w:val="af2"/>
    <w:uiPriority w:val="99"/>
    <w:unhideWhenUsed/>
    <w:qFormat/>
    <w:rsid w:val="006511e8"/>
    <w:pPr>
      <w:spacing w:before="0" w:after="120"/>
    </w:pPr>
    <w:rPr/>
  </w:style>
  <w:style w:type="paragraph" w:styleId="Style26">
    <w:name w:val="List"/>
    <w:basedOn w:val="Style25"/>
    <w:pPr/>
    <w:rPr>
      <w:rFonts w:cs="Arial"/>
    </w:rPr>
  </w:style>
  <w:style w:type="paragraph" w:styleId="Style27">
    <w:name w:val="Caption"/>
    <w:basedOn w:val="Normal"/>
    <w:qFormat/>
    <w:pPr>
      <w:suppressLineNumbers/>
      <w:spacing w:before="120" w:after="120"/>
    </w:pPr>
    <w:rPr>
      <w:rFonts w:cs="Arial"/>
      <w:i/>
      <w:iCs/>
      <w:sz w:val="24"/>
      <w:szCs w:val="24"/>
    </w:rPr>
  </w:style>
  <w:style w:type="paragraph" w:styleId="Style28">
    <w:name w:val="Указатель"/>
    <w:basedOn w:val="Normal"/>
    <w:qFormat/>
    <w:pPr>
      <w:suppressLineNumbers/>
    </w:pPr>
    <w:rPr>
      <w:rFonts w:cs="Arial"/>
    </w:rPr>
  </w:style>
  <w:style w:type="paragraph" w:styleId="ListParagraph">
    <w:name w:val="List Paragraph"/>
    <w:basedOn w:val="Normal"/>
    <w:uiPriority w:val="1"/>
    <w:qFormat/>
    <w:rsid w:val="000c2fbd"/>
    <w:pPr>
      <w:spacing w:before="0" w:after="0"/>
      <w:ind w:left="720" w:hanging="0"/>
      <w:contextualSpacing/>
    </w:pPr>
    <w:rPr/>
  </w:style>
  <w:style w:type="paragraph" w:styleId="Style29">
    <w:name w:val="Верхний и нижний колонтитулы"/>
    <w:basedOn w:val="Normal"/>
    <w:qFormat/>
    <w:pPr/>
    <w:rPr/>
  </w:style>
  <w:style w:type="paragraph" w:styleId="Style30">
    <w:name w:val="Footer"/>
    <w:basedOn w:val="Normal"/>
    <w:link w:val="a5"/>
    <w:uiPriority w:val="99"/>
    <w:unhideWhenUsed/>
    <w:rsid w:val="000c2fbd"/>
    <w:pPr>
      <w:tabs>
        <w:tab w:val="clear" w:pos="708"/>
        <w:tab w:val="center" w:pos="4677" w:leader="none"/>
        <w:tab w:val="right" w:pos="9355" w:leader="none"/>
      </w:tabs>
      <w:ind w:firstLine="709"/>
    </w:pPr>
    <w:rPr>
      <w:rFonts w:ascii="Times New Roman" w:hAnsi="Times New Roman" w:eastAsia="Times New Roman"/>
      <w:sz w:val="20"/>
      <w:szCs w:val="20"/>
      <w:lang w:val="ru-RU"/>
    </w:rPr>
  </w:style>
  <w:style w:type="paragraph" w:styleId="NormalWeb">
    <w:name w:val="Normal (Web)"/>
    <w:basedOn w:val="Normal"/>
    <w:uiPriority w:val="99"/>
    <w:unhideWhenUsed/>
    <w:qFormat/>
    <w:rsid w:val="000c2fbd"/>
    <w:pPr>
      <w:spacing w:beforeAutospacing="1" w:afterAutospacing="1"/>
      <w:jc w:val="left"/>
    </w:pPr>
    <w:rPr>
      <w:rFonts w:ascii="Times New Roman" w:hAnsi="Times New Roman" w:eastAsia="Times New Roman"/>
      <w:sz w:val="24"/>
      <w:szCs w:val="24"/>
      <w:lang w:val="ru-RU" w:eastAsia="ru-RU"/>
    </w:rPr>
  </w:style>
  <w:style w:type="paragraph" w:styleId="BalloonText">
    <w:name w:val="Balloon Text"/>
    <w:basedOn w:val="Normal"/>
    <w:link w:val="a8"/>
    <w:uiPriority w:val="99"/>
    <w:semiHidden/>
    <w:unhideWhenUsed/>
    <w:qFormat/>
    <w:rsid w:val="000c2fbd"/>
    <w:pPr/>
    <w:rPr>
      <w:rFonts w:ascii="Tahoma" w:hAnsi="Tahoma" w:cs="Tahoma"/>
      <w:sz w:val="16"/>
      <w:szCs w:val="16"/>
    </w:rPr>
  </w:style>
  <w:style w:type="paragraph" w:styleId="Style31">
    <w:name w:val="Header"/>
    <w:basedOn w:val="Normal"/>
    <w:link w:val="ac"/>
    <w:uiPriority w:val="99"/>
    <w:unhideWhenUsed/>
    <w:rsid w:val="000c2fbd"/>
    <w:pPr>
      <w:tabs>
        <w:tab w:val="clear" w:pos="708"/>
        <w:tab w:val="center" w:pos="4677" w:leader="none"/>
        <w:tab w:val="right" w:pos="9355" w:leader="none"/>
      </w:tabs>
    </w:pPr>
    <w:rPr/>
  </w:style>
  <w:style w:type="paragraph" w:styleId="Style32" w:customStyle="1">
    <w:name w:val="НІРС"/>
    <w:basedOn w:val="NoSpacing"/>
    <w:qFormat/>
    <w:rsid w:val="000c2fbd"/>
    <w:pPr>
      <w:spacing w:lineRule="auto" w:line="360"/>
      <w:ind w:firstLine="709"/>
    </w:pPr>
    <w:rPr>
      <w:rFonts w:ascii="Times New Roman" w:hAnsi="Times New Roman"/>
      <w:sz w:val="28"/>
      <w:szCs w:val="28"/>
    </w:rPr>
  </w:style>
  <w:style w:type="paragraph" w:styleId="NoSpacing">
    <w:name w:val="No Spacing"/>
    <w:link w:val="af"/>
    <w:uiPriority w:val="1"/>
    <w:qFormat/>
    <w:rsid w:val="000c2fbd"/>
    <w:pPr>
      <w:widowControl/>
      <w:bidi w:val="0"/>
      <w:jc w:val="both"/>
    </w:pPr>
    <w:rPr>
      <w:rFonts w:ascii="Calibri" w:hAnsi="Calibri" w:eastAsia="Calibri" w:cs="Times New Roman"/>
      <w:color w:val="auto"/>
      <w:kern w:val="0"/>
      <w:sz w:val="22"/>
      <w:szCs w:val="22"/>
      <w:lang w:eastAsia="en-US" w:val="uk-UA" w:bidi="ar-SA"/>
    </w:rPr>
  </w:style>
  <w:style w:type="paragraph" w:styleId="BodyText2">
    <w:name w:val="Body Text 2"/>
    <w:basedOn w:val="Normal"/>
    <w:link w:val="22"/>
    <w:unhideWhenUsed/>
    <w:qFormat/>
    <w:rsid w:val="000f67a0"/>
    <w:pPr>
      <w:jc w:val="left"/>
    </w:pPr>
    <w:rPr>
      <w:rFonts w:ascii="Times New Roman" w:hAnsi="Times New Roman" w:eastAsia="Times New Roman"/>
      <w:sz w:val="20"/>
      <w:szCs w:val="20"/>
      <w:lang w:val="x-none" w:eastAsia="x-none"/>
    </w:rPr>
  </w:style>
  <w:style w:type="paragraph" w:styleId="TableParagraph" w:customStyle="1">
    <w:name w:val="Table Paragraph"/>
    <w:basedOn w:val="Normal"/>
    <w:uiPriority w:val="1"/>
    <w:qFormat/>
    <w:rsid w:val="006511e8"/>
    <w:pPr>
      <w:widowControl w:val="false"/>
      <w:jc w:val="left"/>
    </w:pPr>
    <w:rPr>
      <w:rFonts w:ascii="Arial" w:hAnsi="Arial" w:eastAsia="Arial" w:cs="Arial"/>
      <w:lang w:val="en-US"/>
    </w:rPr>
  </w:style>
  <w:style w:type="paragraph" w:styleId="Style33" w:customStyle="1">
    <w:name w:val="Таблица"/>
    <w:basedOn w:val="Normal"/>
    <w:qFormat/>
    <w:rsid w:val="005941b8"/>
    <w:pPr>
      <w:spacing w:before="20" w:after="20"/>
      <w:jc w:val="left"/>
    </w:pPr>
    <w:rPr>
      <w:rFonts w:ascii="Arial" w:hAnsi="Arial" w:eastAsia="Times New Roman"/>
      <w:szCs w:val="20"/>
      <w:lang w:eastAsia="ru-RU"/>
    </w:rPr>
  </w:style>
  <w:style w:type="paragraph" w:styleId="Msonormal" w:customStyle="1">
    <w:name w:val="msonormal"/>
    <w:basedOn w:val="Normal"/>
    <w:qFormat/>
    <w:rsid w:val="005941b8"/>
    <w:pPr>
      <w:spacing w:beforeAutospacing="1" w:afterAutospacing="1"/>
      <w:jc w:val="left"/>
    </w:pPr>
    <w:rPr>
      <w:rFonts w:ascii="Times New Roman" w:hAnsi="Times New Roman" w:eastAsia="Times New Roman"/>
      <w:sz w:val="24"/>
      <w:szCs w:val="24"/>
      <w:lang w:eastAsia="uk-UA"/>
    </w:rPr>
  </w:style>
  <w:style w:type="paragraph" w:styleId="Xl63" w:customStyle="1">
    <w:name w:val="xl63"/>
    <w:basedOn w:val="Normal"/>
    <w:qFormat/>
    <w:rsid w:val="005941b8"/>
    <w:pPr>
      <w:spacing w:beforeAutospacing="1" w:afterAutospacing="1"/>
      <w:jc w:val="left"/>
    </w:pPr>
    <w:rPr>
      <w:rFonts w:ascii="Times New Roman" w:hAnsi="Times New Roman" w:eastAsia="Times New Roman"/>
      <w:color w:val="C65911"/>
      <w:sz w:val="24"/>
      <w:szCs w:val="24"/>
      <w:lang w:eastAsia="uk-UA"/>
    </w:rPr>
  </w:style>
  <w:style w:type="paragraph" w:styleId="Xl64" w:customStyle="1">
    <w:name w:val="xl64"/>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pPr>
    <w:rPr>
      <w:rFonts w:ascii="Times New Roman" w:hAnsi="Times New Roman" w:eastAsia="Times New Roman"/>
      <w:b/>
      <w:bCs/>
      <w:sz w:val="24"/>
      <w:szCs w:val="24"/>
      <w:lang w:eastAsia="uk-UA"/>
    </w:rPr>
  </w:style>
  <w:style w:type="paragraph" w:styleId="Xl65" w:customStyle="1">
    <w:name w:val="xl65"/>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sz w:val="24"/>
      <w:szCs w:val="24"/>
      <w:lang w:eastAsia="uk-UA"/>
    </w:rPr>
  </w:style>
  <w:style w:type="paragraph" w:styleId="Xl66" w:customStyle="1">
    <w:name w:val="xl66"/>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left"/>
      <w:textAlignment w:val="center"/>
    </w:pPr>
    <w:rPr>
      <w:rFonts w:ascii="Times New Roman" w:hAnsi="Times New Roman" w:eastAsia="Times New Roman"/>
      <w:b/>
      <w:bCs/>
      <w:sz w:val="24"/>
      <w:szCs w:val="24"/>
      <w:lang w:eastAsia="uk-UA"/>
    </w:rPr>
  </w:style>
  <w:style w:type="paragraph" w:styleId="Xl67" w:customStyle="1">
    <w:name w:val="xl67"/>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left"/>
      <w:textAlignment w:val="center"/>
    </w:pPr>
    <w:rPr>
      <w:rFonts w:ascii="Times New Roman" w:hAnsi="Times New Roman" w:eastAsia="Times New Roman"/>
      <w:sz w:val="24"/>
      <w:szCs w:val="24"/>
      <w:lang w:eastAsia="uk-UA"/>
    </w:rPr>
  </w:style>
  <w:style w:type="paragraph" w:styleId="Xl68" w:customStyle="1">
    <w:name w:val="xl68"/>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pPr>
    <w:rPr>
      <w:rFonts w:ascii="Times New Roman" w:hAnsi="Times New Roman" w:eastAsia="Times New Roman"/>
      <w:sz w:val="24"/>
      <w:szCs w:val="24"/>
      <w:lang w:eastAsia="uk-UA"/>
    </w:rPr>
  </w:style>
  <w:style w:type="paragraph" w:styleId="Xl69" w:customStyle="1">
    <w:name w:val="xl69"/>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sz w:val="24"/>
      <w:szCs w:val="24"/>
      <w:lang w:eastAsia="uk-UA"/>
    </w:rPr>
  </w:style>
  <w:style w:type="paragraph" w:styleId="Xl70" w:customStyle="1">
    <w:name w:val="xl70"/>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b/>
      <w:bCs/>
      <w:sz w:val="24"/>
      <w:szCs w:val="24"/>
      <w:lang w:eastAsia="uk-UA"/>
    </w:rPr>
  </w:style>
  <w:style w:type="paragraph" w:styleId="Xl71" w:customStyle="1">
    <w:name w:val="xl71"/>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b/>
      <w:bCs/>
      <w:sz w:val="24"/>
      <w:szCs w:val="24"/>
      <w:lang w:eastAsia="uk-UA"/>
    </w:rPr>
  </w:style>
  <w:style w:type="paragraph" w:styleId="Xl72" w:customStyle="1">
    <w:name w:val="xl72"/>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sz w:val="24"/>
      <w:szCs w:val="24"/>
      <w:lang w:eastAsia="uk-UA"/>
    </w:rPr>
  </w:style>
  <w:style w:type="paragraph" w:styleId="Xl73" w:customStyle="1">
    <w:name w:val="xl73"/>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b/>
      <w:bCs/>
      <w:sz w:val="24"/>
      <w:szCs w:val="24"/>
      <w:lang w:eastAsia="uk-UA"/>
    </w:rPr>
  </w:style>
  <w:style w:type="paragraph" w:styleId="Xl74" w:customStyle="1">
    <w:name w:val="xl74"/>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b/>
      <w:bCs/>
      <w:i/>
      <w:iCs/>
      <w:sz w:val="24"/>
      <w:szCs w:val="24"/>
      <w:lang w:val="ru-RU" w:eastAsia="ru-RU"/>
    </w:rPr>
  </w:style>
  <w:style w:type="paragraph" w:styleId="Xl75" w:customStyle="1">
    <w:name w:val="xl75"/>
    <w:basedOn w:val="Normal"/>
    <w:qFormat/>
    <w:rsid w:val="005941b8"/>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rFonts w:ascii="Times New Roman" w:hAnsi="Times New Roman" w:eastAsia="Times New Roman"/>
      <w:b/>
      <w:bCs/>
      <w:i/>
      <w:iCs/>
      <w:sz w:val="24"/>
      <w:szCs w:val="24"/>
      <w:lang w:val="ru-RU" w:eastAsia="ru-RU"/>
    </w:rPr>
  </w:style>
  <w:style w:type="paragraph" w:styleId="Xl76" w:customStyle="1">
    <w:name w:val="xl76"/>
    <w:basedOn w:val="Normal"/>
    <w:qFormat/>
    <w:rsid w:val="005941b8"/>
    <w:pPr>
      <w:pBdr>
        <w:top w:val="single" w:sz="4" w:space="0" w:color="000000"/>
        <w:left w:val="single" w:sz="4" w:space="0" w:color="000000"/>
        <w:bottom w:val="single" w:sz="4" w:space="0" w:color="000000"/>
        <w:right w:val="single" w:sz="4" w:space="0" w:color="000000"/>
      </w:pBdr>
      <w:shd w:val="clear" w:color="000000" w:fill="ACB9CA"/>
      <w:spacing w:beforeAutospacing="1" w:afterAutospacing="1"/>
      <w:jc w:val="center"/>
      <w:textAlignment w:val="center"/>
    </w:pPr>
    <w:rPr>
      <w:rFonts w:ascii="Times New Roman" w:hAnsi="Times New Roman" w:eastAsia="Times New Roman"/>
      <w:sz w:val="24"/>
      <w:szCs w:val="24"/>
      <w:lang w:val="ru-RU" w:eastAsia="ru-RU"/>
    </w:rPr>
  </w:style>
  <w:style w:type="paragraph" w:styleId="Xl77" w:customStyle="1">
    <w:name w:val="xl77"/>
    <w:basedOn w:val="Normal"/>
    <w:qFormat/>
    <w:rsid w:val="005941b8"/>
    <w:pPr>
      <w:pBdr>
        <w:top w:val="single" w:sz="4" w:space="0" w:color="000000"/>
        <w:left w:val="single" w:sz="4" w:space="0" w:color="000000"/>
        <w:bottom w:val="single" w:sz="4" w:space="0" w:color="000000"/>
        <w:right w:val="single" w:sz="4" w:space="0" w:color="000000"/>
      </w:pBdr>
      <w:shd w:val="clear" w:color="000000" w:fill="ACB9CA"/>
      <w:spacing w:beforeAutospacing="1" w:afterAutospacing="1"/>
      <w:jc w:val="center"/>
      <w:textAlignment w:val="center"/>
    </w:pPr>
    <w:rPr>
      <w:rFonts w:ascii="Times New Roman" w:hAnsi="Times New Roman" w:eastAsia="Times New Roman"/>
      <w:sz w:val="24"/>
      <w:szCs w:val="24"/>
      <w:lang w:val="ru-RU" w:eastAsia="ru-RU"/>
    </w:rPr>
  </w:style>
  <w:style w:type="paragraph" w:styleId="Xl78" w:customStyle="1">
    <w:name w:val="xl78"/>
    <w:basedOn w:val="Normal"/>
    <w:qFormat/>
    <w:rsid w:val="005941b8"/>
    <w:pPr>
      <w:pBdr>
        <w:top w:val="single" w:sz="4" w:space="0" w:color="000000"/>
        <w:left w:val="single" w:sz="4" w:space="0" w:color="000000"/>
        <w:bottom w:val="single" w:sz="4" w:space="0" w:color="000000"/>
        <w:right w:val="single" w:sz="4" w:space="0" w:color="000000"/>
      </w:pBdr>
      <w:shd w:val="clear" w:color="000000" w:fill="000000"/>
      <w:spacing w:beforeAutospacing="1" w:afterAutospacing="1"/>
      <w:jc w:val="center"/>
      <w:textAlignment w:val="center"/>
    </w:pPr>
    <w:rPr>
      <w:rFonts w:ascii="Times New Roman" w:hAnsi="Times New Roman" w:eastAsia="Times New Roman"/>
      <w:sz w:val="24"/>
      <w:szCs w:val="24"/>
      <w:lang w:val="ru-RU" w:eastAsia="ru-RU"/>
    </w:rPr>
  </w:style>
  <w:style w:type="paragraph" w:styleId="Xl79" w:customStyle="1">
    <w:name w:val="xl79"/>
    <w:basedOn w:val="Normal"/>
    <w:qFormat/>
    <w:rsid w:val="005941b8"/>
    <w:pPr>
      <w:pBdr>
        <w:top w:val="single" w:sz="4" w:space="0" w:color="000000"/>
        <w:left w:val="single" w:sz="4" w:space="0" w:color="000000"/>
        <w:bottom w:val="single" w:sz="4" w:space="0" w:color="000000"/>
        <w:right w:val="single" w:sz="4" w:space="0" w:color="000000"/>
      </w:pBdr>
      <w:shd w:val="clear" w:color="000000" w:fill="000000"/>
      <w:spacing w:beforeAutospacing="1" w:afterAutospacing="1"/>
      <w:jc w:val="center"/>
      <w:textAlignment w:val="center"/>
    </w:pPr>
    <w:rPr>
      <w:rFonts w:ascii="Times New Roman" w:hAnsi="Times New Roman" w:eastAsia="Times New Roman"/>
      <w:sz w:val="24"/>
      <w:szCs w:val="24"/>
      <w:lang w:val="ru-RU" w:eastAsia="ru-RU"/>
    </w:rPr>
  </w:style>
  <w:style w:type="paragraph" w:styleId="Xl80" w:customStyle="1">
    <w:name w:val="xl80"/>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center"/>
      <w:textAlignment w:val="center"/>
    </w:pPr>
    <w:rPr>
      <w:rFonts w:ascii="Times New Roman" w:hAnsi="Times New Roman" w:eastAsia="Times New Roman"/>
      <w:sz w:val="24"/>
      <w:szCs w:val="24"/>
      <w:lang w:val="ru-RU" w:eastAsia="ru-RU"/>
    </w:rPr>
  </w:style>
  <w:style w:type="paragraph" w:styleId="Xl81" w:customStyle="1">
    <w:name w:val="xl81"/>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center"/>
      <w:textAlignment w:val="center"/>
    </w:pPr>
    <w:rPr>
      <w:rFonts w:ascii="Times New Roman" w:hAnsi="Times New Roman" w:eastAsia="Times New Roman"/>
      <w:sz w:val="24"/>
      <w:szCs w:val="24"/>
      <w:lang w:val="ru-RU" w:eastAsia="ru-RU"/>
    </w:rPr>
  </w:style>
  <w:style w:type="paragraph" w:styleId="Xl82" w:customStyle="1">
    <w:name w:val="xl82"/>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left"/>
      <w:textAlignment w:val="center"/>
    </w:pPr>
    <w:rPr>
      <w:rFonts w:ascii="Times New Roman" w:hAnsi="Times New Roman" w:eastAsia="Times New Roman"/>
      <w:b/>
      <w:bCs/>
      <w:sz w:val="24"/>
      <w:szCs w:val="24"/>
      <w:lang w:val="ru-RU" w:eastAsia="ru-RU"/>
    </w:rPr>
  </w:style>
  <w:style w:type="paragraph" w:styleId="Xl83" w:customStyle="1">
    <w:name w:val="xl83"/>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center"/>
      <w:textAlignment w:val="center"/>
    </w:pPr>
    <w:rPr>
      <w:rFonts w:ascii="Times New Roman" w:hAnsi="Times New Roman" w:eastAsia="Times New Roman"/>
      <w:b/>
      <w:bCs/>
      <w:sz w:val="24"/>
      <w:szCs w:val="24"/>
      <w:lang w:val="ru-RU" w:eastAsia="ru-RU"/>
    </w:rPr>
  </w:style>
  <w:style w:type="paragraph" w:styleId="Style34">
    <w:name w:val="Title"/>
    <w:basedOn w:val="Normal"/>
    <w:link w:val="af7"/>
    <w:qFormat/>
    <w:rsid w:val="005941b8"/>
    <w:pPr>
      <w:spacing w:lineRule="auto" w:line="360"/>
      <w:ind w:firstLine="709"/>
      <w:jc w:val="center"/>
    </w:pPr>
    <w:rPr>
      <w:rFonts w:ascii="Times New Roman" w:hAnsi="Times New Roman" w:eastAsia="Times New Roman"/>
      <w:spacing w:val="20"/>
      <w:sz w:val="28"/>
      <w:szCs w:val="24"/>
      <w:lang w:eastAsia="ru-RU"/>
    </w:rPr>
  </w:style>
  <w:style w:type="paragraph" w:styleId="Xl84" w:customStyle="1">
    <w:name w:val="xl84"/>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left"/>
      <w:textAlignment w:val="center"/>
    </w:pPr>
    <w:rPr>
      <w:rFonts w:ascii="Times New Roman" w:hAnsi="Times New Roman" w:eastAsia="Times New Roman"/>
      <w:b/>
      <w:bCs/>
      <w:sz w:val="24"/>
      <w:szCs w:val="24"/>
      <w:lang w:eastAsia="uk-UA"/>
    </w:rPr>
  </w:style>
  <w:style w:type="paragraph" w:styleId="Xl85" w:customStyle="1">
    <w:name w:val="xl85"/>
    <w:basedOn w:val="Normal"/>
    <w:qFormat/>
    <w:rsid w:val="005941b8"/>
    <w:pPr>
      <w:pBdr>
        <w:top w:val="single" w:sz="4" w:space="0" w:color="000000"/>
        <w:left w:val="single" w:sz="4" w:space="0" w:color="000000"/>
        <w:bottom w:val="single" w:sz="4" w:space="0" w:color="000000"/>
        <w:right w:val="single" w:sz="4" w:space="0" w:color="000000"/>
      </w:pBdr>
      <w:shd w:val="clear" w:color="000000" w:fill="FFE699"/>
      <w:spacing w:beforeAutospacing="1" w:afterAutospacing="1"/>
      <w:jc w:val="center"/>
      <w:textAlignment w:val="center"/>
    </w:pPr>
    <w:rPr>
      <w:rFonts w:ascii="Times New Roman" w:hAnsi="Times New Roman" w:eastAsia="Times New Roman"/>
      <w:b/>
      <w:bCs/>
      <w:sz w:val="24"/>
      <w:szCs w:val="24"/>
      <w:lang w:eastAsia="uk-UA"/>
    </w:rPr>
  </w:style>
  <w:style w:type="paragraph" w:styleId="BodyText3">
    <w:name w:val="Body Text 3"/>
    <w:basedOn w:val="Normal"/>
    <w:link w:val="32"/>
    <w:uiPriority w:val="99"/>
    <w:semiHidden/>
    <w:unhideWhenUsed/>
    <w:qFormat/>
    <w:rsid w:val="00fa2003"/>
    <w:pPr>
      <w:spacing w:before="0" w:after="120"/>
      <w:jc w:val="left"/>
    </w:pPr>
    <w:rPr>
      <w:rFonts w:ascii="Times New Roman" w:hAnsi="Times New Roman" w:eastAsia="Times New Roman"/>
      <w:sz w:val="16"/>
      <w:szCs w:val="16"/>
      <w:lang w:val="ru-RU" w:eastAsia="ru-RU"/>
    </w:rPr>
  </w:style>
  <w:style w:type="paragraph" w:styleId="Msonormalcxspmiddle" w:customStyle="1">
    <w:name w:val="msonormalcxspmiddle"/>
    <w:basedOn w:val="Normal"/>
    <w:qFormat/>
    <w:rsid w:val="0025403d"/>
    <w:pPr>
      <w:spacing w:beforeAutospacing="1" w:afterAutospacing="1"/>
      <w:jc w:val="left"/>
    </w:pPr>
    <w:rPr>
      <w:rFonts w:ascii="Times New Roman" w:hAnsi="Times New Roman" w:eastAsia="Times New Roman"/>
      <w:sz w:val="24"/>
      <w:szCs w:val="24"/>
      <w:lang w:val="ru-RU" w:eastAsia="ru-RU"/>
    </w:rPr>
  </w:style>
  <w:style w:type="paragraph" w:styleId="BodyTextIndent2">
    <w:name w:val="Body Text Indent 2"/>
    <w:basedOn w:val="Normal"/>
    <w:link w:val="25"/>
    <w:uiPriority w:val="99"/>
    <w:semiHidden/>
    <w:unhideWhenUsed/>
    <w:qFormat/>
    <w:rsid w:val="00d74d96"/>
    <w:pPr>
      <w:spacing w:lineRule="auto" w:line="480" w:before="0" w:after="120"/>
      <w:ind w:left="283" w:hanging="0"/>
    </w:pPr>
    <w:rPr/>
  </w:style>
  <w:style w:type="paragraph" w:styleId="BodyTextIndent3">
    <w:name w:val="Body Text Indent 3"/>
    <w:basedOn w:val="Normal"/>
    <w:link w:val="34"/>
    <w:uiPriority w:val="99"/>
    <w:unhideWhenUsed/>
    <w:qFormat/>
    <w:rsid w:val="00d74d96"/>
    <w:pPr>
      <w:spacing w:before="0" w:after="120"/>
      <w:ind w:left="283" w:hanging="0"/>
    </w:pPr>
    <w:rPr>
      <w:sz w:val="16"/>
      <w:szCs w:val="16"/>
    </w:rPr>
  </w:style>
  <w:style w:type="paragraph" w:styleId="BodyText21" w:customStyle="1">
    <w:name w:val="Body Text 2.Абзац с маркером"/>
    <w:basedOn w:val="Normal"/>
    <w:uiPriority w:val="99"/>
    <w:qFormat/>
    <w:rsid w:val="00d74d96"/>
    <w:pPr>
      <w:spacing w:lineRule="auto" w:line="360"/>
      <w:ind w:firstLine="708"/>
    </w:pPr>
    <w:rPr>
      <w:rFonts w:ascii="Times New Roman" w:hAnsi="Times New Roman" w:eastAsia="Times New Roman"/>
      <w:sz w:val="28"/>
      <w:szCs w:val="28"/>
      <w:lang w:val="ru-RU" w:eastAsia="ru-RU"/>
    </w:rPr>
  </w:style>
  <w:style w:type="paragraph" w:styleId="HTMLPreformatted">
    <w:name w:val="HTML Preformatted"/>
    <w:basedOn w:val="Normal"/>
    <w:link w:val="HTML"/>
    <w:semiHidden/>
    <w:unhideWhenUsed/>
    <w:qFormat/>
    <w:rsid w:val="0036448e"/>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left"/>
    </w:pPr>
    <w:rPr>
      <w:rFonts w:ascii="Courier New" w:hAnsi="Courier New" w:eastAsia="Times New Roman" w:cs="Courier New"/>
      <w:color w:val="000000"/>
      <w:sz w:val="21"/>
      <w:szCs w:val="21"/>
      <w:lang w:val="ru-RU" w:eastAsia="ru-RU"/>
    </w:rPr>
  </w:style>
  <w:style w:type="paragraph" w:styleId="Annotationtext">
    <w:name w:val="annotation text"/>
    <w:basedOn w:val="Normal"/>
    <w:link w:val="af8"/>
    <w:semiHidden/>
    <w:unhideWhenUsed/>
    <w:qFormat/>
    <w:rsid w:val="0036448e"/>
    <w:pPr>
      <w:jc w:val="left"/>
    </w:pPr>
    <w:rPr>
      <w:rFonts w:ascii="Times New Roman" w:hAnsi="Times New Roman" w:eastAsia="Times New Roman"/>
      <w:sz w:val="20"/>
      <w:szCs w:val="20"/>
      <w:lang w:val="ru-RU" w:eastAsia="uk-UA"/>
    </w:rPr>
  </w:style>
  <w:style w:type="paragraph" w:styleId="Style35">
    <w:name w:val="Body Text Indent"/>
    <w:basedOn w:val="Normal"/>
    <w:link w:val="afa"/>
    <w:uiPriority w:val="99"/>
    <w:semiHidden/>
    <w:unhideWhenUsed/>
    <w:rsid w:val="0036448e"/>
    <w:pPr>
      <w:spacing w:before="0" w:after="120"/>
      <w:ind w:left="283" w:hanging="0"/>
      <w:jc w:val="left"/>
    </w:pPr>
    <w:rPr>
      <w:rFonts w:ascii="Times New Roman" w:hAnsi="Times New Roman" w:eastAsia="Times New Roman"/>
      <w:sz w:val="24"/>
      <w:szCs w:val="24"/>
      <w:lang w:val="ru-RU" w:eastAsia="ru-RU"/>
    </w:rPr>
  </w:style>
  <w:style w:type="paragraph" w:styleId="BodyTextIndent">
    <w:name w:val="Body Text Indent"/>
    <w:basedOn w:val="Style25"/>
    <w:link w:val="afc"/>
    <w:semiHidden/>
    <w:unhideWhenUsed/>
    <w:qFormat/>
    <w:rsid w:val="0036448e"/>
    <w:pPr>
      <w:ind w:firstLine="210"/>
      <w:jc w:val="left"/>
    </w:pPr>
    <w:rPr>
      <w:rFonts w:ascii="Times New Roman" w:hAnsi="Times New Roman" w:eastAsia="Times New Roman"/>
      <w:sz w:val="24"/>
      <w:szCs w:val="24"/>
      <w:lang w:val="ru-RU" w:eastAsia="uk-UA"/>
    </w:rPr>
  </w:style>
  <w:style w:type="paragraph" w:styleId="DocumentMap">
    <w:name w:val="Document Map"/>
    <w:basedOn w:val="Normal"/>
    <w:link w:val="afe"/>
    <w:uiPriority w:val="99"/>
    <w:semiHidden/>
    <w:unhideWhenUsed/>
    <w:qFormat/>
    <w:rsid w:val="0036448e"/>
    <w:pPr>
      <w:shd w:val="clear" w:color="auto" w:fill="000080"/>
      <w:ind w:firstLine="709"/>
    </w:pPr>
    <w:rPr>
      <w:rFonts w:ascii="Tahoma" w:hAnsi="Tahoma" w:eastAsia="Times New Roman" w:cs="Tahoma"/>
      <w:sz w:val="20"/>
      <w:szCs w:val="20"/>
      <w:lang w:val="ru-RU" w:eastAsia="ru-RU"/>
    </w:rPr>
  </w:style>
  <w:style w:type="paragraph" w:styleId="Annotationsubject">
    <w:name w:val="annotation subject"/>
    <w:basedOn w:val="Annotationtext"/>
    <w:next w:val="Annotationtext"/>
    <w:link w:val="aff0"/>
    <w:semiHidden/>
    <w:unhideWhenUsed/>
    <w:qFormat/>
    <w:rsid w:val="0036448e"/>
    <w:pPr/>
    <w:rPr>
      <w:b/>
      <w:bCs/>
    </w:rPr>
  </w:style>
  <w:style w:type="paragraph" w:styleId="Style36" w:customStyle="1">
    <w:name w:val="Знак Знак"/>
    <w:basedOn w:val="Normal"/>
    <w:link w:val="aff2"/>
    <w:qFormat/>
    <w:rsid w:val="0036448e"/>
    <w:pPr>
      <w:jc w:val="left"/>
    </w:pPr>
    <w:rPr>
      <w:rFonts w:ascii="Verdana" w:hAnsi="Verdana" w:cs="Verdana"/>
      <w:sz w:val="20"/>
      <w:szCs w:val="20"/>
      <w:lang w:val="en-US"/>
    </w:rPr>
  </w:style>
  <w:style w:type="paragraph" w:styleId="Style37" w:customStyle="1">
    <w:name w:val="Основний текст"/>
    <w:basedOn w:val="Normal"/>
    <w:link w:val="aff4"/>
    <w:qFormat/>
    <w:rsid w:val="0036448e"/>
    <w:pPr>
      <w:shd w:val="clear" w:color="auto" w:fill="FFFFFF"/>
      <w:spacing w:lineRule="auto" w:before="0" w:after="60"/>
      <w:jc w:val="left"/>
    </w:pPr>
    <w:rPr>
      <w:lang w:eastAsia="uk-UA"/>
    </w:rPr>
  </w:style>
  <w:style w:type="paragraph" w:styleId="13">
    <w:name w:val="TOC 1"/>
    <w:basedOn w:val="Normal"/>
    <w:next w:val="Normal"/>
    <w:autoRedefine/>
    <w:uiPriority w:val="99"/>
    <w:semiHidden/>
    <w:unhideWhenUsed/>
    <w:rsid w:val="0036448e"/>
    <w:pPr>
      <w:tabs>
        <w:tab w:val="clear" w:pos="708"/>
        <w:tab w:val="left" w:pos="1200" w:leader="none"/>
        <w:tab w:val="right" w:pos="6397" w:leader="dot"/>
      </w:tabs>
      <w:spacing w:lineRule="auto" w:line="360"/>
      <w:ind w:firstLine="709"/>
    </w:pPr>
    <w:rPr>
      <w:rFonts w:ascii="Times New Roman" w:hAnsi="Times New Roman" w:eastAsia="Times New Roman"/>
      <w:sz w:val="28"/>
      <w:szCs w:val="28"/>
      <w:lang w:eastAsia="ru-RU"/>
    </w:rPr>
  </w:style>
  <w:style w:type="paragraph" w:styleId="Default" w:customStyle="1">
    <w:name w:val="Default"/>
    <w:uiPriority w:val="99"/>
    <w:qFormat/>
    <w:rsid w:val="004d7957"/>
    <w:pPr>
      <w:widowControl/>
      <w:bidi w:val="0"/>
      <w:jc w:val="left"/>
    </w:pPr>
    <w:rPr>
      <w:rFonts w:ascii="Arial" w:hAnsi="Arial" w:eastAsia="Calibri" w:cs="Arial" w:eastAsiaTheme="minorHAnsi"/>
      <w:color w:val="000000"/>
      <w:kern w:val="0"/>
      <w:sz w:val="24"/>
      <w:szCs w:val="24"/>
      <w:lang w:val="ru-RU" w:eastAsia="en-US" w:bidi="ar-SA"/>
    </w:rPr>
  </w:style>
  <w:style w:type="paragraph" w:styleId="Style38">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f0">
    <w:name w:val="Table Grid"/>
    <w:basedOn w:val="a1"/>
    <w:uiPriority w:val="59"/>
    <w:rsid w:val="00b0236d"/>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
    <w:name w:val="Table Normal"/>
    <w:uiPriority w:val="2"/>
    <w:semiHidden/>
    <w:unhideWhenUsed/>
    <w:qFormat/>
    <w:rsid w:val="006511e8"/>
    <w:rPr>
      <w:lang w:val="en-US" w:eastAsia="en-US"/>
      <w:sz w:val="22"/>
      <w:szCs w:val="22"/>
    </w:rPr>
    <w:tblPr>
      <w:tblInd w:w="0" w:type="dxa"/>
      <w:tblCellMar>
        <w:top w:w="0" w:type="dxa"/>
        <w:left w:w="0" w:type="dxa"/>
        <w:bottom w:w="0" w:type="dxa"/>
        <w:right w:w="0" w:type="dxa"/>
      </w:tblCellMar>
    </w:tblPr>
  </w:style>
  <w:style w:type="table" w:customStyle="1" w:styleId="TableGrid">
    <w:name w:val="TableGrid"/>
    <w:rsid w:val="005941b8"/>
    <w:rPr>
      <w:sz w:val="22"/>
      <w:szCs w:val="22"/>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footer" Target="footer3.xml"/><Relationship Id="rId8" Type="http://schemas.openxmlformats.org/officeDocument/2006/relationships/header" Target="header4.xml"/><Relationship Id="rId9" Type="http://schemas.openxmlformats.org/officeDocument/2006/relationships/footer" Target="footer4.xml"/><Relationship Id="rId10" Type="http://schemas.openxmlformats.org/officeDocument/2006/relationships/header" Target="header5.xml"/><Relationship Id="rId11" Type="http://schemas.openxmlformats.org/officeDocument/2006/relationships/footer" Target="footer5.xml"/><Relationship Id="rId12" Type="http://schemas.openxmlformats.org/officeDocument/2006/relationships/header" Target="header6.xml"/><Relationship Id="rId13" Type="http://schemas.openxmlformats.org/officeDocument/2006/relationships/footer" Target="footer6.xml"/><Relationship Id="rId14" Type="http://schemas.openxmlformats.org/officeDocument/2006/relationships/header" Target="header7.xml"/><Relationship Id="rId15" Type="http://schemas.openxmlformats.org/officeDocument/2006/relationships/footer" Target="footer7.xml"/><Relationship Id="rId16" Type="http://schemas.openxmlformats.org/officeDocument/2006/relationships/image" Target="media/image1.png"/><Relationship Id="rId17" Type="http://schemas.openxmlformats.org/officeDocument/2006/relationships/header" Target="header8.xml"/><Relationship Id="rId18" Type="http://schemas.openxmlformats.org/officeDocument/2006/relationships/footer" Target="footer8.xml"/><Relationship Id="rId19" Type="http://schemas.openxmlformats.org/officeDocument/2006/relationships/header" Target="header9.xml"/><Relationship Id="rId20" Type="http://schemas.openxmlformats.org/officeDocument/2006/relationships/footer" Target="footer9.xml"/><Relationship Id="rId21" Type="http://schemas.openxmlformats.org/officeDocument/2006/relationships/header" Target="header10.xml"/><Relationship Id="rId22" Type="http://schemas.openxmlformats.org/officeDocument/2006/relationships/footer" Target="footer10.xml"/><Relationship Id="rId23" Type="http://schemas.openxmlformats.org/officeDocument/2006/relationships/header" Target="header11.xml"/><Relationship Id="rId24" Type="http://schemas.openxmlformats.org/officeDocument/2006/relationships/footer" Target="footer11.xml"/><Relationship Id="rId25" Type="http://schemas.openxmlformats.org/officeDocument/2006/relationships/header" Target="header12.xml"/><Relationship Id="rId26" Type="http://schemas.openxmlformats.org/officeDocument/2006/relationships/footer" Target="footer12.xml"/><Relationship Id="rId27" Type="http://schemas.openxmlformats.org/officeDocument/2006/relationships/image" Target="media/image2.wmf"/><Relationship Id="rId28" Type="http://schemas.openxmlformats.org/officeDocument/2006/relationships/image" Target="media/image3.wmf"/><Relationship Id="rId29" Type="http://schemas.openxmlformats.org/officeDocument/2006/relationships/image" Target="media/image4.wmf"/><Relationship Id="rId30" Type="http://schemas.openxmlformats.org/officeDocument/2006/relationships/image" Target="media/image5.wmf"/><Relationship Id="rId31" Type="http://schemas.openxmlformats.org/officeDocument/2006/relationships/image" Target="media/image6.wmf"/><Relationship Id="rId32" Type="http://schemas.openxmlformats.org/officeDocument/2006/relationships/image" Target="media/image7.wmf"/><Relationship Id="rId33" Type="http://schemas.openxmlformats.org/officeDocument/2006/relationships/image" Target="media/image8.wmf"/><Relationship Id="rId34" Type="http://schemas.openxmlformats.org/officeDocument/2006/relationships/image" Target="media/image9.wmf"/><Relationship Id="rId35" Type="http://schemas.openxmlformats.org/officeDocument/2006/relationships/image" Target="media/image10.wmf"/><Relationship Id="rId36" Type="http://schemas.openxmlformats.org/officeDocument/2006/relationships/image" Target="media/image11.wmf"/><Relationship Id="rId37" Type="http://schemas.openxmlformats.org/officeDocument/2006/relationships/image" Target="media/image12.wmf"/><Relationship Id="rId38" Type="http://schemas.openxmlformats.org/officeDocument/2006/relationships/image" Target="media/image13.wmf"/><Relationship Id="rId39" Type="http://schemas.openxmlformats.org/officeDocument/2006/relationships/image" Target="media/image14.wmf"/><Relationship Id="rId40" Type="http://schemas.openxmlformats.org/officeDocument/2006/relationships/header" Target="header13.xml"/><Relationship Id="rId41" Type="http://schemas.openxmlformats.org/officeDocument/2006/relationships/footer" Target="footer13.xml"/><Relationship Id="rId42" Type="http://schemas.openxmlformats.org/officeDocument/2006/relationships/header" Target="header14.xml"/><Relationship Id="rId43" Type="http://schemas.openxmlformats.org/officeDocument/2006/relationships/footer" Target="footer14.xml"/><Relationship Id="rId44" Type="http://schemas.openxmlformats.org/officeDocument/2006/relationships/header" Target="header15.xml"/><Relationship Id="rId45" Type="http://schemas.openxmlformats.org/officeDocument/2006/relationships/footer" Target="footer15.xml"/><Relationship Id="rId46" Type="http://schemas.openxmlformats.org/officeDocument/2006/relationships/header" Target="header16.xml"/><Relationship Id="rId47" Type="http://schemas.openxmlformats.org/officeDocument/2006/relationships/footer" Target="footer16.xml"/><Relationship Id="rId48" Type="http://schemas.openxmlformats.org/officeDocument/2006/relationships/image" Target="media/image15.wmf"/><Relationship Id="rId49" Type="http://schemas.openxmlformats.org/officeDocument/2006/relationships/header" Target="header17.xml"/><Relationship Id="rId50" Type="http://schemas.openxmlformats.org/officeDocument/2006/relationships/footer" Target="footer17.xml"/><Relationship Id="rId51" Type="http://schemas.openxmlformats.org/officeDocument/2006/relationships/header" Target="header18.xml"/><Relationship Id="rId52" Type="http://schemas.openxmlformats.org/officeDocument/2006/relationships/footer" Target="footer18.xml"/><Relationship Id="rId53" Type="http://schemas.openxmlformats.org/officeDocument/2006/relationships/image" Target="media/image16.wmf"/><Relationship Id="rId54" Type="http://schemas.openxmlformats.org/officeDocument/2006/relationships/image" Target="media/image17.wmf"/><Relationship Id="rId55" Type="http://schemas.openxmlformats.org/officeDocument/2006/relationships/image" Target="media/image18.wmf"/><Relationship Id="rId56" Type="http://schemas.openxmlformats.org/officeDocument/2006/relationships/image" Target="media/image19.wmf"/><Relationship Id="rId57" Type="http://schemas.openxmlformats.org/officeDocument/2006/relationships/header" Target="header19.xml"/><Relationship Id="rId58" Type="http://schemas.openxmlformats.org/officeDocument/2006/relationships/footer" Target="footer19.xml"/><Relationship Id="rId59" Type="http://schemas.openxmlformats.org/officeDocument/2006/relationships/header" Target="header20.xml"/><Relationship Id="rId60" Type="http://schemas.openxmlformats.org/officeDocument/2006/relationships/footer" Target="footer20.xml"/><Relationship Id="rId61" Type="http://schemas.openxmlformats.org/officeDocument/2006/relationships/image" Target="media/image20.wmf"/><Relationship Id="rId62" Type="http://schemas.openxmlformats.org/officeDocument/2006/relationships/image" Target="media/image21.wmf"/><Relationship Id="rId63" Type="http://schemas.openxmlformats.org/officeDocument/2006/relationships/header" Target="header21.xml"/><Relationship Id="rId64" Type="http://schemas.openxmlformats.org/officeDocument/2006/relationships/footer" Target="footer21.xml"/><Relationship Id="rId65" Type="http://schemas.openxmlformats.org/officeDocument/2006/relationships/header" Target="header22.xml"/><Relationship Id="rId66" Type="http://schemas.openxmlformats.org/officeDocument/2006/relationships/footer" Target="footer22.xml"/><Relationship Id="rId67" Type="http://schemas.openxmlformats.org/officeDocument/2006/relationships/header" Target="header23.xml"/><Relationship Id="rId68" Type="http://schemas.openxmlformats.org/officeDocument/2006/relationships/footer" Target="footer23.xml"/><Relationship Id="rId69" Type="http://schemas.openxmlformats.org/officeDocument/2006/relationships/image" Target="media/image22.wmf"/><Relationship Id="rId70" Type="http://schemas.openxmlformats.org/officeDocument/2006/relationships/image" Target="media/image23.wmf"/><Relationship Id="rId71" Type="http://schemas.openxmlformats.org/officeDocument/2006/relationships/header" Target="header24.xml"/><Relationship Id="rId72" Type="http://schemas.openxmlformats.org/officeDocument/2006/relationships/footer" Target="footer24.xml"/><Relationship Id="rId73" Type="http://schemas.openxmlformats.org/officeDocument/2006/relationships/image" Target="media/image24.wmf"/><Relationship Id="rId74" Type="http://schemas.openxmlformats.org/officeDocument/2006/relationships/header" Target="header25.xml"/><Relationship Id="rId75" Type="http://schemas.openxmlformats.org/officeDocument/2006/relationships/footer" Target="footer25.xml"/><Relationship Id="rId76" Type="http://schemas.openxmlformats.org/officeDocument/2006/relationships/header" Target="header26.xml"/><Relationship Id="rId77" Type="http://schemas.openxmlformats.org/officeDocument/2006/relationships/footer" Target="footer26.xml"/><Relationship Id="rId78" Type="http://schemas.openxmlformats.org/officeDocument/2006/relationships/image" Target="media/image25.wmf"/><Relationship Id="rId79" Type="http://schemas.openxmlformats.org/officeDocument/2006/relationships/header" Target="header27.xml"/><Relationship Id="rId80" Type="http://schemas.openxmlformats.org/officeDocument/2006/relationships/footer" Target="footer27.xml"/><Relationship Id="rId81" Type="http://schemas.openxmlformats.org/officeDocument/2006/relationships/image" Target="media/image26.wmf"/><Relationship Id="rId82" Type="http://schemas.openxmlformats.org/officeDocument/2006/relationships/header" Target="header28.xml"/><Relationship Id="rId83" Type="http://schemas.openxmlformats.org/officeDocument/2006/relationships/footer" Target="footer28.xml"/><Relationship Id="rId84" Type="http://schemas.openxmlformats.org/officeDocument/2006/relationships/header" Target="header29.xml"/><Relationship Id="rId85" Type="http://schemas.openxmlformats.org/officeDocument/2006/relationships/footer" Target="footer29.xml"/><Relationship Id="rId86" Type="http://schemas.openxmlformats.org/officeDocument/2006/relationships/header" Target="header30.xml"/><Relationship Id="rId87" Type="http://schemas.openxmlformats.org/officeDocument/2006/relationships/footer" Target="footer30.xml"/><Relationship Id="rId88" Type="http://schemas.openxmlformats.org/officeDocument/2006/relationships/header" Target="header31.xml"/><Relationship Id="rId89" Type="http://schemas.openxmlformats.org/officeDocument/2006/relationships/footer" Target="footer31.xml"/><Relationship Id="rId90" Type="http://schemas.openxmlformats.org/officeDocument/2006/relationships/image" Target="media/image27.wmf"/><Relationship Id="rId91" Type="http://schemas.openxmlformats.org/officeDocument/2006/relationships/header" Target="header32.xml"/><Relationship Id="rId92" Type="http://schemas.openxmlformats.org/officeDocument/2006/relationships/footer" Target="footer32.xml"/><Relationship Id="rId93" Type="http://schemas.openxmlformats.org/officeDocument/2006/relationships/header" Target="header33.xml"/><Relationship Id="rId94" Type="http://schemas.openxmlformats.org/officeDocument/2006/relationships/footer" Target="footer33.xml"/><Relationship Id="rId95" Type="http://schemas.openxmlformats.org/officeDocument/2006/relationships/header" Target="header34.xml"/><Relationship Id="rId96" Type="http://schemas.openxmlformats.org/officeDocument/2006/relationships/footer" Target="footer34.xml"/><Relationship Id="rId97" Type="http://schemas.openxmlformats.org/officeDocument/2006/relationships/header" Target="header35.xml"/><Relationship Id="rId98" Type="http://schemas.openxmlformats.org/officeDocument/2006/relationships/footer" Target="footer35.xml"/><Relationship Id="rId99" Type="http://schemas.openxmlformats.org/officeDocument/2006/relationships/image" Target="media/image28.png"/><Relationship Id="rId100" Type="http://schemas.openxmlformats.org/officeDocument/2006/relationships/header" Target="header36.xml"/><Relationship Id="rId101" Type="http://schemas.openxmlformats.org/officeDocument/2006/relationships/footer" Target="footer36.xml"/><Relationship Id="rId102" Type="http://schemas.openxmlformats.org/officeDocument/2006/relationships/header" Target="header37.xml"/><Relationship Id="rId103" Type="http://schemas.openxmlformats.org/officeDocument/2006/relationships/footer" Target="footer37.xml"/><Relationship Id="rId104" Type="http://schemas.openxmlformats.org/officeDocument/2006/relationships/header" Target="header38.xml"/><Relationship Id="rId105" Type="http://schemas.openxmlformats.org/officeDocument/2006/relationships/footer" Target="footer38.xml"/><Relationship Id="rId106" Type="http://schemas.openxmlformats.org/officeDocument/2006/relationships/numbering" Target="numbering.xml"/><Relationship Id="rId107" Type="http://schemas.openxmlformats.org/officeDocument/2006/relationships/fontTable" Target="fontTable.xml"/><Relationship Id="rId108" Type="http://schemas.openxmlformats.org/officeDocument/2006/relationships/settings" Target="settings.xml"/><Relationship Id="rId109" Type="http://schemas.openxmlformats.org/officeDocument/2006/relationships/theme" Target="theme/theme1.xml"/><Relationship Id="rId11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B4EF69-8A06-4601-AD5D-FE38B8C40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Application>LibreOffice/6.3.3.2$Windows_X86_64 LibreOffice_project/a64200df03143b798afd1ec74a12ab50359878ed</Application>
  <Pages>48</Pages>
  <Words>22899</Words>
  <Characters>132360</Characters>
  <CharactersWithSpaces>149792</CharactersWithSpaces>
  <Paragraphs>6177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2021-12-03T09:37:00Z</dcterms:created>
  <dc:creator/>
  <dc:description/>
  <dc:language>ru-RU</dc:language>
  <cp:lastModifiedBy/>
  <dcterms:modified xsi:type="dcterms:W3CDTF">2021-12-03T09:37:00Z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