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A2C" w:rsidRPr="009D2642" w:rsidRDefault="00D05A2C" w:rsidP="00EA7D25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proofErr w:type="spellStart"/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Паршивлюк</w:t>
      </w:r>
      <w:proofErr w:type="spellEnd"/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Б. С.,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  <w:t>Ларіонова К</w:t>
      </w:r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  <w:t xml:space="preserve">.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  <w:t>Л</w:t>
      </w:r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  <w:lang w:val="uk-UA"/>
        </w:rPr>
        <w:t>.</w:t>
      </w:r>
    </w:p>
    <w:p w:rsidR="00D05A2C" w:rsidRPr="009D2642" w:rsidRDefault="00D05A2C" w:rsidP="00EA7D25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Хмельницький національний університет,</w:t>
      </w:r>
    </w:p>
    <w:p w:rsidR="00D05A2C" w:rsidRDefault="00D05A2C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9D264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м. Хмельницький</w:t>
      </w:r>
    </w:p>
    <w:p w:rsidR="00D05A2C" w:rsidRDefault="00D05A2C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415508" w:rsidRPr="00BF55C0" w:rsidRDefault="00415508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ФОРМУВАННЯ КАПІТАЛУ БАНКУ В СУЧАСНИХ УМОВАХ</w:t>
      </w:r>
    </w:p>
    <w:p w:rsidR="00415508" w:rsidRPr="00BF55C0" w:rsidRDefault="00415508" w:rsidP="00EA7D2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B64960" w:rsidRPr="00B64960" w:rsidRDefault="00D05A2C" w:rsidP="00B64960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5A2C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дослідження.</w:t>
      </w:r>
      <w:r w:rsidR="007533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4960" w:rsidRPr="00B649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Зміни, що відбуваються останнім часом у світовій фінансовій системі, кардинально впливають на процес управління капіталом банків. Так, практично всі країни з активними ринками банківських послуг стали пред’являти банкам більш суворі вимоги до ефективності використання їхнього капіталу та рівня капіталізації. Таким чином, проблеми управління капіталом банків є актуальними в усіх країнах світу. Особливої актуальності набувають питання, пов’язані із забезпеченням ефективного управління капіталом банків у періоди фінансових криз, коли втрачається довіра клієнтів до банків та відбувається значний відплив капіталів з банківської системи. </w:t>
      </w:r>
    </w:p>
    <w:p w:rsidR="00B64960" w:rsidRDefault="00B64960" w:rsidP="00B64960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649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Україні управління банківським капіталом перебуває на етапі становлення і стикається з особливими труднощами, зумовленими незавершеністю економічних реформ, недосконалістю нормативно-правової бази, нерозвиненістю ринку капіталу тощо. За таких умов забезпечення ефективного управління банківським капіталом стає важливим завданням Національного банку України та національної економіки України.</w:t>
      </w:r>
    </w:p>
    <w:p w:rsidR="003A05B3" w:rsidRPr="00BF55C0" w:rsidRDefault="00415508" w:rsidP="00B64960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Аналіз останніх досліджень і публікацій</w:t>
      </w:r>
      <w:r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Дослідженням проблем </w:t>
      </w:r>
      <w:r w:rsidR="00B649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управлінням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капіталу банків в різний період часу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займались такі зарубіжні науковці, як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Бланка, Х.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Грюнінга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Коупленда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Лаврушина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Масленникова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Мовсесяна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Ф. Мишкіна, П.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Роуза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Сінкі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Г. Фетисова та ін. Підходи зарубіжних учених, зокрема, таких як Х.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Грюнінг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Роуз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Сінкі</w:t>
      </w:r>
      <w:proofErr w:type="spellEnd"/>
      <w:r w:rsidR="00B71B8F" w:rsidRP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торкаються в основному управління капіталом банків у розвинених банківських системах і не завжди можуть бути адаптовані до вітчизняної банківської системи, яка перебуває на стадії формування та вдосконалення.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значними є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напрацювання вітчизняних науковців, таких як М.Д.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Алексєєнко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О.В.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Васюренко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А.П.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Вожжов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О.В.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Дзюблюк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bookmarkStart w:id="0" w:name="_GoBack"/>
      <w:bookmarkEnd w:id="0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Ж.М. Довгань, О. Клименко, В. Коваленко Панасенко, С.М.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Савлук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C72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Р.І. Тиркало, С.А.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Циганов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64960" w:rsidRPr="00B64960" w:rsidRDefault="00B64960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B6496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Метою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статті</w:t>
      </w:r>
      <w:r w:rsidR="00907CB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B649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є обґрунтування теоретико-методичних засад управління капіталом банківських установ і розроблення науково-практичних рекомендацій щодо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управління ним</w:t>
      </w:r>
      <w:r w:rsidRPr="00B6496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 умовах економічної нестабільності.</w:t>
      </w:r>
    </w:p>
    <w:p w:rsidR="00CC7197" w:rsidRDefault="00415508" w:rsidP="00CC7197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Виклад основного матеріалу дослідження</w:t>
      </w:r>
      <w:r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  <w:r w:rsidR="0075331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Банківський капітал відіграє домінуючу роль у забезпеченні стабільного розвитку банків України.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Залежно від його рівня достатності визначається спроможність банків покривати ризики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 проведення банківських операцій та їх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капітальна стійкість. Достатність капіталу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банків можна оцінювати через його спроможність виконувати основні властиві для нього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функції, які відповідно до Закону України «Про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банки і банківську діяльність» визначаються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захисн</w:t>
      </w:r>
      <w:r w:rsidR="00C65D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а, оперативна та регулятивна</w:t>
      </w:r>
      <w:r w:rsidR="00FE5BC0" w:rsidRPr="00FE5B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[1]</w:t>
      </w:r>
      <w:r w:rsidR="00CC7197" w:rsidRPr="00CC719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C6793" w:rsidRDefault="007C6793" w:rsidP="007C6793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вітчизняний, так і закордонний досвід засвідчують, що найбільшою проблемою при формуванні власного капіталу комерційного банку,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необхідного для нормальної діяльності банківських установ, є не збільшення капіталу, а визначення його оптимальної величини –для конкретного комерційного банку </w:t>
      </w:r>
      <w:proofErr w:type="spellStart"/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зврахуванням</w:t>
      </w:r>
      <w:proofErr w:type="spellEnd"/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різних факторів, таких як ризиковість розміщених активів, характеристика пасивних операцій, галузева приналежність клієнтів, структура власності тощо.</w:t>
      </w:r>
    </w:p>
    <w:p w:rsidR="00C742CA" w:rsidRDefault="007B080C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економічній літературі не існує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єдиногорозуміння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поняття «банківський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капітал»</w:t>
      </w:r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.А</w:t>
      </w:r>
      <w:proofErr w:type="spellEnd"/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Завгородній</w:t>
      </w:r>
      <w:proofErr w:type="spellEnd"/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вважає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це сукупність грошових капіталів (власних та залучених), якими оперує банк, що приносять прибуток [</w:t>
      </w:r>
      <w:r w:rsidR="000D3D90" w:rsidRPr="000D3D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212].</w:t>
      </w:r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ніверсальний бізнес-словник трактує це поняття як сукупний грошовий капітал, залучений банком із різних джерел, та </w:t>
      </w:r>
      <w:proofErr w:type="spellStart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використовуєтьсяним</w:t>
      </w:r>
      <w:proofErr w:type="spellEnd"/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проведення банківських операцій і утворює фінансові ресурси банку [</w:t>
      </w:r>
      <w:r w:rsidR="000D3D90" w:rsidRPr="000D3D9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404]</w:t>
      </w:r>
      <w:r w:rsidR="00B71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6A3266" w:rsidRPr="00BF55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Згідно із Законом України "Про банки і банківську діяльність" від 07.12.2000 за № 2121-ПІ (редакція від 10.06.2017) капітал банку - це власні кошти, залишкова вартість активів банку після вирах</w:t>
      </w:r>
      <w:r w:rsidR="00FE0A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ування всіх його зобов'язань. [</w:t>
      </w:r>
      <w:r w:rsidR="000D3D90" w:rsidRPr="009765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4</w:t>
      </w:r>
      <w:r w:rsidR="006A3266" w:rsidRPr="00BF55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, с.1]</w:t>
      </w:r>
      <w:r w:rsidR="00C742CA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C6793" w:rsidRPr="00BF55C0" w:rsidRDefault="007C6793" w:rsidP="007C6793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нашу думку к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апітал банку – це сукупність власних, залучених і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позичених коштів, що перебувають в розпорядженні банку та використовуються ним для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формування матеріальних, нематеріальних і фінансових активів в грошовій формі для здійснення своєї діяльності з метою отримання прибутку.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Виокремлення у складі капіталу банку окремих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елементів (власного, залученого та позиченого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капіталу) дає змогу зарахувати його до капіталу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функціоную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чого, а не лише посередницького. Г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оловна мета якого полягає у формуванні прибутку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банку, доходів його клієнтів у формі дивідендів і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відсотків та створенні сприятливих умов для подальшого розвитку банківської установи в економічній системі на ринкових принципах, пов’язаних</w:t>
      </w:r>
      <w:r w:rsidR="00D9552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факторами ча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су, ризику й ліквідності.</w:t>
      </w:r>
    </w:p>
    <w:p w:rsidR="007C6793" w:rsidRDefault="007C6793" w:rsidP="007C6793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6793">
        <w:rPr>
          <w:rFonts w:ascii="Times New Roman" w:hAnsi="Times New Roman" w:cs="Times New Roman"/>
          <w:sz w:val="28"/>
          <w:szCs w:val="28"/>
          <w:lang w:val="uk-UA"/>
        </w:rPr>
        <w:t>Жорсткі вимоги до якості, достатності та прозорості капіталу банків ставлять очевидну потребу переосмислення усієї довгострокової стратегії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розвитку вітчизняної банківської системи, а також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направлення зусиль на створення в нашій країні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насправді великих стійких фінансових інституцій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із капіталом, величина якого відповідатиме завданням щодо успішного протистояння негативним внутрішнім і зовнішнім факторам впливу на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розвиток українського банківського сектору та</w:t>
      </w:r>
      <w:r w:rsidR="00D95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врахування усіх можливих ризиків [</w:t>
      </w:r>
      <w:r w:rsidR="000D3D90" w:rsidRPr="000D3D9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C679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A05B3" w:rsidRPr="0097656D" w:rsidRDefault="007B080C" w:rsidP="007C6793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сучасному етапі, згідно з Зако</w:t>
      </w:r>
      <w:r w:rsidR="00A25621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ном України «Про спрощення про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цедур реорганізації та капіталізації банків» від 23.03.2017 та Постановою №58 «Про збільшення капіталу банків України» від 4 лютого 2016 року, НБУ зобов’язав банки поетапно зб</w:t>
      </w:r>
      <w:r w:rsidR="006E668D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ільшити капітал до 500 млн гри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вень – до 11 липня 2024 року (рис.</w:t>
      </w:r>
      <w:r w:rsidR="003A05B3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</w:t>
      </w:r>
    </w:p>
    <w:p w:rsidR="00585512" w:rsidRPr="0097656D" w:rsidRDefault="00585512" w:rsidP="007C6793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3029EE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noProof/>
          <w:color w:val="000000" w:themeColor="text1"/>
          <w:sz w:val="28"/>
          <w:szCs w:val="28"/>
          <w:lang w:val="uk-UA" w:eastAsia="uk-UA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613410</wp:posOffset>
                </wp:positionH>
                <wp:positionV relativeFrom="paragraph">
                  <wp:posOffset>-405765</wp:posOffset>
                </wp:positionV>
                <wp:extent cx="5076825" cy="2428875"/>
                <wp:effectExtent l="9525" t="9525" r="9525" b="9525"/>
                <wp:wrapNone/>
                <wp:docPr id="1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76825" cy="2428875"/>
                          <a:chOff x="1936" y="6315"/>
                          <a:chExt cx="8138" cy="4635"/>
                        </a:xfrm>
                      </wpg:grpSpPr>
                      <wps:wsp>
                        <wps:cNvPr id="2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6315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1C52E1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17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червня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2016 року у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120 млн. грн.</w:t>
                              </w:r>
                            </w:p>
                            <w:p w:rsidR="001C52E1" w:rsidRPr="001C52E1" w:rsidRDefault="001C52E1" w:rsidP="00907CBF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7125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1C52E1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11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липня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2017 року у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200 млн. грн.</w:t>
                              </w:r>
                            </w:p>
                            <w:p w:rsidR="001C52E1" w:rsidRPr="001C52E1" w:rsidRDefault="001C52E1" w:rsidP="001C52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7935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1C52E1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11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липня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2018 року у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300 млн. грн.</w:t>
                              </w:r>
                            </w:p>
                            <w:p w:rsidR="001C52E1" w:rsidRPr="001C52E1" w:rsidRDefault="001C52E1" w:rsidP="001C52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8745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907CBF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</w:t>
                              </w:r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11 </w:t>
                              </w:r>
                              <w:proofErr w:type="spellStart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липня</w:t>
                              </w:r>
                              <w:proofErr w:type="spellEnd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2019 року у </w:t>
                              </w:r>
                              <w:proofErr w:type="spellStart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="001C52E1"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400 млн. грн.</w:t>
                              </w:r>
                            </w:p>
                            <w:p w:rsidR="001C52E1" w:rsidRDefault="001C52E1" w:rsidP="001C52E1">
                              <w:pPr>
                                <w:pStyle w:val="a8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sz w:val="36"/>
                                  <w:szCs w:val="36"/>
                                  <w:lang w:val="ru-RU"/>
                                </w:rPr>
                                <w:t>400 млн. грн.</w:t>
                              </w:r>
                            </w:p>
                            <w:p w:rsidR="001C52E1" w:rsidRPr="001C52E1" w:rsidRDefault="001C52E1" w:rsidP="001C52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9570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1C52E1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11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липня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2020 року у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450 млн. грн.</w:t>
                              </w:r>
                            </w:p>
                            <w:p w:rsidR="001C52E1" w:rsidRPr="001C52E1" w:rsidRDefault="001C52E1" w:rsidP="001C52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205" y="10380"/>
                            <a:ext cx="7560" cy="5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52E1" w:rsidRPr="001C52E1" w:rsidRDefault="001C52E1" w:rsidP="00907CBF">
                              <w:pPr>
                                <w:pStyle w:val="a8"/>
                                <w:spacing w:before="0" w:beforeAutospacing="0" w:after="0" w:afterAutospacing="0"/>
                                <w:jc w:val="center"/>
                              </w:pPr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до 11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липня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2024 Року у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розмірі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не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менше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>ніж</w:t>
                              </w:r>
                              <w:proofErr w:type="spellEnd"/>
                              <w:r w:rsidRPr="001C52E1">
                                <w:rPr>
                                  <w:rFonts w:asciiTheme="minorHAnsi" w:hAnsi="Calibri" w:cstheme="minorBidi"/>
                                  <w:color w:val="000000" w:themeColor="dark1"/>
                                  <w:kern w:val="24"/>
                                  <w:lang w:val="ru-RU"/>
                                </w:rPr>
                                <w:t xml:space="preserve"> 500 млн. грн.</w:t>
                              </w:r>
                            </w:p>
                            <w:p w:rsidR="001C52E1" w:rsidRPr="001C52E1" w:rsidRDefault="001C52E1" w:rsidP="001C52E1">
                              <w:pPr>
                                <w:rPr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29"/>
                        <wps:cNvSpPr>
                          <a:spLocks noChangeArrowheads="1"/>
                        </wps:cNvSpPr>
                        <wps:spPr bwMode="auto">
                          <a:xfrm>
                            <a:off x="9765" y="6540"/>
                            <a:ext cx="309" cy="1020"/>
                          </a:xfrm>
                          <a:prstGeom prst="curvedLeftArrow">
                            <a:avLst>
                              <a:gd name="adj1" fmla="val 66019"/>
                              <a:gd name="adj2" fmla="val 132039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30"/>
                        <wps:cNvSpPr>
                          <a:spLocks noChangeArrowheads="1"/>
                        </wps:cNvSpPr>
                        <wps:spPr bwMode="auto">
                          <a:xfrm>
                            <a:off x="9765" y="8085"/>
                            <a:ext cx="309" cy="1020"/>
                          </a:xfrm>
                          <a:prstGeom prst="curvedLeftArrow">
                            <a:avLst>
                              <a:gd name="adj1" fmla="val 66019"/>
                              <a:gd name="adj2" fmla="val 132039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31"/>
                        <wps:cNvSpPr>
                          <a:spLocks noChangeArrowheads="1"/>
                        </wps:cNvSpPr>
                        <wps:spPr bwMode="auto">
                          <a:xfrm>
                            <a:off x="9765" y="9735"/>
                            <a:ext cx="309" cy="1020"/>
                          </a:xfrm>
                          <a:prstGeom prst="curvedLeftArrow">
                            <a:avLst>
                              <a:gd name="adj1" fmla="val 66019"/>
                              <a:gd name="adj2" fmla="val 132039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32"/>
                        <wps:cNvSpPr>
                          <a:spLocks noChangeArrowheads="1"/>
                        </wps:cNvSpPr>
                        <wps:spPr bwMode="auto">
                          <a:xfrm>
                            <a:off x="1936" y="7350"/>
                            <a:ext cx="269" cy="1020"/>
                          </a:xfrm>
                          <a:prstGeom prst="curvedRightArrow">
                            <a:avLst>
                              <a:gd name="adj1" fmla="val 75836"/>
                              <a:gd name="adj2" fmla="val 151673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33"/>
                        <wps:cNvSpPr>
                          <a:spLocks noChangeArrowheads="1"/>
                        </wps:cNvSpPr>
                        <wps:spPr bwMode="auto">
                          <a:xfrm>
                            <a:off x="1936" y="9000"/>
                            <a:ext cx="269" cy="1020"/>
                          </a:xfrm>
                          <a:prstGeom prst="curvedRightArrow">
                            <a:avLst>
                              <a:gd name="adj1" fmla="val 75836"/>
                              <a:gd name="adj2" fmla="val 151673"/>
                              <a:gd name="adj3" fmla="val 33333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" o:spid="_x0000_s1026" style="position:absolute;left:0;text-align:left;margin-left:48.3pt;margin-top:-31.95pt;width:399.75pt;height:191.25pt;z-index:251669504" coordorigin="1936,6315" coordsize="8138,4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3" o:spid="_x0000_s1027" type="#_x0000_t202" style="position:absolute;left:2205;top:6315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">
                  <v:textbox>
                    <w:txbxContent>
                      <w:p w:rsidR="001C52E1" w:rsidRPr="001C52E1" w:rsidRDefault="001C52E1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до 17 червня 2016 року у розмір</w:t>
                        </w:r>
                        <w:bookmarkStart w:id="1" w:name="_GoBack"/>
                        <w:bookmarkEnd w:id="1"/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і не менше ніж 120 млн. грн.</w:t>
                        </w:r>
                      </w:p>
                      <w:p w:rsidR="001C52E1" w:rsidRPr="001C52E1" w:rsidRDefault="001C52E1" w:rsidP="00907CBF">
                        <w:pPr>
                          <w:jc w:val="center"/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24" o:spid="_x0000_s1028" type="#_x0000_t202" style="position:absolute;left:2205;top:7125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">
                  <v:textbox>
                    <w:txbxContent>
                      <w:p w:rsidR="001C52E1" w:rsidRPr="001C52E1" w:rsidRDefault="001C52E1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до 11 липня 2017 року у розмірі не менше ніж 200 млн. грн.</w:t>
                        </w:r>
                      </w:p>
                      <w:p w:rsidR="001C52E1" w:rsidRPr="001C52E1" w:rsidRDefault="001C52E1" w:rsidP="001C52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25" o:spid="_x0000_s1029" type="#_x0000_t202" style="position:absolute;left:2205;top:7935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">
                  <v:textbox>
                    <w:txbxContent>
                      <w:p w:rsidR="001C52E1" w:rsidRPr="001C52E1" w:rsidRDefault="001C52E1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до 11 липня 2018 року у розмірі не менше ніж 300 млн. грн.</w:t>
                        </w:r>
                      </w:p>
                      <w:p w:rsidR="001C52E1" w:rsidRPr="001C52E1" w:rsidRDefault="001C52E1" w:rsidP="001C52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26" o:spid="_x0000_s1030" type="#_x0000_t202" style="position:absolute;left:2205;top:8745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">
                  <v:textbox>
                    <w:txbxContent>
                      <w:p w:rsidR="001C52E1" w:rsidRPr="001C52E1" w:rsidRDefault="00907CBF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 xml:space="preserve">до </w:t>
                        </w:r>
                        <w:r w:rsidR="001C52E1"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11 липня 2019 року у розмірі не менше ніж 400 млн. грн.</w:t>
                        </w:r>
                      </w:p>
                      <w:p w:rsidR="001C52E1" w:rsidRDefault="001C52E1" w:rsidP="001C52E1">
                        <w:pPr>
                          <w:pStyle w:val="a8"/>
                          <w:spacing w:before="0" w:beforeAutospacing="0" w:after="0" w:afterAutospacing="0"/>
                        </w:pPr>
                        <w:r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sz w:val="36"/>
                            <w:szCs w:val="36"/>
                            <w:lang w:val="ru-RU"/>
                          </w:rPr>
                          <w:t>400 млн. грн.</w:t>
                        </w:r>
                      </w:p>
                      <w:p w:rsidR="001C52E1" w:rsidRPr="001C52E1" w:rsidRDefault="001C52E1" w:rsidP="001C52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27" o:spid="_x0000_s1031" type="#_x0000_t202" style="position:absolute;left:2205;top:9570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">
                  <v:textbox>
                    <w:txbxContent>
                      <w:p w:rsidR="001C52E1" w:rsidRPr="001C52E1" w:rsidRDefault="001C52E1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до 11 липня 2020 року у розмірі не менше ніж 450 млн. грн.</w:t>
                        </w:r>
                      </w:p>
                      <w:p w:rsidR="001C52E1" w:rsidRPr="001C52E1" w:rsidRDefault="001C52E1" w:rsidP="001C52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 id="Text Box 28" o:spid="_x0000_s1032" type="#_x0000_t202" style="position:absolute;left:2205;top:10380;width:7560;height:5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">
                  <v:textbox>
                    <w:txbxContent>
                      <w:p w:rsidR="001C52E1" w:rsidRPr="001C52E1" w:rsidRDefault="001C52E1" w:rsidP="00907CBF">
                        <w:pPr>
                          <w:pStyle w:val="a8"/>
                          <w:spacing w:before="0" w:beforeAutospacing="0" w:after="0" w:afterAutospacing="0"/>
                          <w:jc w:val="center"/>
                        </w:pPr>
                        <w:r w:rsidRPr="001C52E1">
                          <w:rPr>
                            <w:rFonts w:asciiTheme="minorHAnsi" w:hAnsi="Calibri" w:cstheme="minorBidi"/>
                            <w:color w:val="000000" w:themeColor="dark1"/>
                            <w:kern w:val="24"/>
                            <w:lang w:val="ru-RU"/>
                          </w:rPr>
                          <w:t>до 11 липня 2024 Року у розмірі не менше ніж 500 млн. грн.</w:t>
                        </w:r>
                      </w:p>
                      <w:p w:rsidR="001C52E1" w:rsidRPr="001C52E1" w:rsidRDefault="001C52E1" w:rsidP="001C52E1">
                        <w:pPr>
                          <w:rPr>
                            <w:lang w:val="uk-UA"/>
                          </w:rPr>
                        </w:pPr>
                      </w:p>
                    </w:txbxContent>
                  </v:textbox>
                </v:shape>
                <v:shapetype id="_x0000_t103" coordsize="21600,21600" o:spt="103" adj="12960,19440,7200" path="wr@22,0@21@3,,0@21@4@22@14@21@1@21@7@2@12l@2@13,0@8@2@11at@22,0@21@3@2@10@24@16@22@14@21@1@24@16,0@14xear@22@14@21@1@21@7@24@16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ellipse #2 height @4"/>
                    <v:f eqn="sum @4 @9 0"/>
                    <v:f eqn="sum @10 #1 width"/>
                    <v:f eqn="sum @7 @9 0"/>
                    <v:f eqn="sum @11 width #0"/>
                    <v:f eqn="sum @5 0 #0"/>
                    <v:f eqn="prod @14 1 2"/>
                    <v:f eqn="mid @4 @7"/>
                    <v:f eqn="sum #0 #1 width"/>
                    <v:f eqn="prod @17 1 2"/>
                    <v:f eqn="sum @16 0 @18"/>
                    <v:f eqn="val width"/>
                    <v:f eqn="val height"/>
                    <v:f eqn="sum 0 0 height"/>
                    <v:f eqn="sum @16 0 @4"/>
                    <v:f eqn="ellipse @23 @4 height"/>
                    <v:f eqn="sum @8 128 0"/>
                    <v:f eqn="prod @5 1 2"/>
                    <v:f eqn="sum @5 0 128"/>
                    <v:f eqn="sum #0 @16 @11"/>
                    <v:f eqn="sum width 0 #0"/>
                    <v:f eqn="prod @29 1 2"/>
                    <v:f eqn="prod height height 1"/>
                    <v:f eqn="prod #2 #2 1"/>
                    <v:f eqn="sum @31 0 @32"/>
                    <v:f eqn="sqrt @33"/>
                    <v:f eqn="sum @34 height 0"/>
                    <v:f eqn="prod width height @35"/>
                    <v:f eqn="sum @36 64 0"/>
                    <v:f eqn="prod #0 1 2"/>
                    <v:f eqn="ellipse @30 @38 height"/>
                    <v:f eqn="sum @39 0 64"/>
                    <v:f eqn="prod @4 1 2"/>
                    <v:f eqn="sum #1 0 @41"/>
                    <v:f eqn="prod height 4390 32768"/>
                    <v:f eqn="prod height 28378 32768"/>
                  </v:formulas>
                  <v:path o:extrusionok="f" o:connecttype="custom" o:connectlocs="0,@15;@2,@11;0,@8;@2,@13;@21,@16" o:connectangles="180,180,180,90,0" textboxrect="@43,@41,@44,@42"/>
                  <v:handles>
                    <v:h position="topLeft,#0" yrange="@37,@27"/>
                    <v:h position="topLeft,#1" yrange="@25,@20"/>
                    <v:h position="#2,bottomRight" xrange="0,@40"/>
                  </v:handles>
                  <o:complex v:ext="view"/>
                </v:shapetype>
                <v:shape id="AutoShape 29" o:spid="_x0000_s1033" type="#_x0000_t103" style="position:absolute;left:9765;top:6540;width:30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"/>
                <v:shape id="AutoShape 30" o:spid="_x0000_s1034" type="#_x0000_t103" style="position:absolute;left:9765;top:8085;width:30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"/>
                <v:shape id="AutoShape 31" o:spid="_x0000_s1035" type="#_x0000_t103" style="position:absolute;left:9765;top:9735;width:30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"/>
                <v:shapetype id="_x0000_t102" coordsize="21600,21600" o:spt="102" adj="12960,19440,14400" path="ar,0@23@3@22,,0@4,0@15@23@1,0@7@2@13l@2@14@22@8@2@12wa,0@23@3@2@11@26@17,0@15@23@1@26@17@22@15xear,0@23@3,0@4@26@17nfe">
                  <v:stroke joinstyle="miter"/>
                  <v:formulas>
                    <v:f eqn="val #0"/>
                    <v:f eqn="val #1"/>
                    <v:f eqn="val #2"/>
                    <v:f eqn="sum #0 width #1"/>
                    <v:f eqn="prod @3 1 2"/>
                    <v:f eqn="sum #1 #1 width"/>
                    <v:f eqn="sum @5 #1 #0"/>
                    <v:f eqn="prod @6 1 2"/>
                    <v:f eqn="mid width #0"/>
                    <v:f eqn="sum height 0 #2"/>
                    <v:f eqn="ellipse @9 height @4"/>
                    <v:f eqn="sum @4 @10 0"/>
                    <v:f eqn="sum @11 #1 width"/>
                    <v:f eqn="sum @7 @10 0"/>
                    <v:f eqn="sum @12 width #0"/>
                    <v:f eqn="sum @5 0 #0"/>
                    <v:f eqn="prod @15 1 2"/>
                    <v:f eqn="mid @4 @7"/>
                    <v:f eqn="sum #0 #1 width"/>
                    <v:f eqn="prod @18 1 2"/>
                    <v:f eqn="sum @17 0 @19"/>
                    <v:f eqn="val width"/>
                    <v:f eqn="val height"/>
                    <v:f eqn="prod height 2 1"/>
                    <v:f eqn="sum @17 0 @4"/>
                    <v:f eqn="ellipse @24 @4 height"/>
                    <v:f eqn="sum height 0 @25"/>
                    <v:f eqn="sum @8 128 0"/>
                    <v:f eqn="prod @5 1 2"/>
                    <v:f eqn="sum @5 0 128"/>
                    <v:f eqn="sum #0 @17 @12"/>
                    <v:f eqn="ellipse @20 @4 height"/>
                    <v:f eqn="sum width 0 #0"/>
                    <v:f eqn="prod @32 1 2"/>
                    <v:f eqn="prod height height 1"/>
                    <v:f eqn="prod @9 @9 1"/>
                    <v:f eqn="sum @34 0 @35"/>
                    <v:f eqn="sqrt @36"/>
                    <v:f eqn="sum @37 height 0"/>
                    <v:f eqn="prod width height @38"/>
                    <v:f eqn="sum @39 64 0"/>
                    <v:f eqn="prod #0 1 2"/>
                    <v:f eqn="ellipse @33 @41 height"/>
                    <v:f eqn="sum height 0 @42"/>
                    <v:f eqn="sum @43 64 0"/>
                    <v:f eqn="prod @4 1 2"/>
                    <v:f eqn="sum #1 0 @45"/>
                    <v:f eqn="prod height 4390 32768"/>
                    <v:f eqn="prod height 28378 32768"/>
                  </v:formulas>
                  <v:path o:extrusionok="f" o:connecttype="custom" o:connectlocs="0,@17;@2,@14;@22,@8;@2,@12;@22,@16" o:connectangles="180,90,0,0,0" textboxrect="@47,@45,@48,@46"/>
                  <v:handles>
                    <v:h position="bottomRight,#0" yrange="@40,@29"/>
                    <v:h position="bottomRight,#1" yrange="@27,@21"/>
                    <v:h position="#2,bottomRight" xrange="@44,@22"/>
                  </v:handles>
                  <o:complex v:ext="view"/>
                </v:shapetype>
                <v:shape id="AutoShape 32" o:spid="_x0000_s1036" type="#_x0000_t102" style="position:absolute;left:1936;top:7350;width:26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"/>
                <v:shape id="AutoShape 33" o:spid="_x0000_s1037" type="#_x0000_t102" style="position:absolute;left:1936;top:9000;width:269;height:10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"/>
              </v:group>
            </w:pict>
          </mc:Fallback>
        </mc:AlternateContent>
      </w:r>
    </w:p>
    <w:p w:rsidR="001C52E1" w:rsidRPr="0097656D" w:rsidRDefault="001C52E1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585512" w:rsidRPr="0097656D" w:rsidRDefault="00585512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6E668D" w:rsidRPr="00BF55C0" w:rsidRDefault="0017791E" w:rsidP="00EA7D2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Рис. </w:t>
      </w:r>
      <w:r w:rsidR="003A05B3"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2</w:t>
      </w:r>
      <w:r w:rsidR="00585512" w:rsidRPr="0058551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Графік нарощення статутного капіталу банків</w:t>
      </w:r>
      <w:r w:rsidR="000D3D90" w:rsidRPr="000D3D90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України до липня 2024 р</w:t>
      </w:r>
      <w:r w:rsidR="00BF55C0" w:rsidRPr="00BF55C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оку</w:t>
      </w:r>
      <w:r w:rsidR="003A05B3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</w:t>
      </w:r>
      <w:r w:rsidR="000D3D90" w:rsidRPr="000D3D9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6F053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</w:p>
    <w:p w:rsidR="006F0535" w:rsidRPr="006F0535" w:rsidRDefault="006F0535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E668D" w:rsidRPr="00BF55C0" w:rsidRDefault="00EA7D25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7D25">
        <w:rPr>
          <w:rFonts w:ascii="Times New Roman" w:hAnsi="Times New Roman" w:cs="Times New Roman"/>
          <w:sz w:val="28"/>
          <w:szCs w:val="28"/>
          <w:lang w:val="uk-UA"/>
        </w:rPr>
        <w:t xml:space="preserve">Основним макроекономічним фактором, що спричинив зміни вимог до статутного капіталу, стала криза 2014–2015 рр. та підписання Угоди про </w:t>
      </w:r>
      <w:r w:rsidR="000D3D90">
        <w:rPr>
          <w:rFonts w:ascii="Times New Roman" w:hAnsi="Times New Roman" w:cs="Times New Roman"/>
          <w:sz w:val="28"/>
          <w:szCs w:val="28"/>
          <w:lang w:val="uk-UA"/>
        </w:rPr>
        <w:t>асоціацію України з ЄС [</w:t>
      </w:r>
      <w:r w:rsidR="000D3D90" w:rsidRPr="0097656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A7D25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742CA" w:rsidRPr="00D715B4" w:rsidRDefault="006E668D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55C0"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питання капіталізації банківської системи України, перш за все варто акцентувати увагу на динаміці показників власного, статутного і регулятивного капіталу, порівнювати темпи зростання капіталу та активів і вивчати дотримання банками нормативу </w:t>
      </w:r>
      <w:r w:rsidR="006F0535">
        <w:rPr>
          <w:rFonts w:ascii="Times New Roman" w:hAnsi="Times New Roman" w:cs="Times New Roman"/>
          <w:sz w:val="28"/>
          <w:szCs w:val="28"/>
          <w:lang w:val="uk-UA"/>
        </w:rPr>
        <w:t>достатності</w:t>
      </w:r>
      <w:r w:rsidRPr="00BF55C0">
        <w:rPr>
          <w:rFonts w:ascii="Times New Roman" w:hAnsi="Times New Roman" w:cs="Times New Roman"/>
          <w:sz w:val="28"/>
          <w:szCs w:val="28"/>
          <w:lang w:val="uk-UA"/>
        </w:rPr>
        <w:t xml:space="preserve"> регулятивного капіталу</w:t>
      </w:r>
      <w:r w:rsidR="00D715B4">
        <w:rPr>
          <w:rFonts w:ascii="Times New Roman" w:hAnsi="Times New Roman" w:cs="Times New Roman"/>
          <w:sz w:val="28"/>
          <w:szCs w:val="28"/>
          <w:lang w:val="uk-UA"/>
        </w:rPr>
        <w:t>(табл.</w:t>
      </w:r>
      <w:r w:rsidR="00D715B4" w:rsidRPr="00D715B4">
        <w:rPr>
          <w:rFonts w:ascii="Times New Roman" w:hAnsi="Times New Roman" w:cs="Times New Roman"/>
          <w:sz w:val="28"/>
          <w:szCs w:val="28"/>
          <w:lang w:val="uk-UA"/>
        </w:rPr>
        <w:t xml:space="preserve"> 1)</w:t>
      </w:r>
      <w:r w:rsidR="00BF55C0" w:rsidRPr="00BF55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63ED" w:rsidRPr="00D05A2C" w:rsidRDefault="00B263ED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D05A2C"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B263ED" w:rsidRPr="00D05A2C" w:rsidRDefault="00B263ED" w:rsidP="00EA7D25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A2C">
        <w:rPr>
          <w:rFonts w:ascii="Times New Roman" w:hAnsi="Times New Roman" w:cs="Times New Roman"/>
          <w:sz w:val="28"/>
          <w:szCs w:val="28"/>
          <w:lang w:val="uk-UA"/>
        </w:rPr>
        <w:t>Динаміка показників капіталу і активів банків України за 2016-2018 роки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87"/>
        <w:gridCol w:w="1909"/>
        <w:gridCol w:w="1652"/>
        <w:gridCol w:w="1880"/>
      </w:tblGrid>
      <w:tr w:rsidR="00B263ED" w:rsidRPr="00D05A2C" w:rsidTr="00D05A2C">
        <w:tc>
          <w:tcPr>
            <w:tcW w:w="4219" w:type="dxa"/>
          </w:tcPr>
          <w:p w:rsidR="00B263ED" w:rsidRPr="00F34109" w:rsidRDefault="00B263ED" w:rsidP="00F3410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Показник</w:t>
            </w:r>
            <w:r w:rsidR="00F34109" w:rsidRPr="00F341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и</w:t>
            </w:r>
          </w:p>
        </w:tc>
        <w:tc>
          <w:tcPr>
            <w:tcW w:w="1985" w:type="dxa"/>
          </w:tcPr>
          <w:p w:rsidR="00B263ED" w:rsidRPr="00F34109" w:rsidRDefault="00B263ED" w:rsidP="00F3410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2016рік</w:t>
            </w:r>
          </w:p>
        </w:tc>
        <w:tc>
          <w:tcPr>
            <w:tcW w:w="1701" w:type="dxa"/>
          </w:tcPr>
          <w:p w:rsidR="00B263ED" w:rsidRPr="00F34109" w:rsidRDefault="00B263ED" w:rsidP="00F3410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2017рік</w:t>
            </w:r>
          </w:p>
        </w:tc>
        <w:tc>
          <w:tcPr>
            <w:tcW w:w="1949" w:type="dxa"/>
          </w:tcPr>
          <w:p w:rsidR="00B263ED" w:rsidRPr="00F34109" w:rsidRDefault="00B263ED" w:rsidP="00F3410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2018рік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Активи, млн грн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1254 385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F14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1 333 831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C65DA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1 354 741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-темп росту,%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95,26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106,33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101,57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Регулятивний капітал, млн грн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130 974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BF14A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112 155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1230224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-темп росту,%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69,32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85,63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109,87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Власний капітал, млн грн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103 713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1700389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144 272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-темп росту,%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70,07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164,29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84,67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Статутний капітал, млн грн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206 387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4740410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  <w:t>507 226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-темп росту,%</w:t>
            </w:r>
          </w:p>
        </w:tc>
        <w:tc>
          <w:tcPr>
            <w:tcW w:w="1985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F34109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114,56</w:t>
            </w:r>
          </w:p>
        </w:tc>
        <w:tc>
          <w:tcPr>
            <w:tcW w:w="1701" w:type="dxa"/>
          </w:tcPr>
          <w:p w:rsidR="00BF14A9" w:rsidRPr="00F34109" w:rsidRDefault="00BF14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229,86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106,92</w:t>
            </w:r>
          </w:p>
        </w:tc>
      </w:tr>
      <w:tr w:rsidR="00BF14A9" w:rsidRPr="00D05A2C" w:rsidTr="00D05A2C">
        <w:tc>
          <w:tcPr>
            <w:tcW w:w="4219" w:type="dxa"/>
          </w:tcPr>
          <w:p w:rsidR="00BF14A9" w:rsidRPr="00F34109" w:rsidRDefault="00BF14A9" w:rsidP="00BF14A9">
            <w:pPr>
              <w:widowControl w:val="0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C719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Достатністьрегулятивногокапіталу</w:t>
            </w:r>
            <w:proofErr w:type="spellEnd"/>
            <w:r w:rsidRPr="00CC719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(Н2), %</w:t>
            </w:r>
          </w:p>
        </w:tc>
        <w:tc>
          <w:tcPr>
            <w:tcW w:w="1985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12,74</w:t>
            </w:r>
          </w:p>
        </w:tc>
        <w:tc>
          <w:tcPr>
            <w:tcW w:w="1701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15,35</w:t>
            </w:r>
          </w:p>
        </w:tc>
        <w:tc>
          <w:tcPr>
            <w:tcW w:w="1949" w:type="dxa"/>
          </w:tcPr>
          <w:p w:rsidR="00BF14A9" w:rsidRPr="00F34109" w:rsidRDefault="00C65DA9" w:rsidP="00BF14A9">
            <w:pPr>
              <w:widowControl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15,84</w:t>
            </w:r>
          </w:p>
        </w:tc>
      </w:tr>
    </w:tbl>
    <w:p w:rsidR="00F34109" w:rsidRPr="006F0535" w:rsidRDefault="006F0535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F0535">
        <w:rPr>
          <w:rFonts w:ascii="Times New Roman" w:hAnsi="Times New Roman" w:cs="Times New Roman"/>
          <w:sz w:val="24"/>
          <w:szCs w:val="24"/>
          <w:lang w:val="uk-UA"/>
        </w:rPr>
        <w:t xml:space="preserve">Джерело: систематизовано автором на основі </w:t>
      </w:r>
      <w:r w:rsidRPr="006F0535">
        <w:rPr>
          <w:rFonts w:ascii="Times New Roman" w:hAnsi="Times New Roman" w:cs="Times New Roman"/>
          <w:sz w:val="24"/>
          <w:szCs w:val="24"/>
        </w:rPr>
        <w:t>[</w:t>
      </w:r>
      <w:r w:rsidR="000D3D90" w:rsidRPr="000D3D90">
        <w:rPr>
          <w:rFonts w:ascii="Times New Roman" w:hAnsi="Times New Roman" w:cs="Times New Roman"/>
          <w:sz w:val="24"/>
          <w:szCs w:val="24"/>
        </w:rPr>
        <w:t>6</w:t>
      </w:r>
      <w:r w:rsidRPr="006F0535">
        <w:rPr>
          <w:rFonts w:ascii="Times New Roman" w:hAnsi="Times New Roman" w:cs="Times New Roman"/>
          <w:sz w:val="24"/>
          <w:szCs w:val="24"/>
        </w:rPr>
        <w:t>]</w:t>
      </w:r>
    </w:p>
    <w:p w:rsidR="006F0535" w:rsidRDefault="006F0535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5A2C" w:rsidRPr="00907CBF" w:rsidRDefault="00D715B4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Станом на початок 2017-2018 роках ст</w:t>
      </w:r>
      <w:r w:rsidR="00FE5BC0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атутний капітал практично тричі</w:t>
      </w:r>
      <w:r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перевищує розмір власного капіталу</w:t>
      </w:r>
      <w:r w:rsidR="00907CBF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найбільший приріст був у 2017 році</w:t>
      </w:r>
      <w:r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зумовлено рекордними збитками банків України</w:t>
      </w:r>
      <w:r w:rsidR="000D3D90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Натомість активи у період з 2016 до 2018рр. збільшувались і становили наприкінці року 1 354 741 млн.</w:t>
      </w:r>
      <w:r w:rsid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D3D90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грн</w:t>
      </w:r>
      <w:r w:rsidR="00907CBF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07CBF" w:rsidRPr="00907CBF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0D3D90" w:rsidRPr="00907C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C65DA9" w:rsidRDefault="00BF14A9" w:rsidP="00C65DA9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Регулятивний капітал у 2017 році</w:t>
      </w:r>
      <w:r w:rsidR="00907C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порівняно з 2016 роком зменшився на 22,86%</w:t>
      </w:r>
      <w:r w:rsidRPr="00BF14A9">
        <w:rPr>
          <w:rFonts w:ascii="Times New Roman" w:hAnsi="Times New Roman" w:cs="Times New Roman"/>
          <w:sz w:val="28"/>
          <w:szCs w:val="28"/>
          <w:lang w:val="uk-UA"/>
        </w:rPr>
        <w:t xml:space="preserve">,що було зумовлено як суттєвим зменшенням кількості банківських установ, так і недостатньою капіталізацією банків.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вже у 2018 році цей показник зростає до </w:t>
      </w:r>
      <w:r w:rsidR="00C65DA9">
        <w:rPr>
          <w:rFonts w:ascii="Times New Roman" w:hAnsi="Times New Roman" w:cs="Times New Roman"/>
          <w:sz w:val="28"/>
          <w:szCs w:val="28"/>
          <w:lang w:val="uk-UA"/>
        </w:rPr>
        <w:t>109,87%. Ф</w:t>
      </w:r>
      <w:r w:rsidR="00C65DA9" w:rsidRPr="00C65DA9">
        <w:rPr>
          <w:rFonts w:ascii="Times New Roman" w:hAnsi="Times New Roman" w:cs="Times New Roman"/>
          <w:sz w:val="28"/>
          <w:szCs w:val="28"/>
          <w:lang w:val="uk-UA"/>
        </w:rPr>
        <w:t>актичний</w:t>
      </w:r>
      <w:r w:rsidR="00907C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DA9" w:rsidRPr="00C65DA9">
        <w:rPr>
          <w:rFonts w:ascii="Times New Roman" w:hAnsi="Times New Roman" w:cs="Times New Roman"/>
          <w:sz w:val="28"/>
          <w:szCs w:val="28"/>
          <w:lang w:val="uk-UA"/>
        </w:rPr>
        <w:t xml:space="preserve">показник Н2 </w:t>
      </w:r>
      <w:r w:rsidR="00C65DA9">
        <w:rPr>
          <w:rFonts w:ascii="Times New Roman" w:hAnsi="Times New Roman" w:cs="Times New Roman"/>
          <w:sz w:val="28"/>
          <w:szCs w:val="28"/>
          <w:lang w:val="uk-UA"/>
        </w:rPr>
        <w:t xml:space="preserve">протягом всього </w:t>
      </w:r>
      <w:r w:rsidR="00C65DA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аналізованого періоду </w:t>
      </w:r>
      <w:r w:rsidR="00C65DA9" w:rsidRPr="00C65DA9">
        <w:rPr>
          <w:rFonts w:ascii="Times New Roman" w:hAnsi="Times New Roman" w:cs="Times New Roman"/>
          <w:sz w:val="28"/>
          <w:szCs w:val="28"/>
          <w:lang w:val="uk-UA"/>
        </w:rPr>
        <w:t xml:space="preserve">є вищим за нормативне </w:t>
      </w:r>
      <w:proofErr w:type="spellStart"/>
      <w:r w:rsidR="00C65DA9" w:rsidRPr="00C65DA9">
        <w:rPr>
          <w:rFonts w:ascii="Times New Roman" w:hAnsi="Times New Roman" w:cs="Times New Roman"/>
          <w:sz w:val="28"/>
          <w:szCs w:val="28"/>
          <w:lang w:val="uk-UA"/>
        </w:rPr>
        <w:t>значенняв</w:t>
      </w:r>
      <w:proofErr w:type="spellEnd"/>
      <w:r w:rsidR="00C65DA9" w:rsidRPr="00C65DA9">
        <w:rPr>
          <w:rFonts w:ascii="Times New Roman" w:hAnsi="Times New Roman" w:cs="Times New Roman"/>
          <w:sz w:val="28"/>
          <w:szCs w:val="28"/>
          <w:lang w:val="uk-UA"/>
        </w:rPr>
        <w:t xml:space="preserve"> платоспроможних банках України, </w:t>
      </w:r>
      <w:r w:rsidR="00C65DA9">
        <w:rPr>
          <w:rFonts w:ascii="Times New Roman" w:hAnsi="Times New Roman" w:cs="Times New Roman"/>
          <w:sz w:val="28"/>
          <w:szCs w:val="28"/>
          <w:lang w:val="uk-UA"/>
        </w:rPr>
        <w:t>а саме у 2016 році – 12,74%, у 2017 році – 15,35%, у 2018 році – 15,84%.</w:t>
      </w:r>
    </w:p>
    <w:p w:rsidR="00C65DA9" w:rsidRDefault="00C65DA9" w:rsidP="00C65DA9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5DA9">
        <w:rPr>
          <w:rFonts w:ascii="Times New Roman" w:hAnsi="Times New Roman" w:cs="Times New Roman"/>
          <w:sz w:val="28"/>
          <w:szCs w:val="28"/>
          <w:lang w:val="uk-UA"/>
        </w:rPr>
        <w:t>Підвищення капіталізації</w:t>
      </w:r>
      <w:r w:rsidR="00907C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5DA9">
        <w:rPr>
          <w:rFonts w:ascii="Times New Roman" w:hAnsi="Times New Roman" w:cs="Times New Roman"/>
          <w:sz w:val="28"/>
          <w:szCs w:val="28"/>
          <w:lang w:val="uk-UA"/>
        </w:rPr>
        <w:t>банківської системи також сприятиме зростанню її конкурентоспроможності та опосередковано вдосконалить організаційну структуру банківської системи шляхом консолідації</w:t>
      </w:r>
      <w:r w:rsidR="000D3D90" w:rsidRPr="000D3D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65DA9">
        <w:rPr>
          <w:rFonts w:ascii="Times New Roman" w:hAnsi="Times New Roman" w:cs="Times New Roman"/>
          <w:sz w:val="28"/>
          <w:szCs w:val="28"/>
          <w:lang w:val="uk-UA"/>
        </w:rPr>
        <w:t>банківського капіталу.</w:t>
      </w:r>
    </w:p>
    <w:p w:rsidR="00D05A2C" w:rsidRPr="00D05A2C" w:rsidRDefault="00D05A2C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5A2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Висновки. </w:t>
      </w:r>
      <w:r w:rsidRPr="00D05A2C">
        <w:rPr>
          <w:rFonts w:ascii="Times New Roman" w:hAnsi="Times New Roman" w:cs="Times New Roman"/>
          <w:sz w:val="28"/>
          <w:szCs w:val="28"/>
          <w:lang w:val="uk-UA"/>
        </w:rPr>
        <w:t>Капітал банку є вагомим чинником економічної ефективності комерційного банку, оскільки він пливає на фінансову стійкість та стабільність банківської установи. З огляду на це капітал банку є рушійним важелем розвитку банківського сектору в країні. Важливого значення у сучасних умовах набуває проблема формування оптимальної структури капіталу банку. З метою оптимізації капіталу необхідно чітко визначити цілі та завдання розвитку банківської установи, що вимагає подальшого вдосконалення механізму формування капіталу банку, в якому існує тісний взаємозв’язок елементів.</w:t>
      </w:r>
    </w:p>
    <w:p w:rsidR="00D05A2C" w:rsidRDefault="00D05A2C" w:rsidP="00EA7D25">
      <w:pPr>
        <w:widowControl w:val="0"/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6E668D" w:rsidRDefault="00D05A2C" w:rsidP="00E0434A">
      <w:pPr>
        <w:widowControl w:val="0"/>
        <w:spacing w:line="360" w:lineRule="auto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proofErr w:type="spellStart"/>
      <w:r w:rsidRPr="00D05A2C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="009D67EE" w:rsidRPr="00D05A2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: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97656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</w:t>
      </w:r>
      <w:r w:rsidR="00FE5BC0" w:rsidRPr="00BF55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 </w:t>
      </w:r>
      <w:proofErr w:type="spellStart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Прасолова</w:t>
      </w:r>
      <w:proofErr w:type="spellEnd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С. П. Банківські операції [Текст]: </w:t>
      </w:r>
      <w:proofErr w:type="spellStart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навч</w:t>
      </w:r>
      <w:proofErr w:type="spellEnd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</w:t>
      </w:r>
      <w:proofErr w:type="spellStart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посіб</w:t>
      </w:r>
      <w:proofErr w:type="spellEnd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та </w:t>
      </w:r>
      <w:proofErr w:type="spellStart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практ</w:t>
      </w:r>
      <w:proofErr w:type="spellEnd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/ С. П. </w:t>
      </w:r>
      <w:proofErr w:type="spellStart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Прасолова</w:t>
      </w:r>
      <w:proofErr w:type="spellEnd"/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О. С. Вовченко — К. : «Це</w:t>
      </w:r>
      <w:r w:rsidR="00FE5B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нтр учбової літератури», 2013. –</w:t>
      </w:r>
      <w:r w:rsidR="00FE5BC0" w:rsidRPr="006E66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568 с.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D3D90">
        <w:rPr>
          <w:rFonts w:ascii="Times New Roman" w:eastAsia="ArialMT" w:hAnsi="Times New Roman" w:cs="Times New Roman"/>
          <w:color w:val="000000" w:themeColor="text1"/>
          <w:sz w:val="28"/>
          <w:szCs w:val="28"/>
        </w:rPr>
        <w:t>2</w:t>
      </w:r>
      <w:r w:rsidR="00FE5B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Завгородній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 А. Фінансовий словник / А.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Завгородній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, Г. Вознюк, Т.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Смовженко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. – 3-тє вид.,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випр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. та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доп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. – К.: Знання, 2000. – 587 с.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D3D90">
        <w:rPr>
          <w:rFonts w:ascii="Times New Roman" w:eastAsia="ArialMT" w:hAnsi="Times New Roman" w:cs="Times New Roman"/>
          <w:color w:val="000000" w:themeColor="text1"/>
          <w:sz w:val="28"/>
          <w:szCs w:val="28"/>
        </w:rPr>
        <w:t>3</w:t>
      </w:r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Лозовский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 Л.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Универсальный</w:t>
      </w:r>
      <w:proofErr w:type="spellEnd"/>
      <w:r w:rsidR="00D95523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бизнес-словарь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 / Л.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Лозовский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, Б.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Райзберг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Л.Ратновский</w:t>
      </w:r>
      <w:proofErr w:type="spellEnd"/>
      <w:r w:rsidR="00FE5BC0" w:rsidRPr="00BF55C0">
        <w:rPr>
          <w:rFonts w:ascii="Times New Roman" w:eastAsia="ArialMT" w:hAnsi="Times New Roman" w:cs="Times New Roman"/>
          <w:color w:val="000000" w:themeColor="text1"/>
          <w:sz w:val="28"/>
          <w:szCs w:val="28"/>
          <w:lang w:val="uk-UA"/>
        </w:rPr>
        <w:t>. – М.: ИНФРА – М, 1997. – 640 с.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D3D90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FE5BC0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Закон України "Про банки і банківську діяльність" від 07.12.2000 № 2121-ІП (Редакція від 10.06.2017) [Електронний ресурс]. - Режим доступу: </w:t>
      </w:r>
      <w:hyperlink r:id="rId6" w:history="1"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 w:eastAsia="en-US"/>
          </w:rPr>
          <w:t>http://zakon</w:t>
        </w:r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1</w:t>
        </w:r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 w:eastAsia="en-US"/>
          </w:rPr>
          <w:t>.rada</w:t>
        </w:r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 w:eastAsia="en-US"/>
          </w:rPr>
          <w:t>gov.ua/laws/show/2121-14</w:t>
        </w:r>
      </w:hyperlink>
    </w:p>
    <w:p w:rsidR="00FE5BC0" w:rsidRPr="00FE0A97" w:rsidRDefault="000D3D90" w:rsidP="00FE5BC0">
      <w:pPr>
        <w:widowControl w:val="0"/>
        <w:autoSpaceDE w:val="0"/>
        <w:autoSpaceDN w:val="0"/>
        <w:adjustRightInd w:val="0"/>
        <w:spacing w:after="0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D3D90">
        <w:rPr>
          <w:rFonts w:ascii="Times New Roman" w:eastAsia="ArialMT" w:hAnsi="Times New Roman" w:cs="Times New Roman"/>
          <w:sz w:val="28"/>
          <w:szCs w:val="28"/>
        </w:rPr>
        <w:t>5</w:t>
      </w:r>
      <w:r w:rsidR="00FE5BC0" w:rsidRPr="00FE0A97">
        <w:rPr>
          <w:rFonts w:ascii="Times New Roman" w:eastAsia="ArialMT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Алексеєнко</w:t>
      </w:r>
      <w:proofErr w:type="spellEnd"/>
      <w:r w:rsidR="00FE5BC0" w:rsidRPr="00FE0A97">
        <w:rPr>
          <w:rFonts w:ascii="Times New Roman" w:eastAsia="ArialMT" w:hAnsi="Times New Roman" w:cs="Times New Roman"/>
          <w:sz w:val="28"/>
          <w:szCs w:val="28"/>
        </w:rPr>
        <w:t xml:space="preserve"> М.Д. </w:t>
      </w:r>
      <w:proofErr w:type="spellStart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Капітал</w:t>
      </w:r>
      <w:proofErr w:type="spellEnd"/>
      <w:r w:rsidR="00FE5BC0" w:rsidRPr="00FE0A97">
        <w:rPr>
          <w:rFonts w:ascii="Times New Roman" w:eastAsia="ArialMT" w:hAnsi="Times New Roman" w:cs="Times New Roman"/>
          <w:sz w:val="28"/>
          <w:szCs w:val="28"/>
        </w:rPr>
        <w:t xml:space="preserve"> банку: </w:t>
      </w:r>
      <w:proofErr w:type="spellStart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питання</w:t>
      </w:r>
      <w:proofErr w:type="spellEnd"/>
      <w:r w:rsidR="00D95523">
        <w:rPr>
          <w:rFonts w:ascii="Times New Roman" w:eastAsia="ArialMT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теорії</w:t>
      </w:r>
      <w:proofErr w:type="spellEnd"/>
      <w:r w:rsidR="00FE5BC0" w:rsidRPr="00FE0A97">
        <w:rPr>
          <w:rFonts w:ascii="Times New Roman" w:eastAsia="ArialMT" w:hAnsi="Times New Roman" w:cs="Times New Roman"/>
          <w:sz w:val="28"/>
          <w:szCs w:val="28"/>
        </w:rPr>
        <w:t xml:space="preserve"> і практики: </w:t>
      </w:r>
      <w:proofErr w:type="spellStart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Монографія</w:t>
      </w:r>
      <w:proofErr w:type="spellEnd"/>
      <w:r w:rsidR="00FE5BC0" w:rsidRPr="00FE0A97">
        <w:rPr>
          <w:rFonts w:ascii="Times New Roman" w:eastAsia="ArialMT" w:hAnsi="Times New Roman" w:cs="Times New Roman"/>
          <w:sz w:val="28"/>
          <w:szCs w:val="28"/>
        </w:rPr>
        <w:t>. – К.: КНЕУ</w:t>
      </w:r>
      <w:r w:rsidR="00FE5BC0">
        <w:rPr>
          <w:rFonts w:ascii="Times New Roman" w:eastAsia="ArialMT" w:hAnsi="Times New Roman" w:cs="Times New Roman"/>
          <w:sz w:val="28"/>
          <w:szCs w:val="28"/>
        </w:rPr>
        <w:t>, 20</w:t>
      </w:r>
      <w:r w:rsidR="00FE5BC0" w:rsidRPr="00FE0A97">
        <w:rPr>
          <w:rFonts w:ascii="Times New Roman" w:eastAsia="ArialMT" w:hAnsi="Times New Roman" w:cs="Times New Roman"/>
          <w:sz w:val="28"/>
          <w:szCs w:val="28"/>
        </w:rPr>
        <w:t>10. – 276 с. ISBN 966-574-393-7.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0D3D9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FE5BC0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Офіційний сайт Національного банку України / [Електронний ресурс]. – Режим доступу: http://www.bank.gov.ua.</w:t>
      </w:r>
    </w:p>
    <w:p w:rsidR="00FE5BC0" w:rsidRPr="00BF55C0" w:rsidRDefault="000D3D90" w:rsidP="00FE5BC0">
      <w:pPr>
        <w:widowControl w:val="0"/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 w:rsidRPr="000D3D90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FE5BC0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Закон України «Про спрощення процедур реорганізації та капіталізації </w:t>
      </w:r>
      <w:r w:rsidR="00FE5BC0" w:rsidRPr="00BF55C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банків» від 23.03.2017 р.№ 1985-19 [Електронний ресурс]. – Режим доступу : </w:t>
      </w:r>
      <w:hyperlink r:id="rId7" w:history="1">
        <w:r w:rsidR="00FE5BC0" w:rsidRPr="00BF55C0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http://zakon5.rada.gov.ua/laws/show/1985-19</w:t>
        </w:r>
      </w:hyperlink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:rsidR="00B71B8F" w:rsidRPr="00BF55C0" w:rsidRDefault="00B71B8F" w:rsidP="00EA7D25">
      <w:pPr>
        <w:widowControl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sectPr w:rsidR="00B71B8F" w:rsidRPr="00BF55C0" w:rsidSect="00BF55C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2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3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4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5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6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7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8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508"/>
    <w:rsid w:val="000D3D90"/>
    <w:rsid w:val="0017587C"/>
    <w:rsid w:val="0017791E"/>
    <w:rsid w:val="001A4CA4"/>
    <w:rsid w:val="001C52E1"/>
    <w:rsid w:val="001C7211"/>
    <w:rsid w:val="003029EE"/>
    <w:rsid w:val="00346D48"/>
    <w:rsid w:val="00374516"/>
    <w:rsid w:val="00394387"/>
    <w:rsid w:val="003A05B3"/>
    <w:rsid w:val="00415508"/>
    <w:rsid w:val="00484F0E"/>
    <w:rsid w:val="00585512"/>
    <w:rsid w:val="00670426"/>
    <w:rsid w:val="006A3266"/>
    <w:rsid w:val="006E668D"/>
    <w:rsid w:val="006F0535"/>
    <w:rsid w:val="00701E17"/>
    <w:rsid w:val="00753318"/>
    <w:rsid w:val="007B080C"/>
    <w:rsid w:val="007C6793"/>
    <w:rsid w:val="00907CBF"/>
    <w:rsid w:val="0097656D"/>
    <w:rsid w:val="009D67EE"/>
    <w:rsid w:val="00A25621"/>
    <w:rsid w:val="00A333BE"/>
    <w:rsid w:val="00B263ED"/>
    <w:rsid w:val="00B64960"/>
    <w:rsid w:val="00B71B8F"/>
    <w:rsid w:val="00BF14A9"/>
    <w:rsid w:val="00BF55C0"/>
    <w:rsid w:val="00C65DA9"/>
    <w:rsid w:val="00C742CA"/>
    <w:rsid w:val="00CC40A5"/>
    <w:rsid w:val="00CC7197"/>
    <w:rsid w:val="00D05A2C"/>
    <w:rsid w:val="00D715B4"/>
    <w:rsid w:val="00D95523"/>
    <w:rsid w:val="00E0434A"/>
    <w:rsid w:val="00E71A56"/>
    <w:rsid w:val="00EA7D25"/>
    <w:rsid w:val="00F33BE5"/>
    <w:rsid w:val="00F34109"/>
    <w:rsid w:val="00F703C0"/>
    <w:rsid w:val="00FE0A97"/>
    <w:rsid w:val="00FE5B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F0CD9"/>
  <w15:docId w15:val="{E3C7B5F6-9228-4893-9828-FA57A75E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3B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0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08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D67EE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D67EE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B263E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Normal (Web)"/>
    <w:basedOn w:val="a"/>
    <w:uiPriority w:val="99"/>
    <w:semiHidden/>
    <w:unhideWhenUsed/>
    <w:rsid w:val="00E0434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zakon5.rada.gov.ua/laws/show/1985-1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zakon1.rada.gov.ua/laws/show/2121-1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73EB9-3F6B-4731-932E-EF8A60355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5866</Words>
  <Characters>3344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</dc:creator>
  <cp:keywords/>
  <dc:description/>
  <cp:lastModifiedBy>АЛИНА</cp:lastModifiedBy>
  <cp:revision>4</cp:revision>
  <dcterms:created xsi:type="dcterms:W3CDTF">2019-11-10T15:05:00Z</dcterms:created>
  <dcterms:modified xsi:type="dcterms:W3CDTF">2020-01-08T22:24:00Z</dcterms:modified>
</cp:coreProperties>
</file>