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4964" w:rsidRPr="003E2520" w:rsidRDefault="00C44964" w:rsidP="003E2520">
      <w:pPr>
        <w:spacing w:after="0" w:line="240" w:lineRule="auto"/>
        <w:ind w:left="-284" w:right="566" w:firstLine="710"/>
        <w:jc w:val="right"/>
        <w:rPr>
          <w:rFonts w:ascii="Times New Roman" w:hAnsi="Times New Roman"/>
          <w:sz w:val="18"/>
          <w:szCs w:val="18"/>
        </w:rPr>
      </w:pPr>
      <w:r w:rsidRPr="003E2520">
        <w:rPr>
          <w:rFonts w:ascii="Times New Roman" w:hAnsi="Times New Roman"/>
          <w:sz w:val="18"/>
          <w:szCs w:val="18"/>
        </w:rPr>
        <w:t>КРАВЧУК СТЕПАН ЙОСИПОВИЧ</w:t>
      </w:r>
    </w:p>
    <w:p w:rsidR="00C44964" w:rsidRPr="003E2520" w:rsidRDefault="006A3454" w:rsidP="003E2520">
      <w:pPr>
        <w:spacing w:after="0" w:line="240" w:lineRule="auto"/>
        <w:ind w:left="-284" w:right="566" w:firstLine="710"/>
        <w:jc w:val="right"/>
        <w:rPr>
          <w:rFonts w:ascii="Times New Roman" w:hAnsi="Times New Roman"/>
          <w:sz w:val="18"/>
          <w:szCs w:val="18"/>
        </w:rPr>
      </w:pPr>
      <w:r w:rsidRPr="003E2520">
        <w:rPr>
          <w:rFonts w:ascii="Times New Roman" w:hAnsi="Times New Roman"/>
          <w:sz w:val="18"/>
          <w:szCs w:val="18"/>
        </w:rPr>
        <w:t>старший викладач</w:t>
      </w:r>
      <w:r w:rsidR="00C44964" w:rsidRPr="003E2520">
        <w:rPr>
          <w:rFonts w:ascii="Times New Roman" w:hAnsi="Times New Roman"/>
          <w:sz w:val="18"/>
          <w:szCs w:val="18"/>
        </w:rPr>
        <w:t xml:space="preserve"> кафедри права</w:t>
      </w:r>
    </w:p>
    <w:p w:rsidR="003E2520" w:rsidRDefault="00C44964" w:rsidP="003E2520">
      <w:pPr>
        <w:spacing w:after="0" w:line="240" w:lineRule="auto"/>
        <w:ind w:left="-284" w:right="566" w:firstLine="710"/>
        <w:jc w:val="right"/>
        <w:rPr>
          <w:rFonts w:ascii="Times New Roman" w:hAnsi="Times New Roman"/>
          <w:sz w:val="18"/>
          <w:szCs w:val="18"/>
        </w:rPr>
      </w:pPr>
      <w:r w:rsidRPr="003E2520">
        <w:rPr>
          <w:rFonts w:ascii="Times New Roman" w:hAnsi="Times New Roman"/>
          <w:sz w:val="18"/>
          <w:szCs w:val="18"/>
        </w:rPr>
        <w:t>Хмельницького національного університету</w:t>
      </w:r>
      <w:r w:rsidR="003E2520">
        <w:rPr>
          <w:rFonts w:ascii="Times New Roman" w:hAnsi="Times New Roman"/>
          <w:sz w:val="18"/>
          <w:szCs w:val="18"/>
        </w:rPr>
        <w:t>,</w:t>
      </w:r>
    </w:p>
    <w:p w:rsidR="00C44964" w:rsidRPr="003E2520" w:rsidRDefault="003E2520" w:rsidP="003E2520">
      <w:pPr>
        <w:spacing w:after="0" w:line="240" w:lineRule="auto"/>
        <w:ind w:left="-284" w:right="566" w:firstLine="710"/>
        <w:jc w:val="right"/>
        <w:rPr>
          <w:rFonts w:ascii="Times New Roman" w:hAnsi="Times New Roman"/>
          <w:sz w:val="18"/>
          <w:szCs w:val="18"/>
        </w:rPr>
      </w:pPr>
      <w:r w:rsidRPr="003E2520">
        <w:rPr>
          <w:rFonts w:ascii="Times New Roman" w:hAnsi="Times New Roman"/>
          <w:sz w:val="18"/>
          <w:szCs w:val="18"/>
        </w:rPr>
        <w:t>к</w:t>
      </w:r>
      <w:r>
        <w:rPr>
          <w:rFonts w:ascii="Times New Roman" w:hAnsi="Times New Roman"/>
          <w:sz w:val="18"/>
          <w:szCs w:val="18"/>
        </w:rPr>
        <w:t>анд</w:t>
      </w:r>
      <w:r w:rsidRPr="003E2520">
        <w:rPr>
          <w:rFonts w:ascii="Times New Roman" w:hAnsi="Times New Roman"/>
          <w:sz w:val="18"/>
          <w:szCs w:val="18"/>
        </w:rPr>
        <w:t>.</w:t>
      </w:r>
      <w:r w:rsidR="00EE5C54">
        <w:rPr>
          <w:rFonts w:ascii="Times New Roman" w:hAnsi="Times New Roman"/>
          <w:sz w:val="18"/>
          <w:szCs w:val="18"/>
        </w:rPr>
        <w:t xml:space="preserve"> </w:t>
      </w:r>
      <w:r w:rsidRPr="003E2520">
        <w:rPr>
          <w:rFonts w:ascii="Times New Roman" w:hAnsi="Times New Roman"/>
          <w:sz w:val="18"/>
          <w:szCs w:val="18"/>
        </w:rPr>
        <w:t>ю</w:t>
      </w:r>
      <w:r>
        <w:rPr>
          <w:rFonts w:ascii="Times New Roman" w:hAnsi="Times New Roman"/>
          <w:sz w:val="18"/>
          <w:szCs w:val="18"/>
        </w:rPr>
        <w:t>рид</w:t>
      </w:r>
      <w:r w:rsidRPr="003E2520">
        <w:rPr>
          <w:rFonts w:ascii="Times New Roman" w:hAnsi="Times New Roman"/>
          <w:sz w:val="18"/>
          <w:szCs w:val="18"/>
        </w:rPr>
        <w:t>.</w:t>
      </w:r>
      <w:r w:rsidR="00EE5C54">
        <w:rPr>
          <w:rFonts w:ascii="Times New Roman" w:hAnsi="Times New Roman"/>
          <w:sz w:val="18"/>
          <w:szCs w:val="18"/>
        </w:rPr>
        <w:t xml:space="preserve"> </w:t>
      </w:r>
      <w:r w:rsidRPr="003E2520">
        <w:rPr>
          <w:rFonts w:ascii="Times New Roman" w:hAnsi="Times New Roman"/>
          <w:sz w:val="18"/>
          <w:szCs w:val="18"/>
        </w:rPr>
        <w:t>н</w:t>
      </w:r>
      <w:r>
        <w:rPr>
          <w:rFonts w:ascii="Times New Roman" w:hAnsi="Times New Roman"/>
          <w:sz w:val="18"/>
          <w:szCs w:val="18"/>
        </w:rPr>
        <w:t>аук</w:t>
      </w:r>
      <w:r w:rsidRPr="003E2520">
        <w:rPr>
          <w:rFonts w:ascii="Times New Roman" w:hAnsi="Times New Roman"/>
          <w:sz w:val="18"/>
          <w:szCs w:val="18"/>
        </w:rPr>
        <w:t xml:space="preserve">, </w:t>
      </w:r>
      <w:r w:rsidRPr="003E2520">
        <w:rPr>
          <w:rFonts w:ascii="Times New Roman" w:hAnsi="Times New Roman"/>
          <w:sz w:val="18"/>
          <w:szCs w:val="18"/>
          <w:lang w:val="ru-RU"/>
        </w:rPr>
        <w:t>доц</w:t>
      </w:r>
      <w:r>
        <w:rPr>
          <w:rFonts w:ascii="Times New Roman" w:hAnsi="Times New Roman"/>
          <w:sz w:val="18"/>
          <w:szCs w:val="18"/>
          <w:lang w:val="ru-RU"/>
        </w:rPr>
        <w:t>.</w:t>
      </w:r>
    </w:p>
    <w:p w:rsidR="003E2520" w:rsidRPr="003E2520" w:rsidRDefault="003E2520" w:rsidP="00C44964">
      <w:pPr>
        <w:spacing w:after="0" w:line="240" w:lineRule="auto"/>
        <w:ind w:left="-284" w:right="566" w:firstLine="710"/>
        <w:jc w:val="center"/>
        <w:rPr>
          <w:rFonts w:ascii="Times New Roman" w:hAnsi="Times New Roman"/>
          <w:sz w:val="20"/>
          <w:szCs w:val="20"/>
        </w:rPr>
      </w:pPr>
    </w:p>
    <w:p w:rsidR="000D553C" w:rsidRPr="003E2520" w:rsidRDefault="000D553C" w:rsidP="003E2520">
      <w:pPr>
        <w:spacing w:line="252" w:lineRule="auto"/>
        <w:jc w:val="center"/>
        <w:rPr>
          <w:rFonts w:ascii="Times New Roman" w:hAnsi="Times New Roman"/>
          <w:b/>
          <w:bCs/>
          <w:iCs/>
          <w:sz w:val="20"/>
          <w:szCs w:val="20"/>
        </w:rPr>
      </w:pPr>
      <w:r w:rsidRPr="003E2520">
        <w:rPr>
          <w:rFonts w:ascii="Times New Roman" w:hAnsi="Times New Roman"/>
          <w:b/>
          <w:bCs/>
          <w:iCs/>
          <w:sz w:val="20"/>
          <w:szCs w:val="20"/>
        </w:rPr>
        <w:t>ПРОБЛЕМНІ АСПЕКТИ ПРОЦЕСУАЛЬНОГО ОФОРМЛЕННЯ В КРИМІНАЛЬНОМУ ПРОВАДЖЕННІ ТИМЧАСОВО ВИЛУЧЕНОГО МАЙНА</w:t>
      </w:r>
    </w:p>
    <w:p w:rsidR="005201EA" w:rsidRPr="003E2520" w:rsidRDefault="005201EA" w:rsidP="00C44964">
      <w:pPr>
        <w:pStyle w:val="a6"/>
        <w:spacing w:before="0" w:beforeAutospacing="0" w:after="0" w:afterAutospacing="0"/>
        <w:ind w:left="-284" w:firstLine="710"/>
        <w:jc w:val="both"/>
        <w:rPr>
          <w:sz w:val="20"/>
          <w:szCs w:val="20"/>
        </w:rPr>
      </w:pPr>
      <w:r w:rsidRPr="003E2520">
        <w:rPr>
          <w:sz w:val="20"/>
          <w:szCs w:val="20"/>
        </w:rPr>
        <w:t xml:space="preserve">Кримінальний процесуальний кодекс України вперше вводить інститут тимчасового вилучення майна. Згідно ч. 1 ст. 167 КПК тимчасовим вилученням майна є фактичне позбавлення підозрюваного можливості володіти, користуватися та розпоряджатися певним його майном до вирішення питання про арешт майна або його повернення </w:t>
      </w:r>
      <w:r w:rsidRPr="00EE5C54">
        <w:rPr>
          <w:rStyle w:val="linkauthor"/>
          <w:sz w:val="20"/>
          <w:szCs w:val="20"/>
          <w:highlight w:val="yellow"/>
        </w:rPr>
        <w:t>[1, с. 34]</w:t>
      </w:r>
      <w:r w:rsidRPr="003E2520">
        <w:rPr>
          <w:sz w:val="20"/>
          <w:szCs w:val="20"/>
        </w:rPr>
        <w:t xml:space="preserve">. </w:t>
      </w:r>
    </w:p>
    <w:p w:rsidR="005201EA" w:rsidRPr="003E2520" w:rsidRDefault="005201EA"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 xml:space="preserve"> Тимчасово вилучити майно може не тільки уповноважена особа правоохоронного органу, а кожен, хто законно затримав особу відповідно до норм КПК України </w:t>
      </w:r>
      <w:r w:rsidRPr="00EE5C54">
        <w:rPr>
          <w:rStyle w:val="linkauthor"/>
          <w:rFonts w:ascii="Times New Roman" w:hAnsi="Times New Roman"/>
          <w:sz w:val="20"/>
          <w:szCs w:val="20"/>
          <w:highlight w:val="yellow"/>
        </w:rPr>
        <w:t>[</w:t>
      </w:r>
      <w:r w:rsidR="005A1853" w:rsidRPr="00EE5C54">
        <w:rPr>
          <w:rStyle w:val="linkauthor"/>
          <w:rFonts w:ascii="Times New Roman" w:hAnsi="Times New Roman"/>
          <w:sz w:val="20"/>
          <w:szCs w:val="20"/>
          <w:highlight w:val="yellow"/>
        </w:rPr>
        <w:t>9</w:t>
      </w:r>
      <w:r w:rsidRPr="00EE5C54">
        <w:rPr>
          <w:rStyle w:val="linkauthor"/>
          <w:rFonts w:ascii="Times New Roman" w:hAnsi="Times New Roman"/>
          <w:sz w:val="20"/>
          <w:szCs w:val="20"/>
          <w:highlight w:val="yellow"/>
        </w:rPr>
        <w:t>]</w:t>
      </w:r>
      <w:r w:rsidRPr="003E2520">
        <w:rPr>
          <w:rFonts w:ascii="Times New Roman" w:eastAsia="Times New Roman" w:hAnsi="Times New Roman"/>
          <w:sz w:val="20"/>
          <w:szCs w:val="20"/>
          <w:lang w:eastAsia="uk-UA"/>
        </w:rPr>
        <w:t>. Кожна особа, яка здійснила законне затримання, зобов’язана одночасно із доставкою затриманої особи до слідчого, прокурора, іншої уповноваженої службової особи передати їй тимчасово вилучене майно. Факт передання тимчасово вилученого майна засвідчується протоколом. Тимчасове вилучення майна може здійснюватися також під час обшуку, огляду.</w:t>
      </w:r>
    </w:p>
    <w:p w:rsidR="009F7479" w:rsidRPr="003E2520" w:rsidRDefault="009F7479" w:rsidP="00C44964">
      <w:pPr>
        <w:pStyle w:val="a3"/>
        <w:spacing w:before="0" w:beforeAutospacing="0" w:after="0" w:afterAutospacing="0"/>
        <w:ind w:left="-284" w:firstLine="710"/>
        <w:jc w:val="both"/>
        <w:rPr>
          <w:sz w:val="20"/>
          <w:szCs w:val="20"/>
        </w:rPr>
      </w:pPr>
      <w:r w:rsidRPr="003E2520">
        <w:rPr>
          <w:sz w:val="20"/>
          <w:szCs w:val="20"/>
        </w:rPr>
        <w:t>Вивченням питання щодо обмеження права власності під час кримінального провадження займал</w:t>
      </w:r>
      <w:r w:rsidR="005201EA" w:rsidRPr="003E2520">
        <w:rPr>
          <w:sz w:val="20"/>
          <w:szCs w:val="20"/>
        </w:rPr>
        <w:t>и</w:t>
      </w:r>
      <w:r w:rsidRPr="003E2520">
        <w:rPr>
          <w:sz w:val="20"/>
          <w:szCs w:val="20"/>
        </w:rPr>
        <w:t>ся вчен</w:t>
      </w:r>
      <w:r w:rsidR="005201EA" w:rsidRPr="003E2520">
        <w:rPr>
          <w:sz w:val="20"/>
          <w:szCs w:val="20"/>
        </w:rPr>
        <w:t>і</w:t>
      </w:r>
      <w:r w:rsidRPr="003E2520">
        <w:rPr>
          <w:sz w:val="20"/>
          <w:szCs w:val="20"/>
        </w:rPr>
        <w:t>-процесуаліст</w:t>
      </w:r>
      <w:r w:rsidR="005201EA" w:rsidRPr="003E2520">
        <w:rPr>
          <w:sz w:val="20"/>
          <w:szCs w:val="20"/>
        </w:rPr>
        <w:t xml:space="preserve">и </w:t>
      </w:r>
      <w:r w:rsidRPr="003E2520">
        <w:rPr>
          <w:sz w:val="20"/>
          <w:szCs w:val="20"/>
        </w:rPr>
        <w:t>Галаган В., Гловюк І., Давиденко С., Калачова О., Тракало Р.</w:t>
      </w:r>
      <w:r w:rsidR="005201EA" w:rsidRPr="003E2520">
        <w:rPr>
          <w:sz w:val="20"/>
          <w:szCs w:val="20"/>
        </w:rPr>
        <w:t>,</w:t>
      </w:r>
      <w:r w:rsidRPr="003E2520">
        <w:rPr>
          <w:sz w:val="20"/>
          <w:szCs w:val="20"/>
        </w:rPr>
        <w:t xml:space="preserve"> Удовенко</w:t>
      </w:r>
      <w:r w:rsidR="003E2520">
        <w:rPr>
          <w:sz w:val="20"/>
          <w:szCs w:val="20"/>
        </w:rPr>
        <w:t> </w:t>
      </w:r>
      <w:r w:rsidRPr="003E2520">
        <w:rPr>
          <w:sz w:val="20"/>
          <w:szCs w:val="20"/>
        </w:rPr>
        <w:t>Ж., Хахуцяк О. та інші.</w:t>
      </w:r>
      <w:r w:rsidR="005201EA" w:rsidRPr="003E2520">
        <w:rPr>
          <w:sz w:val="20"/>
          <w:szCs w:val="20"/>
        </w:rPr>
        <w:t xml:space="preserve"> Разом з тим </w:t>
      </w:r>
      <w:r w:rsidR="00C612B5" w:rsidRPr="003E2520">
        <w:rPr>
          <w:sz w:val="20"/>
          <w:szCs w:val="20"/>
        </w:rPr>
        <w:t xml:space="preserve">не в повній мірі науковцями вивчався такий важливий аспект як </w:t>
      </w:r>
      <w:r w:rsidRPr="003E2520">
        <w:rPr>
          <w:sz w:val="20"/>
          <w:szCs w:val="20"/>
        </w:rPr>
        <w:t>оформлення тимчасово вилученого певного майна під час обшуку, яке за своїми фактичними ознаками підпадає під ознаки і речового доказу.</w:t>
      </w:r>
      <w:r w:rsidR="00C612B5" w:rsidRPr="003E2520">
        <w:rPr>
          <w:sz w:val="20"/>
          <w:szCs w:val="20"/>
        </w:rPr>
        <w:t xml:space="preserve"> Тому метою цієї статті є дослідження </w:t>
      </w:r>
      <w:r w:rsidRPr="003E2520">
        <w:rPr>
          <w:sz w:val="20"/>
          <w:szCs w:val="20"/>
        </w:rPr>
        <w:t>питання</w:t>
      </w:r>
      <w:r w:rsidR="00C612B5" w:rsidRPr="003E2520">
        <w:rPr>
          <w:sz w:val="20"/>
          <w:szCs w:val="20"/>
        </w:rPr>
        <w:t xml:space="preserve"> </w:t>
      </w:r>
      <w:r w:rsidRPr="003E2520">
        <w:rPr>
          <w:sz w:val="20"/>
          <w:szCs w:val="20"/>
        </w:rPr>
        <w:t>необхідно</w:t>
      </w:r>
      <w:r w:rsidR="00C612B5" w:rsidRPr="003E2520">
        <w:rPr>
          <w:sz w:val="20"/>
          <w:szCs w:val="20"/>
        </w:rPr>
        <w:t xml:space="preserve">сті звернення на наступний робочий день з клопотанням до суду </w:t>
      </w:r>
      <w:r w:rsidRPr="003E2520">
        <w:rPr>
          <w:sz w:val="20"/>
          <w:szCs w:val="20"/>
        </w:rPr>
        <w:t xml:space="preserve">щодо всього майна, яке вилучається під час проведення обшуку та огляду, про його арешт, вважаючи таке майно тимчасово вилученим. Щоб вирішити це питання, слід звернутися до ч. 7 ст. 236 КПК України </w:t>
      </w:r>
      <w:r w:rsidRPr="00EE5C54">
        <w:rPr>
          <w:rStyle w:val="linkauthor"/>
          <w:sz w:val="20"/>
          <w:szCs w:val="20"/>
          <w:highlight w:val="yellow"/>
        </w:rPr>
        <w:t>[1, с. 97]</w:t>
      </w:r>
      <w:r w:rsidRPr="003E2520">
        <w:rP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Зі змісту цієї норми вбачається, що вилучені під час проведення обшуку об’єкти мають одне з трьох значень:</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1) речі та документи, що входять до переліку, щодо якого прямо надано дозвіл на їх відшукання в ухвалі про дозвіл на проведення обшуку;</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2) предмети, вилучені законом з обігу;</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3) речі та документи, що не входять до цього переліку, тобто тимчасово вилучене майно, що вважається таким відповідно до ч. 1 ст. 167 КПК України до вирішення питання про його арешт або повернення (до цієї групи належать мобільні телефони, SІМ-картки, платіжні та банківські документи, інші речі, які зберегли на собі сліди злочину тощо).</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Якщо в ухвалі слідчого судді про проведення обшуку конкретно зазначено предмети, які мають бути вилучені, то факт їх вилучення відображається у протоколі обшуку </w:t>
      </w:r>
      <w:r w:rsidRPr="00EE5C54">
        <w:rPr>
          <w:rStyle w:val="linkauthor"/>
          <w:sz w:val="20"/>
          <w:szCs w:val="20"/>
          <w:highlight w:val="yellow"/>
        </w:rPr>
        <w:t>[</w:t>
      </w:r>
      <w:r w:rsidR="005A1853" w:rsidRPr="00EE5C54">
        <w:rPr>
          <w:rStyle w:val="linkauthor"/>
          <w:sz w:val="20"/>
          <w:szCs w:val="20"/>
          <w:highlight w:val="yellow"/>
        </w:rPr>
        <w:t>2</w:t>
      </w:r>
      <w:r w:rsidRPr="00EE5C54">
        <w:rPr>
          <w:rStyle w:val="linkauthor"/>
          <w:sz w:val="20"/>
          <w:szCs w:val="20"/>
          <w:highlight w:val="yellow"/>
        </w:rPr>
        <w:t>, с. 47]</w:t>
      </w:r>
      <w:r w:rsidRPr="003E2520">
        <w:rPr>
          <w:rStyle w:val="linkautho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Якщо в процесі обшуку вилучаються також й інші предмети, які не були зазначені в ухвалі слідчого судді, то вони набувають статусу тимчасово вилученого майна, також докладно описуються в протоколі обшуку або окремо у протоколі огляду. Аналогічне правило передбачено і стосовно проведення огляду - вилучені речі та документи, що не відносяться до предметів, які вилучені законом з обігу, вважаються тимчасово вилученими. У цих випадках процесуальне оформлення речових доказів здійснюється у таких процесуальних документах: ухвалі слідчого судді про обшук та протоколі обшуку (якщо вилучено лише той предмет, що вказано в ухвалі слідчого судді); протоколі огляду; клопотанні про арешт тимчасово вилученого майна; ухвалі слідчого судді про арешт тимчасово вилученого майна, що відповідає критеріям, передбаченим ст. 167 КПК України (два останні процесуальні документи складаються, як зазначено вище, у тих випадках, коли під час обшуку чи огляду вилучені предмети чи документи, не зазначені в ухвалі слідчого судді про проведення вказаних слідчих (розшукових) дій) </w:t>
      </w:r>
      <w:r w:rsidRPr="00EE5C54">
        <w:rPr>
          <w:rStyle w:val="linkauthor"/>
          <w:sz w:val="20"/>
          <w:szCs w:val="20"/>
          <w:highlight w:val="yellow"/>
        </w:rPr>
        <w:t>[</w:t>
      </w:r>
      <w:r w:rsidR="005A1853" w:rsidRPr="00EE5C54">
        <w:rPr>
          <w:rStyle w:val="linkauthor"/>
          <w:sz w:val="20"/>
          <w:szCs w:val="20"/>
          <w:highlight w:val="yellow"/>
        </w:rPr>
        <w:t>3</w:t>
      </w:r>
      <w:r w:rsidRPr="00EE5C54">
        <w:rPr>
          <w:rStyle w:val="linkauthor"/>
          <w:sz w:val="20"/>
          <w:szCs w:val="20"/>
          <w:highlight w:val="yellow"/>
        </w:rPr>
        <w:t>]</w:t>
      </w:r>
      <w:r w:rsidRPr="003E2520">
        <w:rPr>
          <w:rStyle w:val="linkautho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Таким чином, вирішення питання про те, чи є майно, вилучене уповноваженою службовою особою органу досудового розслідування під час проведення обшуку, тимчасово вилученим, залежить від того, чи було надано дозвіл на його вилучення слідчим суддею, судом.</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Цей висновок цілком відповідає положенням ч. 1 ст. 167 КПК України про те, що такий забезпечувальний захід триває до вирішення питання про арешт майна або його повернення. Тобто тимчасовість цього заходу обумовлюється його застосуванням без дозволу слідчого судді, який у разі позитивного вирішення питання про арешт майна по суті легітимізує його попереднє вилучення, чим забезпечується, зокрема, допустимість доказів, якщо вилучені предмети мають значення речових доказів у кримінальному провадженні </w:t>
      </w:r>
      <w:r w:rsidRPr="00EE5C54">
        <w:rPr>
          <w:rStyle w:val="linkauthor"/>
          <w:sz w:val="20"/>
          <w:szCs w:val="20"/>
          <w:highlight w:val="yellow"/>
        </w:rPr>
        <w:t>[</w:t>
      </w:r>
      <w:r w:rsidR="005A1853" w:rsidRPr="00EE5C54">
        <w:rPr>
          <w:rStyle w:val="linkauthor"/>
          <w:sz w:val="20"/>
          <w:szCs w:val="20"/>
          <w:highlight w:val="yellow"/>
        </w:rPr>
        <w:t>5</w:t>
      </w:r>
      <w:r w:rsidRPr="00EE5C54">
        <w:rPr>
          <w:rStyle w:val="linkauthor"/>
          <w:sz w:val="20"/>
          <w:szCs w:val="20"/>
          <w:highlight w:val="yellow"/>
        </w:rPr>
        <w:t>, с. 69]</w:t>
      </w:r>
      <w:r w:rsidRPr="003E2520">
        <w:rPr>
          <w:sz w:val="20"/>
          <w:szCs w:val="20"/>
        </w:rPr>
        <w:t>. Однак закріплений у чинному КПК України порядок дій із майном, тимчасово вилученим в ході процесуальних дій, яке за своєю сутністю є речовим доказом, не відповідає потребам практики. Зокрема якщо керуватись логікою чинного КПК України, все майно, яке не входило до переліку, щодо якого прямо надано дозвіл на його відшукання та не є вилученим з обігу, слід відносити до тимчасово вилученого майна. З аналізу цього Кодексу вбачається, що тимчасово вилучене майно може набути статусу речового доказу лише в разі накладення на нього арешту. Але з практичного боку накладення арешту можливе не на будь-який об’єкт, тимчасово вилучений під час процесуальної дії</w:t>
      </w:r>
      <w:r w:rsidRPr="003E2520">
        <w:rPr>
          <w:rStyle w:val="linkauthor"/>
          <w:sz w:val="20"/>
          <w:szCs w:val="20"/>
        </w:rPr>
        <w:t xml:space="preserve">. </w:t>
      </w:r>
      <w:r w:rsidRPr="003E2520">
        <w:rPr>
          <w:sz w:val="20"/>
          <w:szCs w:val="20"/>
        </w:rPr>
        <w:lastRenderedPageBreak/>
        <w:t>Зокрема</w:t>
      </w:r>
      <w:r w:rsidR="006C1EB7">
        <w:rPr>
          <w:sz w:val="20"/>
          <w:szCs w:val="20"/>
        </w:rPr>
        <w:t xml:space="preserve"> </w:t>
      </w:r>
      <w:r w:rsidRPr="003E2520">
        <w:rPr>
          <w:sz w:val="20"/>
          <w:szCs w:val="20"/>
        </w:rPr>
        <w:t>згідно з п</w:t>
      </w:r>
      <w:r w:rsidR="006C1EB7">
        <w:rPr>
          <w:sz w:val="20"/>
          <w:szCs w:val="20"/>
        </w:rPr>
        <w:t>.</w:t>
      </w:r>
      <w:r w:rsidRPr="003E2520">
        <w:rPr>
          <w:sz w:val="20"/>
          <w:szCs w:val="20"/>
        </w:rPr>
        <w:t xml:space="preserve"> 3 ч</w:t>
      </w:r>
      <w:r w:rsidR="006C1EB7">
        <w:rPr>
          <w:sz w:val="20"/>
          <w:szCs w:val="20"/>
        </w:rPr>
        <w:t>.</w:t>
      </w:r>
      <w:r w:rsidRPr="003E2520">
        <w:rPr>
          <w:sz w:val="20"/>
          <w:szCs w:val="20"/>
        </w:rPr>
        <w:t xml:space="preserve"> 2 ст</w:t>
      </w:r>
      <w:r w:rsidR="006C1EB7">
        <w:rPr>
          <w:sz w:val="20"/>
          <w:szCs w:val="20"/>
        </w:rPr>
        <w:t>.</w:t>
      </w:r>
      <w:r w:rsidRPr="003E2520">
        <w:rPr>
          <w:sz w:val="20"/>
          <w:szCs w:val="20"/>
        </w:rPr>
        <w:t xml:space="preserve"> 171 КПК України у клопотанні слідчого, прокурора про арешт майна з-поміж іншого повинно бути зазначено документи, що підтверджують право власності на майно, що належить арештувати. Цю вимогу неможливо виконати у разі тимчасового вилучення під час проведення огляду таких об’єктів, як, наприклад, волосина, крапля крові, ніготь тощо, що більше належать до слідів, а не речових доказів. Такі об’єкти не відповідають ознакам, передбаченим ч</w:t>
      </w:r>
      <w:r w:rsidR="006C1EB7">
        <w:rPr>
          <w:sz w:val="20"/>
          <w:szCs w:val="20"/>
        </w:rPr>
        <w:t>.</w:t>
      </w:r>
      <w:r w:rsidRPr="003E2520">
        <w:rPr>
          <w:sz w:val="20"/>
          <w:szCs w:val="20"/>
        </w:rPr>
        <w:t xml:space="preserve"> 2 ст</w:t>
      </w:r>
      <w:r w:rsidR="006C1EB7">
        <w:rPr>
          <w:sz w:val="20"/>
          <w:szCs w:val="20"/>
        </w:rPr>
        <w:t>.</w:t>
      </w:r>
      <w:r w:rsidRPr="003E2520">
        <w:rPr>
          <w:sz w:val="20"/>
          <w:szCs w:val="20"/>
        </w:rPr>
        <w:t xml:space="preserve"> 167 КПК України, оскільки не є майном, щодо якого є підстави вважати, що воно: 1) підшукане, виготовлене, пристосоване чи використане як засоби чи знаряддя вчинення кримінального правопорушення та (або) зберегло на собі його сліди; 2) призначалося (використовувалося) для схиляння особи до вчинення кримінального правопорушення, фінансування та/або матеріального забезпечення кримінального правопорушення або винагороди за його вчинення; 3) є предметом кримінального правопорушення, у тому числі пов’язаного з його незаконним обігом; 4) одержане внаслідок вчинення кримінального правопорушення та/або є доходом від них, а також майно, в яке їх було повністю або частково перетворено </w:t>
      </w:r>
      <w:r w:rsidRPr="00EE5C54">
        <w:rPr>
          <w:rStyle w:val="linkauthor"/>
          <w:sz w:val="20"/>
          <w:szCs w:val="20"/>
          <w:highlight w:val="yellow"/>
        </w:rPr>
        <w:t>[</w:t>
      </w:r>
      <w:r w:rsidR="005A1853" w:rsidRPr="00EE5C54">
        <w:rPr>
          <w:rStyle w:val="linkauthor"/>
          <w:sz w:val="20"/>
          <w:szCs w:val="20"/>
          <w:highlight w:val="yellow"/>
        </w:rPr>
        <w:t>6</w:t>
      </w:r>
      <w:r w:rsidRPr="00EE5C54">
        <w:rPr>
          <w:rStyle w:val="linkauthor"/>
          <w:sz w:val="20"/>
          <w:szCs w:val="20"/>
          <w:highlight w:val="yellow"/>
        </w:rPr>
        <w:t>, с.</w:t>
      </w:r>
      <w:r w:rsidR="006C1EB7" w:rsidRPr="00EE5C54">
        <w:rPr>
          <w:rStyle w:val="linkauthor"/>
          <w:sz w:val="20"/>
          <w:szCs w:val="20"/>
          <w:highlight w:val="yellow"/>
        </w:rPr>
        <w:t xml:space="preserve"> </w:t>
      </w:r>
      <w:r w:rsidRPr="00EE5C54">
        <w:rPr>
          <w:rStyle w:val="linkauthor"/>
          <w:sz w:val="20"/>
          <w:szCs w:val="20"/>
          <w:highlight w:val="yellow"/>
        </w:rPr>
        <w:t>46]</w:t>
      </w:r>
      <w:r w:rsidRPr="003E2520">
        <w:rP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Згідно положення ч. 3 ст. 173 КПК України відмова в задоволенні або часткове задоволення клопотання про арешт майна тягне за собою негайне повернення особі всього або частини тимчасово вилученого майна. У ч</w:t>
      </w:r>
      <w:r w:rsidR="006C1EB7">
        <w:rPr>
          <w:sz w:val="20"/>
          <w:szCs w:val="20"/>
        </w:rPr>
        <w:t>.</w:t>
      </w:r>
      <w:r w:rsidRPr="003E2520">
        <w:rPr>
          <w:sz w:val="20"/>
          <w:szCs w:val="20"/>
        </w:rPr>
        <w:t xml:space="preserve"> 3 с</w:t>
      </w:r>
      <w:r w:rsidR="006C1EB7">
        <w:rPr>
          <w:sz w:val="20"/>
          <w:szCs w:val="20"/>
        </w:rPr>
        <w:t>т.</w:t>
      </w:r>
      <w:r w:rsidRPr="003E2520">
        <w:rPr>
          <w:sz w:val="20"/>
          <w:szCs w:val="20"/>
        </w:rPr>
        <w:t xml:space="preserve"> 233 та ч</w:t>
      </w:r>
      <w:r w:rsidR="006C1EB7">
        <w:rPr>
          <w:sz w:val="20"/>
          <w:szCs w:val="20"/>
        </w:rPr>
        <w:t>.</w:t>
      </w:r>
      <w:r w:rsidRPr="003E2520">
        <w:rPr>
          <w:sz w:val="20"/>
          <w:szCs w:val="20"/>
        </w:rPr>
        <w:t xml:space="preserve"> 2 ст</w:t>
      </w:r>
      <w:r w:rsidR="006C1EB7">
        <w:rPr>
          <w:sz w:val="20"/>
          <w:szCs w:val="20"/>
        </w:rPr>
        <w:t>.</w:t>
      </w:r>
      <w:r w:rsidRPr="003E2520">
        <w:rPr>
          <w:sz w:val="20"/>
          <w:szCs w:val="20"/>
        </w:rPr>
        <w:t xml:space="preserve"> 255 КПК України зазначено, що отримані докази у визначених законом випадках може бути визнано недопустимими, а отримана інформація підлягає знищенню. Адже нелогічно повертати особі наркотичні засоби, незареєстровану зброю, вибухові чи сильнодіючі речовини тощо, на володіння і зберігання яких в особи немає достатніх законних підстав. У цьому разі наявність в особи зазначеного майна може утворювати склад окремого кримінального правопорушення, щодо якого кримінальне провадження не проводять </w:t>
      </w:r>
      <w:r w:rsidRPr="00EE5C54">
        <w:rPr>
          <w:rStyle w:val="linkauthor"/>
          <w:sz w:val="20"/>
          <w:szCs w:val="20"/>
          <w:highlight w:val="yellow"/>
        </w:rPr>
        <w:t>[8]</w:t>
      </w:r>
      <w:r w:rsidRPr="003E2520">
        <w:rPr>
          <w:sz w:val="20"/>
          <w:szCs w:val="20"/>
        </w:rPr>
        <w:t>. Тому виникає необхідність доповнення цієї статті нормою, відповідно до якої якщо майном є предмети, вилучені законом з обігу, про це ухвалою слідчого судді повідомляють прокурора для вирішення питання про початок кримінального провадження за цими фактами.</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Закріплений у чинному КПК України порядок дій із тимчасово вилученим майном сприяє затягуванню строків розслідування, оскільки, наприклад, для проведення експертизи тієї ж волосини, вилученої під час огляду, спочатку слід було б накласти на неї арешт, а підготовка клопотання про арешт майна, його розгляд та вирішення займають певний час. Враховуючи викладене, існуючий порядок, згідно з яким для визнання вилученого об’єкту речовим доказом необхідно, щоб цей об’єкт ще до проведення обшуку належав до переліку, щодо якого судом прямо надано дозвіл на їх </w:t>
      </w:r>
      <w:r w:rsidRPr="00EE5C54">
        <w:rPr>
          <w:sz w:val="20"/>
          <w:szCs w:val="20"/>
          <w:highlight w:val="yellow"/>
        </w:rPr>
        <w:t>в</w:t>
      </w:r>
      <w:r w:rsidR="00CB04E2">
        <w:rPr>
          <w:sz w:val="20"/>
          <w:szCs w:val="20"/>
        </w:rPr>
        <w:t>илучення</w:t>
      </w:r>
      <w:r w:rsidRPr="003E2520">
        <w:rPr>
          <w:sz w:val="20"/>
          <w:szCs w:val="20"/>
        </w:rPr>
        <w:t xml:space="preserve">, або ж на нього було накладено арешт, потребує зміни, оскільки не здатний вирішити усіх практичних питань </w:t>
      </w:r>
      <w:r w:rsidRPr="00EE5C54">
        <w:rPr>
          <w:rStyle w:val="linkauthor"/>
          <w:sz w:val="20"/>
          <w:szCs w:val="20"/>
          <w:highlight w:val="yellow"/>
        </w:rPr>
        <w:t>[7]</w:t>
      </w:r>
      <w:r w:rsidRPr="003E2520">
        <w:rPr>
          <w:rStyle w:val="linkautho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Кримінальний процесуальний закон має надавати слідчому можливість визнати речовим доказом певні об’єкти, вилучені під час обшуку, навіть якщо вони не були включені до переліку майна, яке суд дозволив вилучити в своїй ухвалі та якщо вони не є майном, на яке слід накладати арешт. Для усунення цієї прогалини доцільно внести змін до ч. 7 ст. 236 та ч. 7 ст. 237 КПК України. У цих процесуальних нормах доцільно зазначити, що вилучені речі та документи, які не входять до переліку, щодо якого прямо надано дозвіл на відшукання в ухвалі про дозвіл на проведення обшуку, та не відносяться до предметів, які вилучені законом з обігу, чи до речових доказів відповідно до частини 1 статті 98 цього Кодексу, вважаються тимчасово вилученим майном </w:t>
      </w:r>
      <w:r w:rsidRPr="00EE5C54">
        <w:rPr>
          <w:rStyle w:val="linkauthor"/>
          <w:sz w:val="20"/>
          <w:szCs w:val="20"/>
          <w:highlight w:val="yellow"/>
        </w:rPr>
        <w:t>[</w:t>
      </w:r>
      <w:r w:rsidR="005A1853" w:rsidRPr="00EE5C54">
        <w:rPr>
          <w:rStyle w:val="linkauthor"/>
          <w:sz w:val="20"/>
          <w:szCs w:val="20"/>
          <w:highlight w:val="yellow"/>
        </w:rPr>
        <w:t>4</w:t>
      </w:r>
      <w:r w:rsidR="00CB04E2">
        <w:rPr>
          <w:rStyle w:val="linkauthor"/>
          <w:sz w:val="20"/>
          <w:szCs w:val="20"/>
          <w:highlight w:val="yellow"/>
        </w:rPr>
        <w:t>, с</w:t>
      </w:r>
      <w:bookmarkStart w:id="0" w:name="_GoBack"/>
      <w:bookmarkEnd w:id="0"/>
      <w:r w:rsidR="00CB04E2">
        <w:rPr>
          <w:rStyle w:val="linkauthor"/>
          <w:sz w:val="20"/>
          <w:szCs w:val="20"/>
          <w:highlight w:val="yellow"/>
        </w:rPr>
        <w:t>. 183</w:t>
      </w:r>
      <w:r w:rsidRPr="00EE5C54">
        <w:rPr>
          <w:rStyle w:val="linkauthor"/>
          <w:sz w:val="20"/>
          <w:szCs w:val="20"/>
          <w:highlight w:val="yellow"/>
        </w:rPr>
        <w:t>]</w:t>
      </w:r>
      <w:r w:rsidRPr="003E2520">
        <w:rPr>
          <w:rStyle w:val="linkautho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При цьому слід зауважити, що згідно з ч. 1 ст</w:t>
      </w:r>
      <w:r w:rsidR="00EE5C54">
        <w:rPr>
          <w:sz w:val="20"/>
          <w:szCs w:val="20"/>
        </w:rPr>
        <w:t>.</w:t>
      </w:r>
      <w:r w:rsidRPr="003E2520">
        <w:rPr>
          <w:sz w:val="20"/>
          <w:szCs w:val="20"/>
        </w:rPr>
        <w:t xml:space="preserve"> 98 КПК України речовими доказами є не лише знаряддя вчинення кримінального правопорушення, а й матеріальні об’єкти, які зберегли на собі сліди, а також об’єкти, які містять інші відомості, які можуть бути використані як доказ факту чи обставин, що встановлюються під час кримінального провадження. Саме до речових доказів припустимо віднести як сліди злочину, так і предмети, на яких вони виявлені </w:t>
      </w:r>
      <w:r w:rsidRPr="00EE5C54">
        <w:rPr>
          <w:rStyle w:val="linkauthor"/>
          <w:sz w:val="20"/>
          <w:szCs w:val="20"/>
          <w:highlight w:val="yellow"/>
        </w:rPr>
        <w:t>[8]</w:t>
      </w:r>
      <w:r w:rsidRPr="003E2520">
        <w:rP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Врахування зазначених пропозицій надасть можливість слідчому у подальшому визначити, які матеріальні об’єкти, виявлені ним під час проведення процесуальних дій, можуть бути віднесені до слідів чи речових доказів, і як саме використані у доказуванні</w:t>
      </w:r>
      <w:r w:rsidRPr="003E2520">
        <w:rPr>
          <w:rStyle w:val="linkauthor"/>
          <w:sz w:val="20"/>
          <w:szCs w:val="20"/>
        </w:rPr>
        <w:t>.</w:t>
      </w:r>
    </w:p>
    <w:p w:rsidR="009F7479" w:rsidRPr="003E2520" w:rsidRDefault="009F7479" w:rsidP="00C44964">
      <w:pPr>
        <w:pStyle w:val="a6"/>
        <w:spacing w:before="0" w:beforeAutospacing="0" w:after="0" w:afterAutospacing="0"/>
        <w:ind w:left="-284" w:firstLine="710"/>
        <w:jc w:val="both"/>
        <w:rPr>
          <w:sz w:val="20"/>
          <w:szCs w:val="20"/>
        </w:rPr>
      </w:pPr>
      <w:r w:rsidRPr="003E2520">
        <w:rPr>
          <w:sz w:val="20"/>
          <w:szCs w:val="20"/>
        </w:rPr>
        <w:t xml:space="preserve">За необхідності призначення експертиз чи проведення інших процесуальних дій запропоновані зміни надають можливість оптимізувати процес розслідування та не звертатися до слідчого судді з питаннями про арешт таких об’єктів. Це надає реальну можливість суттєво заощадити робочий час слідчого та звернути увагу на інші важливі питання розслідування, у тому числі по інших кримінальних провадженнях </w:t>
      </w:r>
      <w:r w:rsidRPr="00EE5C54">
        <w:rPr>
          <w:rStyle w:val="linkauthor"/>
          <w:sz w:val="20"/>
          <w:szCs w:val="20"/>
          <w:highlight w:val="yellow"/>
        </w:rPr>
        <w:t>[</w:t>
      </w:r>
      <w:r w:rsidR="001A27A1" w:rsidRPr="00EE5C54">
        <w:rPr>
          <w:rStyle w:val="linkauthor"/>
          <w:sz w:val="20"/>
          <w:szCs w:val="20"/>
          <w:highlight w:val="yellow"/>
        </w:rPr>
        <w:t>10</w:t>
      </w:r>
      <w:r w:rsidRPr="00EE5C54">
        <w:rPr>
          <w:rStyle w:val="linkauthor"/>
          <w:sz w:val="20"/>
          <w:szCs w:val="20"/>
          <w:highlight w:val="yellow"/>
        </w:rPr>
        <w:t>, с. 47]</w:t>
      </w:r>
      <w:r w:rsidRPr="003E2520">
        <w:rPr>
          <w:sz w:val="20"/>
          <w:szCs w:val="20"/>
        </w:rPr>
        <w:t>.</w:t>
      </w:r>
    </w:p>
    <w:p w:rsidR="009F7479" w:rsidRDefault="009F7479" w:rsidP="00C44964">
      <w:pPr>
        <w:pStyle w:val="a6"/>
        <w:spacing w:before="0" w:beforeAutospacing="0" w:after="0" w:afterAutospacing="0"/>
        <w:ind w:left="-284" w:firstLine="710"/>
        <w:jc w:val="both"/>
        <w:rPr>
          <w:sz w:val="20"/>
          <w:szCs w:val="20"/>
        </w:rPr>
      </w:pPr>
      <w:r w:rsidRPr="003E2520">
        <w:rPr>
          <w:sz w:val="20"/>
          <w:szCs w:val="20"/>
        </w:rPr>
        <w:t>З огляду на викладене, можна зробити висновок про те, що підстави та порядок проведення тимчасового вилучення майна у чинному КПК України врегульовані досить суперечливо. У зв’язку з нечіткою регламентацією процесуальних дій органів, що ведуть кримінальне провадження, під час здійснення тимчасового вилучення майна зростає ризик незаконного обмеження можливостей володільців такого майна користуватись, володіти та розпоряджатись ним, а, отже, виникає підвищена небезпека порушення засад недоторканності права власності. За таких умов питання уточнення й деталізації змісту норм КПК України, що регламентують тимчасове вилучення майна, потребує свого невідкладного подальшого дослідження та висловлення пропозицій щодо їх вирішення.</w:t>
      </w:r>
    </w:p>
    <w:p w:rsidR="003E2520" w:rsidRPr="003E2520" w:rsidRDefault="003E2520" w:rsidP="003E2520">
      <w:pPr>
        <w:pStyle w:val="a4"/>
        <w:rPr>
          <w:lang w:eastAsia="uk-UA"/>
        </w:rPr>
      </w:pPr>
    </w:p>
    <w:p w:rsidR="003E2520" w:rsidRPr="003E2520" w:rsidRDefault="003E2520" w:rsidP="003E2520">
      <w:pPr>
        <w:jc w:val="center"/>
        <w:rPr>
          <w:rFonts w:ascii="Times New Roman" w:hAnsi="Times New Roman"/>
          <w:b/>
          <w:sz w:val="20"/>
          <w:szCs w:val="20"/>
          <w:shd w:val="clear" w:color="auto" w:fill="FFFFFF"/>
        </w:rPr>
      </w:pPr>
      <w:r w:rsidRPr="003E2520">
        <w:rPr>
          <w:rFonts w:ascii="Times New Roman" w:hAnsi="Times New Roman"/>
          <w:b/>
          <w:sz w:val="20"/>
          <w:szCs w:val="20"/>
          <w:shd w:val="clear" w:color="auto" w:fill="FFFFFF"/>
        </w:rPr>
        <w:t>Список використаних джерел</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hAnsi="Times New Roman"/>
          <w:sz w:val="20"/>
          <w:szCs w:val="20"/>
        </w:rPr>
        <w:lastRenderedPageBreak/>
        <w:t>1. Верхогляд-Герасименко О. В. Забезпечення майнових прав особи при застосуванні заходів кримінально-процесуального примусу : монографія. X. : Юрайт, 2012. 216 с.</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hAnsi="Times New Roman"/>
          <w:sz w:val="20"/>
          <w:szCs w:val="20"/>
        </w:rPr>
        <w:t>2. Галаган В. І. Протокол як форма фіксування кримінального провадження. Дні науки Національного університету «Києво-Могилянська академія» на факультеті правничих наук : тези наук. доп. та повідомл. К., 2014.  С. 46-48.</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 xml:space="preserve">3. Гловюк І. В. Деякі проблеми тимчасового вилучення та арешту майна як заходів забезпечення кримінального провадження. Наукові праці Національного університету «Одеська юридична академія».  2013. Т. 13.  </w:t>
      </w:r>
      <w:r w:rsidRPr="003E2520">
        <w:rPr>
          <w:rFonts w:ascii="Times New Roman" w:eastAsia="Times New Roman" w:hAnsi="Times New Roman"/>
          <w:sz w:val="20"/>
          <w:szCs w:val="20"/>
          <w:lang w:val="en-US" w:eastAsia="uk-UA"/>
        </w:rPr>
        <w:t>URL</w:t>
      </w:r>
      <w:r w:rsidRPr="003E2520">
        <w:rPr>
          <w:rFonts w:ascii="Times New Roman" w:eastAsia="Times New Roman" w:hAnsi="Times New Roman"/>
          <w:sz w:val="20"/>
          <w:szCs w:val="20"/>
          <w:lang w:eastAsia="uk-UA"/>
        </w:rPr>
        <w:t xml:space="preserve">: </w:t>
      </w:r>
      <w:r w:rsidR="00A15442" w:rsidRPr="003E2520">
        <w:rPr>
          <w:rFonts w:ascii="Times New Roman" w:eastAsia="Times New Roman" w:hAnsi="Times New Roman"/>
          <w:sz w:val="20"/>
          <w:szCs w:val="20"/>
          <w:lang w:eastAsia="uk-UA"/>
        </w:rPr>
        <w:t xml:space="preserve">http://dspace.onua.edu.ua/handle/11300/2503 </w:t>
      </w:r>
      <w:r w:rsidRPr="003E2520">
        <w:rPr>
          <w:rFonts w:ascii="Times New Roman" w:eastAsia="Times New Roman" w:hAnsi="Times New Roman"/>
          <w:sz w:val="20"/>
          <w:szCs w:val="20"/>
          <w:lang w:eastAsia="uk-UA"/>
        </w:rPr>
        <w:t>(дата звернення 20.02.2023).</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hAnsi="Times New Roman"/>
          <w:sz w:val="20"/>
          <w:szCs w:val="20"/>
        </w:rPr>
        <w:t>4. </w:t>
      </w:r>
      <w:r w:rsidRPr="003E2520">
        <w:rPr>
          <w:rFonts w:ascii="Times New Roman" w:eastAsia="Times New Roman" w:hAnsi="Times New Roman"/>
          <w:sz w:val="20"/>
          <w:szCs w:val="20"/>
          <w:lang w:eastAsia="uk-UA"/>
        </w:rPr>
        <w:t>Кримінальний процесуальний кодекс України. Науково-практичний коментар : у 2 т. / за заг. ред. В. Я. Тація, В. П. Пшонки, А. В. Портнова. Х. : Право, 2012. 768 с.</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5. Крушинський С. Процесуальне оформлення доказів, поданих сторонами та іншими учасниками кримінального провадження. Актуальні питання кримінального процесуального законодавства України : зб. матеріалів міжвуз. наук. конф., м. Київ, 26 квіт. 2013 р. К. : Алерта, 2013. С.</w:t>
      </w:r>
      <w:r w:rsidR="00EE5C54">
        <w:rPr>
          <w:rFonts w:ascii="Times New Roman" w:eastAsia="Times New Roman" w:hAnsi="Times New Roman"/>
          <w:sz w:val="20"/>
          <w:szCs w:val="20"/>
          <w:lang w:eastAsia="uk-UA"/>
        </w:rPr>
        <w:t> </w:t>
      </w:r>
      <w:r w:rsidRPr="003E2520">
        <w:rPr>
          <w:rFonts w:ascii="Times New Roman" w:eastAsia="Times New Roman" w:hAnsi="Times New Roman"/>
          <w:sz w:val="20"/>
          <w:szCs w:val="20"/>
          <w:lang w:eastAsia="uk-UA"/>
        </w:rPr>
        <w:t>67-71.</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6. Пожар О. М. Процесуальні засади (гарантії) реалізації права на особисту недоторканність як суб’єктивного права людини</w:t>
      </w:r>
      <w:r w:rsidR="00AB100E" w:rsidRPr="003E2520">
        <w:rPr>
          <w:rFonts w:ascii="Times New Roman" w:eastAsia="Times New Roman" w:hAnsi="Times New Roman"/>
          <w:sz w:val="20"/>
          <w:szCs w:val="20"/>
          <w:lang w:eastAsia="uk-UA"/>
        </w:rPr>
        <w:t>.</w:t>
      </w:r>
      <w:r w:rsidRPr="003E2520">
        <w:rPr>
          <w:rFonts w:ascii="Times New Roman" w:eastAsia="Times New Roman" w:hAnsi="Times New Roman"/>
          <w:sz w:val="20"/>
          <w:szCs w:val="20"/>
          <w:lang w:eastAsia="uk-UA"/>
        </w:rPr>
        <w:t xml:space="preserve"> Митна справа. 2013. № 4. С. 43-49.</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7. Проблеми застосування положень Кримінального процесуального кодексу України щодо окремих слідчих (розшукових) дій та заходів забезпечення кримінального провадження, зокрема, обшуку та тимчасового доступу до речей і документів</w:t>
      </w:r>
      <w:r w:rsidR="00AB100E" w:rsidRPr="003E2520">
        <w:rPr>
          <w:rFonts w:ascii="Times New Roman" w:eastAsia="Times New Roman" w:hAnsi="Times New Roman"/>
          <w:sz w:val="20"/>
          <w:szCs w:val="20"/>
          <w:lang w:eastAsia="uk-UA"/>
        </w:rPr>
        <w:t xml:space="preserve">. </w:t>
      </w:r>
      <w:r w:rsidRPr="003E2520">
        <w:rPr>
          <w:rFonts w:ascii="Times New Roman" w:eastAsia="Times New Roman" w:hAnsi="Times New Roman"/>
          <w:sz w:val="20"/>
          <w:szCs w:val="20"/>
          <w:lang w:eastAsia="uk-UA"/>
        </w:rPr>
        <w:t>Закон і Бізнес</w:t>
      </w:r>
      <w:r w:rsidR="00AB100E" w:rsidRPr="003E2520">
        <w:rPr>
          <w:rFonts w:ascii="Times New Roman" w:eastAsia="Times New Roman" w:hAnsi="Times New Roman"/>
          <w:sz w:val="20"/>
          <w:szCs w:val="20"/>
          <w:lang w:eastAsia="uk-UA"/>
        </w:rPr>
        <w:t xml:space="preserve">. </w:t>
      </w:r>
      <w:r w:rsidR="00AB100E" w:rsidRPr="003E2520">
        <w:rPr>
          <w:rFonts w:ascii="Times New Roman" w:eastAsia="Times New Roman" w:hAnsi="Times New Roman"/>
          <w:sz w:val="20"/>
          <w:szCs w:val="20"/>
          <w:lang w:val="en-US" w:eastAsia="uk-UA"/>
        </w:rPr>
        <w:t>URL</w:t>
      </w:r>
      <w:r w:rsidRPr="003E2520">
        <w:rPr>
          <w:rFonts w:ascii="Times New Roman" w:eastAsia="Times New Roman" w:hAnsi="Times New Roman"/>
          <w:sz w:val="20"/>
          <w:szCs w:val="20"/>
          <w:lang w:eastAsia="uk-UA"/>
        </w:rPr>
        <w:t xml:space="preserve">: </w:t>
      </w:r>
      <w:hyperlink r:id="rId4" w:history="1">
        <w:r w:rsidR="00A15442" w:rsidRPr="003E2520">
          <w:rPr>
            <w:rStyle w:val="a5"/>
            <w:rFonts w:ascii="Times New Roman" w:eastAsia="Times New Roman" w:hAnsi="Times New Roman"/>
            <w:color w:val="auto"/>
            <w:sz w:val="20"/>
            <w:szCs w:val="20"/>
            <w:u w:val="none"/>
            <w:lang w:eastAsia="uk-UA"/>
          </w:rPr>
          <w:t>https://zib.com.ua/ua/41323.html</w:t>
        </w:r>
      </w:hyperlink>
      <w:r w:rsidR="00A15442" w:rsidRPr="003E2520">
        <w:rPr>
          <w:rFonts w:ascii="Times New Roman" w:eastAsia="Times New Roman" w:hAnsi="Times New Roman"/>
          <w:sz w:val="20"/>
          <w:szCs w:val="20"/>
          <w:lang w:eastAsia="uk-UA"/>
        </w:rPr>
        <w:t xml:space="preserve">  </w:t>
      </w:r>
      <w:r w:rsidR="00AB100E" w:rsidRPr="003E2520">
        <w:rPr>
          <w:rFonts w:ascii="Times New Roman" w:eastAsia="Times New Roman" w:hAnsi="Times New Roman"/>
          <w:sz w:val="20"/>
          <w:szCs w:val="20"/>
          <w:lang w:eastAsia="uk-UA"/>
        </w:rPr>
        <w:t>(дата звернення 12.03.2023).</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8. Савицький Д. О. Умови застосування заходів кримінально-процесуального примусу : наук.-практ. Інтернет-конф., 15 груд. 2011 р.  Секція</w:t>
      </w:r>
      <w:r w:rsidR="00A15442" w:rsidRPr="003E2520">
        <w:rPr>
          <w:rFonts w:ascii="Times New Roman" w:eastAsia="Times New Roman" w:hAnsi="Times New Roman"/>
          <w:sz w:val="20"/>
          <w:szCs w:val="20"/>
          <w:lang w:eastAsia="uk-UA"/>
        </w:rPr>
        <w:t> </w:t>
      </w:r>
      <w:r w:rsidRPr="003E2520">
        <w:rPr>
          <w:rFonts w:ascii="Times New Roman" w:eastAsia="Times New Roman" w:hAnsi="Times New Roman"/>
          <w:sz w:val="20"/>
          <w:szCs w:val="20"/>
          <w:lang w:eastAsia="uk-UA"/>
        </w:rPr>
        <w:t>№</w:t>
      </w:r>
      <w:r w:rsidR="00A15442" w:rsidRPr="003E2520">
        <w:rPr>
          <w:rFonts w:ascii="Times New Roman" w:eastAsia="Times New Roman" w:hAnsi="Times New Roman"/>
          <w:sz w:val="20"/>
          <w:szCs w:val="20"/>
          <w:lang w:eastAsia="uk-UA"/>
        </w:rPr>
        <w:t> </w:t>
      </w:r>
      <w:r w:rsidRPr="003E2520">
        <w:rPr>
          <w:rFonts w:ascii="Times New Roman" w:eastAsia="Times New Roman" w:hAnsi="Times New Roman"/>
          <w:sz w:val="20"/>
          <w:szCs w:val="20"/>
          <w:lang w:eastAsia="uk-UA"/>
        </w:rPr>
        <w:t>5</w:t>
      </w:r>
      <w:r w:rsidR="00A15442" w:rsidRPr="003E2520">
        <w:rPr>
          <w:rFonts w:ascii="Times New Roman" w:eastAsia="Times New Roman" w:hAnsi="Times New Roman"/>
          <w:sz w:val="20"/>
          <w:szCs w:val="20"/>
          <w:lang w:eastAsia="uk-UA"/>
        </w:rPr>
        <w:t>.</w:t>
      </w:r>
      <w:r w:rsidR="00A15442" w:rsidRPr="003E2520">
        <w:rPr>
          <w:rFonts w:ascii="Times New Roman" w:hAnsi="Times New Roman"/>
          <w:sz w:val="20"/>
          <w:szCs w:val="20"/>
        </w:rPr>
        <w:t> </w:t>
      </w:r>
      <w:r w:rsidR="00AB100E" w:rsidRPr="003E2520">
        <w:rPr>
          <w:rFonts w:ascii="Times New Roman" w:eastAsia="Times New Roman" w:hAnsi="Times New Roman"/>
          <w:sz w:val="20"/>
          <w:szCs w:val="20"/>
          <w:lang w:val="en-US" w:eastAsia="uk-UA"/>
        </w:rPr>
        <w:t>URL</w:t>
      </w:r>
      <w:r w:rsidR="00AB100E" w:rsidRPr="003E2520">
        <w:rPr>
          <w:rFonts w:ascii="Times New Roman" w:eastAsia="Times New Roman" w:hAnsi="Times New Roman"/>
          <w:sz w:val="20"/>
          <w:szCs w:val="20"/>
          <w:lang w:eastAsia="uk-UA"/>
        </w:rPr>
        <w:t>:</w:t>
      </w:r>
      <w:r w:rsidR="00A15442" w:rsidRPr="003E2520">
        <w:rPr>
          <w:rFonts w:ascii="Times New Roman" w:eastAsia="Times New Roman" w:hAnsi="Times New Roman"/>
          <w:sz w:val="20"/>
          <w:szCs w:val="20"/>
          <w:lang w:eastAsia="uk-UA"/>
        </w:rPr>
        <w:t xml:space="preserve"> https://legalactivity.com.ua/index.php?option=com_content &amp;view</w:t>
      </w:r>
      <w:hyperlink r:id="rId5" w:history="1">
        <w:r w:rsidR="00AB100E" w:rsidRPr="00EE5C54">
          <w:rPr>
            <w:rStyle w:val="a5"/>
            <w:rFonts w:ascii="Times New Roman" w:eastAsia="Times New Roman" w:hAnsi="Times New Roman"/>
            <w:color w:val="auto"/>
            <w:sz w:val="20"/>
            <w:szCs w:val="20"/>
            <w:u w:val="none"/>
            <w:lang w:eastAsia="uk-UA"/>
          </w:rPr>
          <w:t>=article&amp;id=140%25</w:t>
        </w:r>
      </w:hyperlink>
      <w:r w:rsidR="00AB100E" w:rsidRPr="003E2520">
        <w:rPr>
          <w:rFonts w:ascii="Times New Roman" w:eastAsia="Times New Roman" w:hAnsi="Times New Roman"/>
          <w:sz w:val="20"/>
          <w:szCs w:val="20"/>
          <w:lang w:eastAsia="uk-UA"/>
        </w:rPr>
        <w:t xml:space="preserve"> (дата звернення 24.03.2023).</w:t>
      </w:r>
    </w:p>
    <w:p w:rsidR="00AB100E"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9. Удовенко Ж. В. Невтручання у приватне життя при провадженні деяких слідчих (розшукових) ді</w:t>
      </w:r>
      <w:r w:rsidR="00AB100E" w:rsidRPr="003E2520">
        <w:rPr>
          <w:rFonts w:ascii="Times New Roman" w:eastAsia="Times New Roman" w:hAnsi="Times New Roman"/>
          <w:sz w:val="20"/>
          <w:szCs w:val="20"/>
          <w:lang w:eastAsia="uk-UA"/>
        </w:rPr>
        <w:t xml:space="preserve">й. </w:t>
      </w:r>
      <w:r w:rsidRPr="003E2520">
        <w:rPr>
          <w:rFonts w:ascii="Times New Roman" w:eastAsia="Times New Roman" w:hAnsi="Times New Roman"/>
          <w:sz w:val="20"/>
          <w:szCs w:val="20"/>
          <w:lang w:eastAsia="uk-UA"/>
        </w:rPr>
        <w:t xml:space="preserve">Часопис Національного університету «Острозька академія». (Серія «Право»). 2013. № 2(8) </w:t>
      </w:r>
      <w:r w:rsidR="00AB100E" w:rsidRPr="003E2520">
        <w:rPr>
          <w:rFonts w:ascii="Times New Roman" w:eastAsia="Times New Roman" w:hAnsi="Times New Roman"/>
          <w:sz w:val="20"/>
          <w:szCs w:val="20"/>
          <w:lang w:eastAsia="uk-UA"/>
        </w:rPr>
        <w:t xml:space="preserve">. </w:t>
      </w:r>
      <w:r w:rsidR="00AB100E" w:rsidRPr="003E2520">
        <w:rPr>
          <w:rFonts w:ascii="Times New Roman" w:eastAsia="Times New Roman" w:hAnsi="Times New Roman"/>
          <w:sz w:val="20"/>
          <w:szCs w:val="20"/>
          <w:lang w:val="en-US" w:eastAsia="uk-UA"/>
        </w:rPr>
        <w:t>URL</w:t>
      </w:r>
      <w:r w:rsidR="00AB100E" w:rsidRPr="003E2520">
        <w:rPr>
          <w:rFonts w:ascii="Times New Roman" w:eastAsia="Times New Roman" w:hAnsi="Times New Roman"/>
          <w:sz w:val="20"/>
          <w:szCs w:val="20"/>
          <w:lang w:eastAsia="uk-UA"/>
        </w:rPr>
        <w:t xml:space="preserve">: </w:t>
      </w:r>
      <w:hyperlink r:id="rId6" w:history="1">
        <w:r w:rsidR="00AB100E" w:rsidRPr="003E2520">
          <w:rPr>
            <w:rStyle w:val="a5"/>
            <w:rFonts w:ascii="Times New Roman" w:eastAsia="Times New Roman" w:hAnsi="Times New Roman"/>
            <w:color w:val="auto"/>
            <w:sz w:val="20"/>
            <w:szCs w:val="20"/>
            <w:u w:val="none"/>
            <w:lang w:eastAsia="uk-UA"/>
          </w:rPr>
          <w:t>https://lj.oa.edu.ua/articles/2013/n2/13uzvsrd.pdf</w:t>
        </w:r>
      </w:hyperlink>
      <w:r w:rsidR="00AB100E" w:rsidRPr="003E2520">
        <w:rPr>
          <w:rFonts w:ascii="Times New Roman" w:eastAsia="Times New Roman" w:hAnsi="Times New Roman"/>
          <w:sz w:val="20"/>
          <w:szCs w:val="20"/>
          <w:lang w:eastAsia="uk-UA"/>
        </w:rPr>
        <w:t xml:space="preserve"> (дата звернення 26.03.2023).</w:t>
      </w:r>
    </w:p>
    <w:p w:rsidR="001A27A1" w:rsidRPr="003E2520" w:rsidRDefault="001A27A1" w:rsidP="00C44964">
      <w:pPr>
        <w:spacing w:after="0" w:line="240" w:lineRule="auto"/>
        <w:ind w:left="-284" w:firstLine="710"/>
        <w:jc w:val="both"/>
        <w:rPr>
          <w:rFonts w:ascii="Times New Roman" w:eastAsia="Times New Roman" w:hAnsi="Times New Roman"/>
          <w:sz w:val="20"/>
          <w:szCs w:val="20"/>
          <w:lang w:eastAsia="uk-UA"/>
        </w:rPr>
      </w:pPr>
      <w:r w:rsidRPr="003E2520">
        <w:rPr>
          <w:rFonts w:ascii="Times New Roman" w:eastAsia="Times New Roman" w:hAnsi="Times New Roman"/>
          <w:sz w:val="20"/>
          <w:szCs w:val="20"/>
          <w:lang w:eastAsia="uk-UA"/>
        </w:rPr>
        <w:t>10. Хахуцяк О. Ю. Речові докази у новому Кримінальному процесуальному кодексі України</w:t>
      </w:r>
      <w:r w:rsidR="00AB100E" w:rsidRPr="003E2520">
        <w:rPr>
          <w:rFonts w:ascii="Times New Roman" w:eastAsia="Times New Roman" w:hAnsi="Times New Roman"/>
          <w:sz w:val="20"/>
          <w:szCs w:val="20"/>
          <w:lang w:eastAsia="uk-UA"/>
        </w:rPr>
        <w:t>.</w:t>
      </w:r>
      <w:r w:rsidRPr="003E2520">
        <w:rPr>
          <w:rFonts w:ascii="Times New Roman" w:eastAsia="Times New Roman" w:hAnsi="Times New Roman"/>
          <w:sz w:val="20"/>
          <w:szCs w:val="20"/>
          <w:lang w:eastAsia="uk-UA"/>
        </w:rPr>
        <w:t xml:space="preserve"> Адвокат. 2013. №  6(153). С. 46-48.</w:t>
      </w:r>
    </w:p>
    <w:p w:rsidR="001A27A1" w:rsidRPr="003E2520" w:rsidRDefault="001A27A1" w:rsidP="00C44964">
      <w:pPr>
        <w:spacing w:after="0" w:line="240" w:lineRule="auto"/>
        <w:ind w:left="-284" w:firstLine="710"/>
        <w:rPr>
          <w:rFonts w:ascii="Times New Roman" w:hAnsi="Times New Roman"/>
          <w:sz w:val="20"/>
          <w:szCs w:val="20"/>
        </w:rPr>
      </w:pPr>
    </w:p>
    <w:sectPr w:rsidR="001A27A1" w:rsidRPr="003E2520" w:rsidSect="00C44964">
      <w:pgSz w:w="11906" w:h="16838"/>
      <w:pgMar w:top="1134" w:right="1416"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3D4"/>
    <w:rsid w:val="000D553C"/>
    <w:rsid w:val="001A27A1"/>
    <w:rsid w:val="002B646E"/>
    <w:rsid w:val="002D4B2F"/>
    <w:rsid w:val="003E2520"/>
    <w:rsid w:val="005201EA"/>
    <w:rsid w:val="005A1853"/>
    <w:rsid w:val="006A3454"/>
    <w:rsid w:val="006C1EB7"/>
    <w:rsid w:val="007731F2"/>
    <w:rsid w:val="0078752A"/>
    <w:rsid w:val="009F7479"/>
    <w:rsid w:val="00A15442"/>
    <w:rsid w:val="00AB100E"/>
    <w:rsid w:val="00AD13D4"/>
    <w:rsid w:val="00C44964"/>
    <w:rsid w:val="00C612B5"/>
    <w:rsid w:val="00CB04E2"/>
    <w:rsid w:val="00EE5C54"/>
    <w:rsid w:val="00F873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31C7F"/>
  <w15:docId w15:val="{E267C22D-FB1C-441E-8955-9DB6AC585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13D4"/>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a4"/>
    <w:uiPriority w:val="99"/>
    <w:unhideWhenUsed/>
    <w:rsid w:val="002B646E"/>
    <w:pPr>
      <w:spacing w:before="100" w:beforeAutospacing="1" w:after="100" w:afterAutospacing="1" w:line="240" w:lineRule="auto"/>
    </w:pPr>
    <w:rPr>
      <w:rFonts w:ascii="Times New Roman" w:eastAsia="Times New Roman" w:hAnsi="Times New Roman"/>
      <w:sz w:val="24"/>
      <w:szCs w:val="24"/>
      <w:lang w:eastAsia="uk-UA"/>
    </w:rPr>
  </w:style>
  <w:style w:type="character" w:styleId="a5">
    <w:name w:val="Hyperlink"/>
    <w:uiPriority w:val="99"/>
    <w:unhideWhenUsed/>
    <w:rsid w:val="00AD13D4"/>
    <w:rPr>
      <w:color w:val="0000FF"/>
      <w:u w:val="single"/>
    </w:rPr>
  </w:style>
  <w:style w:type="character" w:customStyle="1" w:styleId="linkauthor">
    <w:name w:val="link_author"/>
    <w:basedOn w:val="a0"/>
    <w:rsid w:val="00AD13D4"/>
  </w:style>
  <w:style w:type="paragraph" w:styleId="a4">
    <w:name w:val="Normal (Web)"/>
    <w:basedOn w:val="a"/>
    <w:uiPriority w:val="99"/>
    <w:semiHidden/>
    <w:unhideWhenUsed/>
    <w:rsid w:val="00AD13D4"/>
    <w:rPr>
      <w:rFonts w:ascii="Times New Roman" w:hAnsi="Times New Roman"/>
      <w:sz w:val="24"/>
      <w:szCs w:val="24"/>
    </w:rPr>
  </w:style>
  <w:style w:type="paragraph" w:customStyle="1" w:styleId="a6">
    <w:basedOn w:val="a"/>
    <w:next w:val="a4"/>
    <w:uiPriority w:val="99"/>
    <w:unhideWhenUsed/>
    <w:rsid w:val="005201EA"/>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
    <w:name w:val="Неразрешенное упоминание1"/>
    <w:basedOn w:val="a0"/>
    <w:uiPriority w:val="99"/>
    <w:semiHidden/>
    <w:unhideWhenUsed/>
    <w:rsid w:val="00AB10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j.oa.edu.ua/articles/2013/n2/13uzvsrd.pdf" TargetMode="External"/><Relationship Id="rId5" Type="http://schemas.openxmlformats.org/officeDocument/2006/relationships/hyperlink" Target="https://legalactivity.com.ua/index.php?option=com_content&amp;view=article&amp;id=140%25" TargetMode="External"/><Relationship Id="rId4" Type="http://schemas.openxmlformats.org/officeDocument/2006/relationships/hyperlink" Target="https://zib.com.ua/ua/41323.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1935</Words>
  <Characters>11034</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Kravchuk</dc:creator>
  <cp:keywords/>
  <dc:description/>
  <cp:lastModifiedBy>Kravchuk</cp:lastModifiedBy>
  <cp:revision>3</cp:revision>
  <dcterms:created xsi:type="dcterms:W3CDTF">2023-04-27T19:00:00Z</dcterms:created>
  <dcterms:modified xsi:type="dcterms:W3CDTF">2023-04-27T19:01:00Z</dcterms:modified>
</cp:coreProperties>
</file>