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7340" w:rsidRDefault="00317340" w:rsidP="00317340">
      <w:pPr>
        <w:jc w:val="center"/>
        <w:rPr>
          <w:b/>
          <w:bCs/>
          <w:i/>
          <w:iCs/>
        </w:rPr>
      </w:pPr>
      <w:r>
        <w:rPr>
          <w:b/>
          <w:bCs/>
          <w:i/>
          <w:iCs/>
        </w:rPr>
        <w:t>Павлик Ольга Борисівна,</w:t>
      </w:r>
    </w:p>
    <w:p w:rsidR="00317340" w:rsidRDefault="00317340" w:rsidP="00317340">
      <w:pPr>
        <w:jc w:val="center"/>
        <w:rPr>
          <w:bCs/>
          <w:i/>
          <w:iCs/>
        </w:rPr>
      </w:pPr>
      <w:r>
        <w:rPr>
          <w:bCs/>
          <w:i/>
          <w:iCs/>
        </w:rPr>
        <w:t>Хмельницький національний університет,</w:t>
      </w:r>
    </w:p>
    <w:p w:rsidR="00317340" w:rsidRDefault="00317340" w:rsidP="00317340">
      <w:pPr>
        <w:jc w:val="center"/>
        <w:rPr>
          <w:i/>
          <w:iCs/>
        </w:rPr>
      </w:pPr>
      <w:proofErr w:type="spellStart"/>
      <w:r>
        <w:rPr>
          <w:i/>
          <w:iCs/>
        </w:rPr>
        <w:t>к.пед.н</w:t>
      </w:r>
      <w:proofErr w:type="spellEnd"/>
      <w:r>
        <w:rPr>
          <w:i/>
          <w:iCs/>
        </w:rPr>
        <w:t>., доцент</w:t>
      </w:r>
    </w:p>
    <w:p w:rsidR="00317340" w:rsidRPr="00317340" w:rsidRDefault="00317340" w:rsidP="00760041">
      <w:pPr>
        <w:ind w:firstLine="708"/>
        <w:jc w:val="both"/>
        <w:rPr>
          <w:rFonts w:ascii="Times New Roman" w:hAnsi="Times New Roman" w:cs="Times New Roman"/>
          <w:b/>
          <w:sz w:val="24"/>
          <w:szCs w:val="24"/>
        </w:rPr>
      </w:pPr>
      <w:r w:rsidRPr="00317340">
        <w:rPr>
          <w:rFonts w:ascii="Times New Roman" w:hAnsi="Times New Roman" w:cs="Times New Roman"/>
          <w:b/>
          <w:sz w:val="24"/>
          <w:szCs w:val="24"/>
        </w:rPr>
        <w:t>ОСОБЛИВОСТІ ДОТРИМАННЯ ГЕНДЕРНОЇ РІВНОСТІ У ФРН</w:t>
      </w:r>
    </w:p>
    <w:p w:rsidR="00B4182B" w:rsidRPr="00317340" w:rsidRDefault="00760041" w:rsidP="00760041">
      <w:pPr>
        <w:ind w:firstLine="708"/>
        <w:jc w:val="both"/>
        <w:rPr>
          <w:rFonts w:ascii="Times New Roman" w:hAnsi="Times New Roman" w:cs="Times New Roman"/>
          <w:sz w:val="24"/>
          <w:szCs w:val="24"/>
        </w:rPr>
      </w:pPr>
      <w:r w:rsidRPr="00317340">
        <w:rPr>
          <w:rFonts w:ascii="Times New Roman" w:hAnsi="Times New Roman" w:cs="Times New Roman"/>
          <w:sz w:val="24"/>
          <w:szCs w:val="24"/>
        </w:rPr>
        <w:t>На думку низки німецьких соціологів, гендерна політика раніше сприймалась в Німеччині, в основному, як політика по відношенню до жінок. Причина такого підходу полягає у тому, що жінки довгий час сприймались як слабка стать, як жертви усталених відносин між обома статями. Німецькі вчені давно піднімали питання про те, наскільки такий погляд на гендерну політику відповідає складності відносин між жінками та чоловіками, а також прийнятому в 1957 році закону про зрівняння в правах чоловіків і жінок.</w:t>
      </w:r>
    </w:p>
    <w:p w:rsidR="00760041" w:rsidRPr="00317340" w:rsidRDefault="00760041" w:rsidP="00760041">
      <w:pPr>
        <w:ind w:firstLine="708"/>
        <w:jc w:val="both"/>
        <w:rPr>
          <w:rFonts w:ascii="Times New Roman" w:hAnsi="Times New Roman" w:cs="Times New Roman"/>
          <w:sz w:val="24"/>
          <w:szCs w:val="24"/>
        </w:rPr>
      </w:pPr>
      <w:r w:rsidRPr="00317340">
        <w:rPr>
          <w:rFonts w:ascii="Times New Roman" w:hAnsi="Times New Roman" w:cs="Times New Roman"/>
          <w:sz w:val="24"/>
          <w:szCs w:val="24"/>
        </w:rPr>
        <w:t xml:space="preserve">Концептуальний розвиток гендерної політики останнім часом , який призвів до появи </w:t>
      </w:r>
      <w:r w:rsidRPr="00317340">
        <w:rPr>
          <w:rFonts w:ascii="Times New Roman" w:hAnsi="Times New Roman" w:cs="Times New Roman"/>
          <w:sz w:val="24"/>
          <w:szCs w:val="24"/>
          <w:lang w:val="en-US"/>
        </w:rPr>
        <w:t>Gender</w:t>
      </w:r>
      <w:r w:rsidRPr="00317340">
        <w:rPr>
          <w:rFonts w:ascii="Times New Roman" w:hAnsi="Times New Roman" w:cs="Times New Roman"/>
          <w:sz w:val="24"/>
          <w:szCs w:val="24"/>
        </w:rPr>
        <w:t>-</w:t>
      </w:r>
      <w:r w:rsidRPr="00317340">
        <w:rPr>
          <w:rFonts w:ascii="Times New Roman" w:hAnsi="Times New Roman" w:cs="Times New Roman"/>
          <w:sz w:val="24"/>
          <w:szCs w:val="24"/>
          <w:lang w:val="en-US"/>
        </w:rPr>
        <w:t>Mainstreaming</w:t>
      </w:r>
      <w:r w:rsidRPr="00317340">
        <w:rPr>
          <w:rFonts w:ascii="Times New Roman" w:hAnsi="Times New Roman" w:cs="Times New Roman"/>
          <w:sz w:val="24"/>
          <w:szCs w:val="24"/>
        </w:rPr>
        <w:t xml:space="preserve"> (соціальний комплексний гендерний підхід) змушує розглядати  гендерну політику як поле для формування гендерної культури.</w:t>
      </w:r>
      <w:r w:rsidR="00687C41" w:rsidRPr="00317340">
        <w:rPr>
          <w:rFonts w:ascii="Times New Roman" w:hAnsi="Times New Roman" w:cs="Times New Roman"/>
          <w:sz w:val="24"/>
          <w:szCs w:val="24"/>
        </w:rPr>
        <w:t xml:space="preserve"> Гендерна культура розглядає жінку як єдиний вид </w:t>
      </w:r>
      <w:r w:rsidR="00687C41" w:rsidRPr="00317340">
        <w:rPr>
          <w:rFonts w:ascii="Times New Roman" w:hAnsi="Times New Roman" w:cs="Times New Roman"/>
          <w:sz w:val="24"/>
          <w:szCs w:val="24"/>
          <w:lang w:val="en-US"/>
        </w:rPr>
        <w:t>Homo</w:t>
      </w:r>
      <w:r w:rsidR="00687C41" w:rsidRPr="00317340">
        <w:rPr>
          <w:rFonts w:ascii="Times New Roman" w:hAnsi="Times New Roman" w:cs="Times New Roman"/>
          <w:sz w:val="24"/>
          <w:szCs w:val="24"/>
          <w:lang w:val="ru-RU"/>
        </w:rPr>
        <w:t xml:space="preserve"> </w:t>
      </w:r>
      <w:r w:rsidR="00687C41" w:rsidRPr="00317340">
        <w:rPr>
          <w:rFonts w:ascii="Times New Roman" w:hAnsi="Times New Roman" w:cs="Times New Roman"/>
          <w:sz w:val="24"/>
          <w:szCs w:val="24"/>
          <w:lang w:val="en-US"/>
        </w:rPr>
        <w:t>sapiens</w:t>
      </w:r>
      <w:r w:rsidR="00687C41" w:rsidRPr="00317340">
        <w:rPr>
          <w:rFonts w:ascii="Times New Roman" w:hAnsi="Times New Roman" w:cs="Times New Roman"/>
          <w:sz w:val="24"/>
          <w:szCs w:val="24"/>
        </w:rPr>
        <w:t>, що здатен народжувати дітей</w:t>
      </w:r>
      <w:r w:rsidR="00687C41" w:rsidRPr="00317340">
        <w:rPr>
          <w:rFonts w:ascii="Times New Roman" w:hAnsi="Times New Roman" w:cs="Times New Roman"/>
          <w:sz w:val="24"/>
          <w:szCs w:val="24"/>
          <w:lang w:val="ru-RU"/>
        </w:rPr>
        <w:t xml:space="preserve">. </w:t>
      </w:r>
      <w:r w:rsidR="00687C41" w:rsidRPr="00317340">
        <w:rPr>
          <w:rFonts w:ascii="Times New Roman" w:hAnsi="Times New Roman" w:cs="Times New Roman"/>
          <w:sz w:val="24"/>
          <w:szCs w:val="24"/>
        </w:rPr>
        <w:t>З урахуванням цього дається визначення категорії стать, здійснюється гендерно-специфічний розподіл</w:t>
      </w:r>
      <w:r w:rsidR="00687C41" w:rsidRPr="00317340">
        <w:rPr>
          <w:rFonts w:ascii="Times New Roman" w:hAnsi="Times New Roman" w:cs="Times New Roman"/>
          <w:sz w:val="24"/>
          <w:szCs w:val="24"/>
          <w:lang w:val="ru-RU"/>
        </w:rPr>
        <w:t xml:space="preserve"> </w:t>
      </w:r>
      <w:r w:rsidR="00687C41" w:rsidRPr="00317340">
        <w:rPr>
          <w:rFonts w:ascii="Times New Roman" w:hAnsi="Times New Roman" w:cs="Times New Roman"/>
          <w:sz w:val="24"/>
          <w:szCs w:val="24"/>
        </w:rPr>
        <w:t>праці. У зв’язку із цим, німецьким соціологам все більш важливим стає питання, як забезпечується гендерна рівність у сучасному суспільстві і як вона буде забезпечуватись у майбутньому.</w:t>
      </w:r>
    </w:p>
    <w:p w:rsidR="009A2C18" w:rsidRPr="00317340" w:rsidRDefault="00687C41" w:rsidP="009A2C18">
      <w:pPr>
        <w:ind w:firstLine="708"/>
        <w:jc w:val="both"/>
        <w:rPr>
          <w:rFonts w:ascii="Times New Roman" w:hAnsi="Times New Roman" w:cs="Times New Roman"/>
          <w:sz w:val="24"/>
          <w:szCs w:val="24"/>
        </w:rPr>
      </w:pPr>
      <w:r w:rsidRPr="00317340">
        <w:rPr>
          <w:rFonts w:ascii="Times New Roman" w:hAnsi="Times New Roman" w:cs="Times New Roman"/>
          <w:sz w:val="24"/>
          <w:szCs w:val="24"/>
        </w:rPr>
        <w:t>Німеччина пройшла досить довгий історичний  шлях від патріархату до рівноправ’я. Стаття 6 Основного закону Німеччини захищає шлюб та сім’ю. Суспільний уклад Німеччини регулює права та обов’язки подружжя</w:t>
      </w:r>
      <w:r w:rsidR="009A2C18" w:rsidRPr="00317340">
        <w:rPr>
          <w:rFonts w:ascii="Times New Roman" w:hAnsi="Times New Roman" w:cs="Times New Roman"/>
          <w:sz w:val="24"/>
          <w:szCs w:val="24"/>
        </w:rPr>
        <w:t>, які змінились після прийняття в 1957 році закону про зрівняння в правах чоловіків і жінок. Чоловік перестав бути однозначним головою родини і вже не володіє правом останнього слова у питаннях виховання дітей. Жінка перестала бути лише домогосподаркою. Подружні пари знаходять компроміси та домовляються щодо розподілу домашніх обов’язків та професійної трудової діяльності.</w:t>
      </w:r>
    </w:p>
    <w:p w:rsidR="009A2C18" w:rsidRPr="00317340" w:rsidRDefault="009A2C18" w:rsidP="009A2C18">
      <w:pPr>
        <w:ind w:firstLine="708"/>
        <w:jc w:val="both"/>
        <w:rPr>
          <w:rFonts w:ascii="Times New Roman" w:hAnsi="Times New Roman" w:cs="Times New Roman"/>
          <w:sz w:val="24"/>
          <w:szCs w:val="24"/>
        </w:rPr>
      </w:pPr>
      <w:r w:rsidRPr="00317340">
        <w:rPr>
          <w:rFonts w:ascii="Times New Roman" w:hAnsi="Times New Roman" w:cs="Times New Roman"/>
          <w:sz w:val="24"/>
          <w:szCs w:val="24"/>
        </w:rPr>
        <w:t>Відносини між подружжям регулюються в тому числі і податковим правом. Закон про розподіл податку на сукупний сімейний дохід дозволяє подружжям єдине оподаткування спільного доходу, і податок зменшується, якщо зменшується заробіток одного із членів подружжя.</w:t>
      </w:r>
    </w:p>
    <w:p w:rsidR="009A2C18" w:rsidRDefault="009A2C18" w:rsidP="009A2C18">
      <w:pPr>
        <w:ind w:firstLine="708"/>
        <w:jc w:val="both"/>
        <w:rPr>
          <w:rFonts w:ascii="Times New Roman" w:hAnsi="Times New Roman" w:cs="Times New Roman"/>
          <w:sz w:val="24"/>
          <w:szCs w:val="24"/>
        </w:rPr>
      </w:pPr>
      <w:r w:rsidRPr="00317340">
        <w:rPr>
          <w:rFonts w:ascii="Times New Roman" w:hAnsi="Times New Roman" w:cs="Times New Roman"/>
          <w:sz w:val="24"/>
          <w:szCs w:val="24"/>
        </w:rPr>
        <w:t>Поняття сім’ї   змінилось із все більшим поширенням громадянських шлюбів. Водночас , незмінним залишився той факт, що у дитини є біологічна мати і біологічний батько. І, якщо з матір’ю питань не виникає, то проблема встановлення біологічного батьківства стає все більш актуальною.</w:t>
      </w:r>
      <w:r w:rsidR="00D3374A" w:rsidRPr="00317340">
        <w:rPr>
          <w:rFonts w:ascii="Times New Roman" w:hAnsi="Times New Roman" w:cs="Times New Roman"/>
          <w:sz w:val="24"/>
          <w:szCs w:val="24"/>
        </w:rPr>
        <w:t xml:space="preserve"> Можливість визначення батьківства за допомогою тесту ДНК стала важливим кроком для забезпечення рівноправ’я чоловіків.</w:t>
      </w:r>
      <w:r w:rsidRPr="00317340">
        <w:rPr>
          <w:rFonts w:ascii="Times New Roman" w:hAnsi="Times New Roman" w:cs="Times New Roman"/>
          <w:sz w:val="24"/>
          <w:szCs w:val="24"/>
        </w:rPr>
        <w:t xml:space="preserve"> </w:t>
      </w:r>
      <w:r w:rsidR="00317340">
        <w:rPr>
          <w:rFonts w:ascii="Times New Roman" w:hAnsi="Times New Roman" w:cs="Times New Roman"/>
          <w:sz w:val="24"/>
          <w:szCs w:val="24"/>
        </w:rPr>
        <w:t>Щодо жінок, то з 1995 року в ФРН існує закон, який надає їм право на переривання небажаної вагітності після обов’язкової консультації з лікарем, а також на основі медичних чи кримінальних підстав.</w:t>
      </w:r>
    </w:p>
    <w:p w:rsidR="00317340" w:rsidRDefault="00317340" w:rsidP="009A2C18">
      <w:pPr>
        <w:ind w:firstLine="708"/>
        <w:jc w:val="both"/>
        <w:rPr>
          <w:rFonts w:ascii="Times New Roman" w:hAnsi="Times New Roman" w:cs="Times New Roman"/>
          <w:sz w:val="24"/>
          <w:szCs w:val="24"/>
        </w:rPr>
      </w:pPr>
      <w:r>
        <w:rPr>
          <w:rFonts w:ascii="Times New Roman" w:hAnsi="Times New Roman" w:cs="Times New Roman"/>
          <w:sz w:val="24"/>
          <w:szCs w:val="24"/>
        </w:rPr>
        <w:t xml:space="preserve">Гендерна культура виражається не лише у способах врегулювання відносин між чоловіком і жінкою. До 1973 року в Німеччині існувала кримінальна відповідальність за гомосексуальні відносини. З серпня 2001 року </w:t>
      </w:r>
      <w:r w:rsidR="00B8438C">
        <w:rPr>
          <w:rFonts w:ascii="Times New Roman" w:hAnsi="Times New Roman" w:cs="Times New Roman"/>
          <w:sz w:val="24"/>
          <w:szCs w:val="24"/>
        </w:rPr>
        <w:t>вийшов закон, який дозволяє реєструвати відносини гомосексуальним парам.</w:t>
      </w:r>
    </w:p>
    <w:p w:rsidR="00B8438C" w:rsidRPr="00B8438C" w:rsidRDefault="00B8438C" w:rsidP="009A2C18">
      <w:pPr>
        <w:ind w:firstLine="708"/>
        <w:jc w:val="both"/>
        <w:rPr>
          <w:rFonts w:ascii="Times New Roman" w:hAnsi="Times New Roman" w:cs="Times New Roman"/>
          <w:sz w:val="24"/>
          <w:szCs w:val="24"/>
        </w:rPr>
      </w:pPr>
      <w:r>
        <w:rPr>
          <w:rFonts w:ascii="Times New Roman" w:hAnsi="Times New Roman" w:cs="Times New Roman"/>
          <w:sz w:val="24"/>
          <w:szCs w:val="24"/>
        </w:rPr>
        <w:t xml:space="preserve">Стаття 3 Основного закону ФРН проголошує чоловіка та жінку рівноправними суб’єктами, забезпечуючи таким чином формальну гендерну рівність </w:t>
      </w:r>
      <w:r>
        <w:rPr>
          <w:rFonts w:ascii="Times New Roman" w:hAnsi="Times New Roman" w:cs="Times New Roman"/>
          <w:sz w:val="24"/>
          <w:szCs w:val="24"/>
          <w:lang w:val="en-US"/>
        </w:rPr>
        <w:t>[</w:t>
      </w:r>
      <w:r w:rsidR="004148F5">
        <w:rPr>
          <w:rFonts w:ascii="Times New Roman" w:hAnsi="Times New Roman" w:cs="Times New Roman"/>
          <w:sz w:val="24"/>
          <w:szCs w:val="24"/>
          <w:lang w:val="en-US"/>
        </w:rPr>
        <w:t>1</w:t>
      </w:r>
      <w:r w:rsidR="00076B73">
        <w:rPr>
          <w:rFonts w:ascii="Times New Roman" w:hAnsi="Times New Roman" w:cs="Times New Roman"/>
          <w:sz w:val="24"/>
          <w:szCs w:val="24"/>
          <w:lang w:val="en-US"/>
        </w:rPr>
        <w:t>BMS</w:t>
      </w:r>
      <w:r>
        <w:rPr>
          <w:rFonts w:ascii="Times New Roman" w:hAnsi="Times New Roman" w:cs="Times New Roman"/>
          <w:sz w:val="24"/>
          <w:szCs w:val="24"/>
          <w:lang w:val="en-US"/>
        </w:rPr>
        <w:t>]</w:t>
      </w:r>
      <w:r>
        <w:rPr>
          <w:rFonts w:ascii="Times New Roman" w:hAnsi="Times New Roman" w:cs="Times New Roman"/>
          <w:sz w:val="24"/>
          <w:szCs w:val="24"/>
        </w:rPr>
        <w:t xml:space="preserve">. Для того, щоб </w:t>
      </w:r>
      <w:r>
        <w:rPr>
          <w:rFonts w:ascii="Times New Roman" w:hAnsi="Times New Roman" w:cs="Times New Roman"/>
          <w:sz w:val="24"/>
          <w:szCs w:val="24"/>
        </w:rPr>
        <w:lastRenderedPageBreak/>
        <w:t>втілити цю рівність у реальному житті, у ФРН з 1970-х років здійснюється так звана політика рівноправ’я (</w:t>
      </w:r>
      <w:proofErr w:type="spellStart"/>
      <w:r>
        <w:rPr>
          <w:rFonts w:ascii="Times New Roman" w:hAnsi="Times New Roman" w:cs="Times New Roman"/>
          <w:sz w:val="24"/>
          <w:szCs w:val="24"/>
          <w:lang w:val="en-US"/>
        </w:rPr>
        <w:t>Gleichstellungspolitik</w:t>
      </w:r>
      <w:proofErr w:type="spellEnd"/>
      <w:r>
        <w:rPr>
          <w:rFonts w:ascii="Times New Roman" w:hAnsi="Times New Roman" w:cs="Times New Roman"/>
          <w:sz w:val="24"/>
          <w:szCs w:val="24"/>
          <w:lang w:val="en-US"/>
        </w:rPr>
        <w:t>)</w:t>
      </w:r>
      <w:r>
        <w:rPr>
          <w:rFonts w:ascii="Times New Roman" w:hAnsi="Times New Roman" w:cs="Times New Roman"/>
          <w:sz w:val="24"/>
          <w:szCs w:val="24"/>
        </w:rPr>
        <w:t>, основу якої складають закони про забезпечення рівноправ’я жінок, які гарантують за допомогою квот збільшення представництва жінок на керівних посадах</w:t>
      </w:r>
      <w:r>
        <w:rPr>
          <w:rFonts w:ascii="Times New Roman" w:hAnsi="Times New Roman" w:cs="Times New Roman"/>
          <w:sz w:val="24"/>
          <w:szCs w:val="24"/>
          <w:lang w:val="en-US"/>
        </w:rPr>
        <w:t>.</w:t>
      </w:r>
      <w:r>
        <w:rPr>
          <w:rFonts w:ascii="Times New Roman" w:hAnsi="Times New Roman" w:cs="Times New Roman"/>
          <w:sz w:val="24"/>
          <w:szCs w:val="24"/>
        </w:rPr>
        <w:t xml:space="preserve"> Такі ж механізми забезпечення</w:t>
      </w:r>
      <w:r w:rsidRPr="00B8438C">
        <w:rPr>
          <w:rFonts w:ascii="Times New Roman" w:hAnsi="Times New Roman" w:cs="Times New Roman"/>
          <w:sz w:val="24"/>
          <w:szCs w:val="24"/>
        </w:rPr>
        <w:t xml:space="preserve"> </w:t>
      </w:r>
      <w:r>
        <w:rPr>
          <w:rFonts w:ascii="Times New Roman" w:hAnsi="Times New Roman" w:cs="Times New Roman"/>
          <w:sz w:val="24"/>
          <w:szCs w:val="24"/>
        </w:rPr>
        <w:t xml:space="preserve">гендерної рівності застосовуються в партіях та громадських об’єднаннях. </w:t>
      </w:r>
      <w:r w:rsidR="00D52DB2">
        <w:rPr>
          <w:rFonts w:ascii="Times New Roman" w:hAnsi="Times New Roman" w:cs="Times New Roman"/>
          <w:sz w:val="24"/>
          <w:szCs w:val="24"/>
        </w:rPr>
        <w:t>Квоти при цьому складають 30-40%.</w:t>
      </w:r>
    </w:p>
    <w:p w:rsidR="00687C41" w:rsidRDefault="00D52DB2" w:rsidP="00760041">
      <w:pPr>
        <w:ind w:firstLine="708"/>
        <w:jc w:val="both"/>
        <w:rPr>
          <w:rFonts w:ascii="Times New Roman" w:hAnsi="Times New Roman" w:cs="Times New Roman"/>
          <w:sz w:val="24"/>
          <w:szCs w:val="24"/>
        </w:rPr>
      </w:pPr>
      <w:r>
        <w:rPr>
          <w:rFonts w:ascii="Times New Roman" w:hAnsi="Times New Roman" w:cs="Times New Roman"/>
          <w:sz w:val="24"/>
          <w:szCs w:val="24"/>
        </w:rPr>
        <w:t xml:space="preserve">Однак в економіці ситуація інша. Так, в правліннях 100 найбільших підприємств Німеччини у 2004 році на 685 чоловіків лише 4 жінки </w:t>
      </w:r>
      <w:r>
        <w:rPr>
          <w:rFonts w:ascii="Times New Roman" w:hAnsi="Times New Roman" w:cs="Times New Roman"/>
          <w:sz w:val="24"/>
          <w:szCs w:val="24"/>
          <w:lang w:val="en-US"/>
        </w:rPr>
        <w:t>[</w:t>
      </w:r>
      <w:r w:rsidR="004148F5">
        <w:rPr>
          <w:rFonts w:ascii="Times New Roman" w:hAnsi="Times New Roman" w:cs="Times New Roman"/>
          <w:sz w:val="24"/>
          <w:szCs w:val="24"/>
          <w:lang w:val="en-US"/>
        </w:rPr>
        <w:t>2</w:t>
      </w:r>
      <w:r>
        <w:rPr>
          <w:rFonts w:ascii="Times New Roman" w:hAnsi="Times New Roman" w:cs="Times New Roman"/>
          <w:sz w:val="24"/>
          <w:szCs w:val="24"/>
          <w:lang w:val="en-US"/>
        </w:rPr>
        <w:t>]</w:t>
      </w:r>
      <w:r>
        <w:rPr>
          <w:rFonts w:ascii="Times New Roman" w:hAnsi="Times New Roman" w:cs="Times New Roman"/>
          <w:sz w:val="24"/>
          <w:szCs w:val="24"/>
        </w:rPr>
        <w:t>. Перша спроба застосування закону про рівність чоловіків та жінок в галузі економіки в 2001 році завершилась досягненням домовленості про добровільне забезпечення рівноправ’я в приватних фірмах. Згідно статистики, з 2006 року зростає кількість жінок на керівних посадах і в галузі економіки, але це не вплинуло на зміну трудових відносин, де як і раніше у жінок менші зарплати, а подекуди їх сприймають як людей із обмеженими можливостями. До цих пір в Німеччині існують професії, які сприймаються суспільством як суто чоловічі.</w:t>
      </w:r>
      <w:r w:rsidR="004148F5">
        <w:rPr>
          <w:rFonts w:ascii="Times New Roman" w:hAnsi="Times New Roman" w:cs="Times New Roman"/>
          <w:sz w:val="24"/>
          <w:szCs w:val="24"/>
        </w:rPr>
        <w:t xml:space="preserve"> 75% жінок працюють неповний робочий день. Водночас, згідно статистики, чоловіки зараз займають більш активну позицію у догляді за дітьми та виконанні домашніх обов’язків. </w:t>
      </w:r>
    </w:p>
    <w:p w:rsidR="004148F5" w:rsidRDefault="004148F5" w:rsidP="00760041">
      <w:pPr>
        <w:ind w:firstLine="708"/>
        <w:jc w:val="both"/>
        <w:rPr>
          <w:rFonts w:ascii="Times New Roman" w:hAnsi="Times New Roman" w:cs="Times New Roman"/>
          <w:sz w:val="24"/>
          <w:szCs w:val="24"/>
        </w:rPr>
      </w:pPr>
      <w:r>
        <w:rPr>
          <w:rFonts w:ascii="Times New Roman" w:hAnsi="Times New Roman" w:cs="Times New Roman"/>
          <w:sz w:val="24"/>
          <w:szCs w:val="24"/>
        </w:rPr>
        <w:t>Німецькі соціологи зазначають, що гендерні ролі є соціальним конструктором, зміни в якому залежать від гендерної політики держави. Чоловіки та жінки мають однакові когнітивні можливості і потреби та заслуговують на рівні права для забезпечення своєї життєдіяльності.</w:t>
      </w:r>
    </w:p>
    <w:p w:rsidR="004148F5" w:rsidRDefault="004148F5" w:rsidP="00760041">
      <w:pPr>
        <w:ind w:firstLine="708"/>
        <w:jc w:val="both"/>
        <w:rPr>
          <w:rFonts w:ascii="Times New Roman" w:hAnsi="Times New Roman" w:cs="Times New Roman"/>
          <w:sz w:val="24"/>
          <w:szCs w:val="24"/>
        </w:rPr>
      </w:pPr>
    </w:p>
    <w:p w:rsidR="004148F5" w:rsidRDefault="004148F5" w:rsidP="00760041">
      <w:pPr>
        <w:ind w:firstLine="708"/>
        <w:jc w:val="both"/>
        <w:rPr>
          <w:rFonts w:ascii="Times New Roman" w:hAnsi="Times New Roman" w:cs="Times New Roman"/>
          <w:b/>
          <w:sz w:val="24"/>
          <w:szCs w:val="24"/>
        </w:rPr>
      </w:pPr>
      <w:r>
        <w:rPr>
          <w:rFonts w:ascii="Times New Roman" w:hAnsi="Times New Roman" w:cs="Times New Roman"/>
          <w:b/>
          <w:sz w:val="24"/>
          <w:szCs w:val="24"/>
        </w:rPr>
        <w:t>Використані джерела:</w:t>
      </w:r>
    </w:p>
    <w:p w:rsidR="004148F5" w:rsidRPr="004148F5" w:rsidRDefault="004148F5" w:rsidP="004148F5">
      <w:pPr>
        <w:pStyle w:val="a3"/>
        <w:numPr>
          <w:ilvl w:val="0"/>
          <w:numId w:val="1"/>
        </w:numPr>
        <w:jc w:val="both"/>
        <w:rPr>
          <w:rFonts w:ascii="Times New Roman" w:hAnsi="Times New Roman" w:cs="Times New Roman"/>
          <w:sz w:val="24"/>
          <w:szCs w:val="24"/>
        </w:rPr>
      </w:pPr>
      <w:proofErr w:type="spellStart"/>
      <w:r>
        <w:rPr>
          <w:rFonts w:ascii="Times New Roman" w:hAnsi="Times New Roman" w:cs="Times New Roman"/>
          <w:sz w:val="24"/>
          <w:szCs w:val="24"/>
          <w:lang w:val="en-US"/>
        </w:rPr>
        <w:t>Grundgesetz</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Deutschlands</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Druck</w:t>
      </w:r>
      <w:proofErr w:type="spellEnd"/>
      <w:r>
        <w:rPr>
          <w:rFonts w:ascii="Times New Roman" w:hAnsi="Times New Roman" w:cs="Times New Roman"/>
          <w:sz w:val="24"/>
          <w:szCs w:val="24"/>
          <w:lang w:val="en-US"/>
        </w:rPr>
        <w:t xml:space="preserve">- und </w:t>
      </w:r>
      <w:proofErr w:type="spellStart"/>
      <w:r>
        <w:rPr>
          <w:rFonts w:ascii="Times New Roman" w:hAnsi="Times New Roman" w:cs="Times New Roman"/>
          <w:sz w:val="24"/>
          <w:szCs w:val="24"/>
          <w:lang w:val="en-US"/>
        </w:rPr>
        <w:t>Informationsamt</w:t>
      </w:r>
      <w:proofErr w:type="spellEnd"/>
      <w:r>
        <w:rPr>
          <w:rFonts w:ascii="Times New Roman" w:hAnsi="Times New Roman" w:cs="Times New Roman"/>
          <w:sz w:val="24"/>
          <w:szCs w:val="24"/>
          <w:lang w:val="en-US"/>
        </w:rPr>
        <w:t xml:space="preserve"> BRD, Bonn, 1998.</w:t>
      </w:r>
    </w:p>
    <w:p w:rsidR="004148F5" w:rsidRPr="004148F5" w:rsidRDefault="004148F5" w:rsidP="004148F5">
      <w:pPr>
        <w:pStyle w:val="a3"/>
        <w:numPr>
          <w:ilvl w:val="0"/>
          <w:numId w:val="1"/>
        </w:numPr>
        <w:jc w:val="both"/>
        <w:rPr>
          <w:rFonts w:ascii="Times New Roman" w:hAnsi="Times New Roman" w:cs="Times New Roman"/>
          <w:sz w:val="24"/>
          <w:szCs w:val="24"/>
        </w:rPr>
      </w:pPr>
      <w:r>
        <w:rPr>
          <w:rFonts w:ascii="Times New Roman" w:hAnsi="Times New Roman" w:cs="Times New Roman"/>
          <w:sz w:val="24"/>
          <w:szCs w:val="24"/>
          <w:lang w:val="en-US"/>
        </w:rPr>
        <w:t xml:space="preserve">Aus </w:t>
      </w:r>
      <w:proofErr w:type="spellStart"/>
      <w:r>
        <w:rPr>
          <w:rFonts w:ascii="Times New Roman" w:hAnsi="Times New Roman" w:cs="Times New Roman"/>
          <w:sz w:val="24"/>
          <w:szCs w:val="24"/>
          <w:lang w:val="en-US"/>
        </w:rPr>
        <w:t>Politik</w:t>
      </w:r>
      <w:proofErr w:type="spellEnd"/>
      <w:r>
        <w:rPr>
          <w:rFonts w:ascii="Times New Roman" w:hAnsi="Times New Roman" w:cs="Times New Roman"/>
          <w:sz w:val="24"/>
          <w:szCs w:val="24"/>
          <w:lang w:val="en-US"/>
        </w:rPr>
        <w:t xml:space="preserve"> und </w:t>
      </w:r>
      <w:proofErr w:type="spellStart"/>
      <w:r>
        <w:rPr>
          <w:rFonts w:ascii="Times New Roman" w:hAnsi="Times New Roman" w:cs="Times New Roman"/>
          <w:sz w:val="24"/>
          <w:szCs w:val="24"/>
          <w:lang w:val="en-US"/>
        </w:rPr>
        <w:t>Zeitgeschichte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Beilage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zur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Wochenzeitung</w:t>
      </w:r>
      <w:proofErr w:type="spellEnd"/>
      <w:r>
        <w:rPr>
          <w:rFonts w:ascii="Times New Roman" w:hAnsi="Times New Roman" w:cs="Times New Roman"/>
          <w:sz w:val="24"/>
          <w:szCs w:val="24"/>
          <w:lang w:val="en-US"/>
        </w:rPr>
        <w:t xml:space="preserve"> “Das </w:t>
      </w:r>
      <w:proofErr w:type="spellStart"/>
      <w:r>
        <w:rPr>
          <w:rFonts w:ascii="Times New Roman" w:hAnsi="Times New Roman" w:cs="Times New Roman"/>
          <w:sz w:val="24"/>
          <w:szCs w:val="24"/>
          <w:lang w:val="en-US"/>
        </w:rPr>
        <w:t>Parlament</w:t>
      </w:r>
      <w:proofErr w:type="spellEnd"/>
      <w:r>
        <w:rPr>
          <w:rFonts w:ascii="Times New Roman" w:hAnsi="Times New Roman" w:cs="Times New Roman"/>
          <w:sz w:val="24"/>
          <w:szCs w:val="24"/>
          <w:lang w:val="en-US"/>
        </w:rPr>
        <w:t>”, 2008, 24/25.</w:t>
      </w:r>
    </w:p>
    <w:p w:rsidR="004148F5" w:rsidRPr="004148F5" w:rsidRDefault="00076B73" w:rsidP="004148F5">
      <w:pPr>
        <w:pStyle w:val="a3"/>
        <w:numPr>
          <w:ilvl w:val="0"/>
          <w:numId w:val="1"/>
        </w:numPr>
        <w:jc w:val="both"/>
        <w:rPr>
          <w:rFonts w:ascii="Times New Roman" w:hAnsi="Times New Roman" w:cs="Times New Roman"/>
          <w:sz w:val="24"/>
          <w:szCs w:val="24"/>
        </w:rPr>
      </w:pPr>
      <w:r>
        <w:rPr>
          <w:rFonts w:ascii="Times New Roman" w:hAnsi="Times New Roman" w:cs="Times New Roman"/>
          <w:sz w:val="24"/>
          <w:szCs w:val="24"/>
          <w:lang w:val="en-US"/>
        </w:rPr>
        <w:t xml:space="preserve">BMSFJ: </w:t>
      </w:r>
      <w:proofErr w:type="spellStart"/>
      <w:r>
        <w:rPr>
          <w:rFonts w:ascii="Times New Roman" w:hAnsi="Times New Roman" w:cs="Times New Roman"/>
          <w:sz w:val="24"/>
          <w:szCs w:val="24"/>
          <w:lang w:val="en-US"/>
        </w:rPr>
        <w:t>Familie</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im</w:t>
      </w:r>
      <w:proofErr w:type="spellEnd"/>
      <w:r>
        <w:rPr>
          <w:rFonts w:ascii="Times New Roman" w:hAnsi="Times New Roman" w:cs="Times New Roman"/>
          <w:sz w:val="24"/>
          <w:szCs w:val="24"/>
          <w:lang w:val="en-US"/>
        </w:rPr>
        <w:t xml:space="preserve"> Spiegel </w:t>
      </w:r>
      <w:proofErr w:type="spellStart"/>
      <w:r>
        <w:rPr>
          <w:rFonts w:ascii="Times New Roman" w:hAnsi="Times New Roman" w:cs="Times New Roman"/>
          <w:sz w:val="24"/>
          <w:szCs w:val="24"/>
          <w:lang w:val="en-US"/>
        </w:rPr>
        <w:t>der</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amtlichen</w:t>
      </w:r>
      <w:proofErr w:type="spellEnd"/>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Statistik</w:t>
      </w:r>
      <w:proofErr w:type="spellEnd"/>
      <w:r>
        <w:rPr>
          <w:rFonts w:ascii="Times New Roman" w:hAnsi="Times New Roman" w:cs="Times New Roman"/>
          <w:sz w:val="24"/>
          <w:szCs w:val="24"/>
          <w:lang w:val="en-US"/>
        </w:rPr>
        <w:t>. Berlin, 2003,Bd.5(25).</w:t>
      </w:r>
    </w:p>
    <w:sectPr w:rsidR="004148F5" w:rsidRPr="004148F5" w:rsidSect="00B4182B">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BD17B6"/>
    <w:multiLevelType w:val="hybridMultilevel"/>
    <w:tmpl w:val="31A03F48"/>
    <w:lvl w:ilvl="0" w:tplc="1A1CE45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useFELayout/>
  </w:compat>
  <w:rsids>
    <w:rsidRoot w:val="00760041"/>
    <w:rsid w:val="00076B73"/>
    <w:rsid w:val="00317340"/>
    <w:rsid w:val="004148F5"/>
    <w:rsid w:val="00687C41"/>
    <w:rsid w:val="00760041"/>
    <w:rsid w:val="009A2C18"/>
    <w:rsid w:val="00B4182B"/>
    <w:rsid w:val="00B8438C"/>
    <w:rsid w:val="00D3374A"/>
    <w:rsid w:val="00D52DB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4182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48F5"/>
    <w:pPr>
      <w:ind w:left="720"/>
      <w:contextualSpacing/>
    </w:pPr>
  </w:style>
</w:styles>
</file>

<file path=word/webSettings.xml><?xml version="1.0" encoding="utf-8"?>
<w:webSettings xmlns:r="http://schemas.openxmlformats.org/officeDocument/2006/relationships" xmlns:w="http://schemas.openxmlformats.org/wordprocessingml/2006/main">
  <w:divs>
    <w:div w:id="208955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TotalTime>
  <Pages>2</Pages>
  <Words>3104</Words>
  <Characters>1770</Characters>
  <Application>Microsoft Office Word</Application>
  <DocSecurity>0</DocSecurity>
  <Lines>14</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4865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nauka</dc:creator>
  <cp:keywords/>
  <dc:description/>
  <cp:lastModifiedBy>nauka</cp:lastModifiedBy>
  <cp:revision>3</cp:revision>
  <dcterms:created xsi:type="dcterms:W3CDTF">2018-11-02T10:15:00Z</dcterms:created>
  <dcterms:modified xsi:type="dcterms:W3CDTF">2018-11-02T13:38:00Z</dcterms:modified>
</cp:coreProperties>
</file>