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05E9" w:rsidRDefault="00D55856" w:rsidP="00A51B5F">
      <w:pPr>
        <w:widowControl w:val="0"/>
        <w:spacing w:after="0" w:line="240" w:lineRule="auto"/>
        <w:ind w:firstLine="709"/>
        <w:rPr>
          <w:rFonts w:ascii="Times New Roman" w:hAnsi="Times New Roman" w:cs="Times New Roman"/>
          <w:noProof/>
          <w:sz w:val="24"/>
          <w:szCs w:val="24"/>
          <w:lang w:val="uk-UA"/>
        </w:rPr>
      </w:pPr>
      <w:bookmarkStart w:id="0" w:name="_GoBack"/>
      <w:bookmarkEnd w:id="0"/>
      <w:r>
        <w:rPr>
          <w:rFonts w:ascii="Times New Roman" w:hAnsi="Times New Roman" w:cs="Times New Roman"/>
          <w:noProof/>
          <w:sz w:val="24"/>
          <w:szCs w:val="24"/>
          <w:lang w:val="uk-UA"/>
        </w:rPr>
        <w:t>УДК</w:t>
      </w:r>
      <w:r w:rsidRPr="00D55856">
        <w:rPr>
          <w:rFonts w:ascii="Times New Roman" w:hAnsi="Times New Roman" w:cs="Times New Roman"/>
          <w:noProof/>
          <w:sz w:val="24"/>
          <w:szCs w:val="24"/>
          <w:lang w:val="uk-UA"/>
        </w:rPr>
        <w:t xml:space="preserve"> 336.71</w:t>
      </w:r>
    </w:p>
    <w:p w:rsidR="00D55856" w:rsidRPr="00A51B5F" w:rsidRDefault="00D55856" w:rsidP="00A51B5F">
      <w:pPr>
        <w:widowControl w:val="0"/>
        <w:spacing w:after="0" w:line="240" w:lineRule="auto"/>
        <w:ind w:firstLine="709"/>
        <w:rPr>
          <w:rFonts w:ascii="Times New Roman" w:hAnsi="Times New Roman" w:cs="Times New Roman"/>
          <w:noProof/>
          <w:sz w:val="16"/>
          <w:szCs w:val="16"/>
          <w:lang w:val="uk-UA"/>
        </w:rPr>
      </w:pPr>
    </w:p>
    <w:p w:rsidR="006305E9" w:rsidRPr="006305E9" w:rsidRDefault="006305E9" w:rsidP="00D76AAD">
      <w:pPr>
        <w:widowControl w:val="0"/>
        <w:spacing w:after="0" w:line="240" w:lineRule="auto"/>
        <w:jc w:val="center"/>
        <w:rPr>
          <w:rFonts w:ascii="Times New Roman" w:hAnsi="Times New Roman" w:cs="Times New Roman"/>
          <w:noProof/>
          <w:sz w:val="24"/>
          <w:szCs w:val="24"/>
          <w:lang w:val="uk-UA"/>
        </w:rPr>
      </w:pPr>
      <w:r w:rsidRPr="006305E9">
        <w:rPr>
          <w:rFonts w:ascii="Times New Roman" w:hAnsi="Times New Roman" w:cs="Times New Roman"/>
          <w:b/>
          <w:noProof/>
          <w:sz w:val="24"/>
          <w:szCs w:val="24"/>
          <w:lang w:val="uk-UA"/>
        </w:rPr>
        <w:t>МЕТОДИ УПРАВЛІННЯ КРЕДИТНИМ РИЗИКОМ БАНКУ</w:t>
      </w:r>
    </w:p>
    <w:p w:rsidR="006305E9" w:rsidRPr="00A51B5F" w:rsidRDefault="006305E9" w:rsidP="00D76AAD">
      <w:pPr>
        <w:widowControl w:val="0"/>
        <w:spacing w:after="0" w:line="240" w:lineRule="auto"/>
        <w:jc w:val="center"/>
        <w:rPr>
          <w:rFonts w:ascii="Times New Roman" w:eastAsia="Calibri" w:hAnsi="Times New Roman" w:cs="Times New Roman"/>
          <w:b/>
          <w:noProof/>
          <w:sz w:val="16"/>
          <w:szCs w:val="16"/>
          <w:lang w:val="uk-UA"/>
        </w:rPr>
      </w:pPr>
    </w:p>
    <w:p w:rsidR="003045F3" w:rsidRDefault="006305E9" w:rsidP="00D76AAD">
      <w:pPr>
        <w:widowControl w:val="0"/>
        <w:spacing w:after="0" w:line="240" w:lineRule="auto"/>
        <w:jc w:val="center"/>
        <w:rPr>
          <w:rFonts w:ascii="Times New Roman" w:eastAsia="Calibri" w:hAnsi="Times New Roman" w:cs="Times New Roman"/>
          <w:noProof/>
          <w:sz w:val="24"/>
          <w:szCs w:val="24"/>
          <w:lang w:val="uk-UA"/>
        </w:rPr>
      </w:pPr>
      <w:r w:rsidRPr="006305E9">
        <w:rPr>
          <w:rFonts w:ascii="Times New Roman" w:eastAsia="Calibri" w:hAnsi="Times New Roman" w:cs="Times New Roman"/>
          <w:b/>
          <w:noProof/>
          <w:sz w:val="24"/>
          <w:szCs w:val="24"/>
          <w:lang w:val="uk-UA"/>
        </w:rPr>
        <w:t>Ларіонова К.Л.</w:t>
      </w:r>
      <w:r w:rsidRPr="006305E9">
        <w:rPr>
          <w:rFonts w:ascii="Times New Roman" w:eastAsia="Calibri" w:hAnsi="Times New Roman" w:cs="Times New Roman"/>
          <w:noProof/>
          <w:sz w:val="24"/>
          <w:szCs w:val="24"/>
          <w:lang w:val="uk-UA"/>
        </w:rPr>
        <w:t>,</w:t>
      </w:r>
    </w:p>
    <w:p w:rsidR="003045F3" w:rsidRPr="003045F3" w:rsidRDefault="003045F3" w:rsidP="00D76AAD">
      <w:pPr>
        <w:widowControl w:val="0"/>
        <w:spacing w:after="0" w:line="240" w:lineRule="auto"/>
        <w:jc w:val="center"/>
        <w:rPr>
          <w:rFonts w:ascii="Times New Roman" w:eastAsia="Calibri" w:hAnsi="Times New Roman" w:cs="Times New Roman"/>
          <w:noProof/>
          <w:sz w:val="24"/>
          <w:szCs w:val="24"/>
          <w:lang w:val="uk-UA"/>
        </w:rPr>
      </w:pPr>
      <w:r w:rsidRPr="003045F3">
        <w:rPr>
          <w:rFonts w:ascii="Times New Roman" w:eastAsia="Calibri" w:hAnsi="Times New Roman" w:cs="Times New Roman"/>
          <w:noProof/>
          <w:sz w:val="24"/>
          <w:szCs w:val="24"/>
          <w:lang w:val="uk-UA"/>
        </w:rPr>
        <w:t>к.е.н., доцент кафедри фінансів, банківської справи та страхування,</w:t>
      </w:r>
    </w:p>
    <w:p w:rsidR="006305E9" w:rsidRPr="006305E9" w:rsidRDefault="003045F3" w:rsidP="00D76AAD">
      <w:pPr>
        <w:widowControl w:val="0"/>
        <w:spacing w:after="0" w:line="240" w:lineRule="auto"/>
        <w:jc w:val="center"/>
        <w:rPr>
          <w:rFonts w:ascii="Times New Roman" w:eastAsia="Calibri" w:hAnsi="Times New Roman" w:cs="Times New Roman"/>
          <w:noProof/>
          <w:sz w:val="24"/>
          <w:szCs w:val="24"/>
          <w:lang w:val="uk-UA"/>
        </w:rPr>
      </w:pPr>
      <w:r w:rsidRPr="003045F3">
        <w:rPr>
          <w:rFonts w:ascii="Times New Roman" w:eastAsia="Calibri" w:hAnsi="Times New Roman" w:cs="Times New Roman"/>
          <w:noProof/>
          <w:sz w:val="24"/>
          <w:szCs w:val="24"/>
          <w:lang w:val="uk-UA"/>
        </w:rPr>
        <w:t>Хмельницький національний університет</w:t>
      </w:r>
    </w:p>
    <w:p w:rsidR="006305E9" w:rsidRDefault="006305E9" w:rsidP="00D76AAD">
      <w:pPr>
        <w:widowControl w:val="0"/>
        <w:spacing w:after="0" w:line="240" w:lineRule="auto"/>
        <w:jc w:val="center"/>
        <w:rPr>
          <w:rFonts w:ascii="Times New Roman" w:eastAsia="Calibri" w:hAnsi="Times New Roman" w:cs="Times New Roman"/>
          <w:noProof/>
          <w:sz w:val="24"/>
          <w:szCs w:val="24"/>
          <w:lang w:val="uk-UA"/>
        </w:rPr>
      </w:pPr>
      <w:r w:rsidRPr="006305E9">
        <w:rPr>
          <w:rFonts w:ascii="Times New Roman" w:eastAsia="Calibri" w:hAnsi="Times New Roman" w:cs="Times New Roman"/>
          <w:b/>
          <w:noProof/>
          <w:sz w:val="24"/>
          <w:szCs w:val="24"/>
          <w:lang w:val="uk-UA"/>
        </w:rPr>
        <w:t>Голик Т.М.</w:t>
      </w:r>
      <w:r w:rsidRPr="006305E9">
        <w:rPr>
          <w:rFonts w:ascii="Times New Roman" w:eastAsia="Calibri" w:hAnsi="Times New Roman" w:cs="Times New Roman"/>
          <w:noProof/>
          <w:sz w:val="24"/>
          <w:szCs w:val="24"/>
          <w:lang w:val="uk-UA"/>
        </w:rPr>
        <w:t>,</w:t>
      </w:r>
    </w:p>
    <w:p w:rsidR="006305E9" w:rsidRPr="006305E9" w:rsidRDefault="006305E9" w:rsidP="00D76AAD">
      <w:pPr>
        <w:widowControl w:val="0"/>
        <w:spacing w:after="0" w:line="240" w:lineRule="auto"/>
        <w:jc w:val="center"/>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магістрант кафедри фінансів, банківської справи та страхування,</w:t>
      </w:r>
    </w:p>
    <w:p w:rsidR="006305E9" w:rsidRDefault="006305E9" w:rsidP="00D76AAD">
      <w:pPr>
        <w:widowControl w:val="0"/>
        <w:spacing w:after="0" w:line="240" w:lineRule="auto"/>
        <w:jc w:val="center"/>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Хмельницький національний університет</w:t>
      </w:r>
    </w:p>
    <w:p w:rsidR="006305E9" w:rsidRPr="006305E9" w:rsidRDefault="006305E9" w:rsidP="00D76AAD">
      <w:pPr>
        <w:widowControl w:val="0"/>
        <w:spacing w:after="0" w:line="240" w:lineRule="auto"/>
        <w:jc w:val="center"/>
        <w:rPr>
          <w:rFonts w:ascii="Times New Roman" w:eastAsia="Calibri" w:hAnsi="Times New Roman" w:cs="Times New Roman"/>
          <w:b/>
          <w:noProof/>
          <w:sz w:val="24"/>
          <w:szCs w:val="24"/>
          <w:lang w:val="uk-UA"/>
        </w:rPr>
      </w:pP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b/>
          <w:noProof/>
          <w:sz w:val="24"/>
          <w:szCs w:val="24"/>
          <w:lang w:val="uk-UA"/>
        </w:rPr>
        <w:t xml:space="preserve">Постановка проблеми. </w:t>
      </w:r>
      <w:r w:rsidR="00AA0B42" w:rsidRPr="00AA0B42">
        <w:rPr>
          <w:rFonts w:ascii="Times New Roman" w:eastAsia="Calibri" w:hAnsi="Times New Roman" w:cs="Times New Roman"/>
          <w:noProof/>
          <w:sz w:val="24"/>
          <w:szCs w:val="24"/>
          <w:lang w:val="uk-UA"/>
        </w:rPr>
        <w:t>В ринкових умовах проблема банківських ризиків набуває особливого значення, адже ефективність діяльності банків забезпечується саме тоді, коли прийняті ними ризики знаходяться під контролем і в межах їх фінансових можливостей. Кредитний ризик займає значне місце серед банківських ризиків, оскільки кредитування залишається найбільш динамічним видом банківських операцій. Це обумовлює необхідність розробки банками ефективного кредитного ризик-менеджменту, чого не можливо реалізувати без аналі</w:t>
      </w:r>
      <w:r w:rsidR="00AA0B42">
        <w:rPr>
          <w:rFonts w:ascii="Times New Roman" w:eastAsia="Calibri" w:hAnsi="Times New Roman" w:cs="Times New Roman"/>
          <w:noProof/>
          <w:sz w:val="24"/>
          <w:szCs w:val="24"/>
          <w:lang w:val="uk-UA"/>
        </w:rPr>
        <w:t>зу сутності кредитного ризику,</w:t>
      </w:r>
      <w:r w:rsidR="00AA0B42" w:rsidRPr="00AA0B42">
        <w:rPr>
          <w:rFonts w:ascii="Times New Roman" w:eastAsia="Calibri" w:hAnsi="Times New Roman" w:cs="Times New Roman"/>
          <w:noProof/>
          <w:sz w:val="24"/>
          <w:szCs w:val="24"/>
          <w:lang w:val="uk-UA"/>
        </w:rPr>
        <w:t xml:space="preserve"> визначення факторів, які впливають на нього</w:t>
      </w:r>
      <w:r w:rsidR="00AA0B42">
        <w:rPr>
          <w:rFonts w:ascii="Times New Roman" w:eastAsia="Calibri" w:hAnsi="Times New Roman" w:cs="Times New Roman"/>
          <w:noProof/>
          <w:sz w:val="24"/>
          <w:szCs w:val="24"/>
          <w:lang w:val="uk-UA"/>
        </w:rPr>
        <w:t xml:space="preserve"> та вибору методів управління кредитним ризиком банку</w:t>
      </w:r>
      <w:r w:rsidR="00AA0B42" w:rsidRPr="00AA0B42">
        <w:rPr>
          <w:rFonts w:ascii="Times New Roman" w:eastAsia="Calibri" w:hAnsi="Times New Roman" w:cs="Times New Roman"/>
          <w:noProof/>
          <w:sz w:val="24"/>
          <w:szCs w:val="24"/>
          <w:lang w:val="uk-UA"/>
        </w:rPr>
        <w:t>.</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b/>
          <w:noProof/>
          <w:sz w:val="24"/>
          <w:szCs w:val="24"/>
          <w:lang w:val="uk-UA"/>
        </w:rPr>
        <w:t xml:space="preserve">Аналіз досліджень та публікацій. </w:t>
      </w:r>
      <w:r w:rsidRPr="006305E9">
        <w:rPr>
          <w:rFonts w:ascii="Times New Roman" w:hAnsi="Times New Roman" w:cs="Times New Roman"/>
          <w:noProof/>
          <w:sz w:val="24"/>
          <w:szCs w:val="24"/>
          <w:lang w:val="uk-UA"/>
        </w:rPr>
        <w:t>Питанням управління кредитними ризиками присвячені наукові публікації та статті українських учених-економістів і науковців, зокрема таких, як: І.А. Бланк, В.В. Вітлінський, Л. Бондаренко, В.І. Грушко, А.Т. Гловко, О.І. Кіреєв, О.С. Любунь, С.І. Накончний, О.В. Пернарівський, О.С. Полетаєва, Л.О. Примостка, Т.С. Смовженко, Н.П. Шульга, О.І. Ястремський та інші.</w:t>
      </w:r>
    </w:p>
    <w:p w:rsidR="006305E9" w:rsidRPr="006305E9" w:rsidRDefault="006305E9" w:rsidP="00A51B5F">
      <w:pPr>
        <w:widowControl w:val="0"/>
        <w:spacing w:after="0" w:line="240" w:lineRule="auto"/>
        <w:ind w:firstLine="709"/>
        <w:jc w:val="both"/>
        <w:rPr>
          <w:rFonts w:ascii="Times New Roman" w:hAnsi="Times New Roman" w:cs="Times New Roman"/>
          <w:noProof/>
          <w:color w:val="333333"/>
          <w:sz w:val="24"/>
          <w:szCs w:val="24"/>
          <w:shd w:val="clear" w:color="auto" w:fill="FFFFFF"/>
          <w:lang w:val="uk-UA"/>
        </w:rPr>
      </w:pPr>
      <w:r w:rsidRPr="006305E9">
        <w:rPr>
          <w:rFonts w:ascii="Times New Roman" w:eastAsia="Calibri" w:hAnsi="Times New Roman" w:cs="Times New Roman"/>
          <w:b/>
          <w:noProof/>
          <w:sz w:val="24"/>
          <w:szCs w:val="24"/>
          <w:lang w:val="uk-UA"/>
        </w:rPr>
        <w:t xml:space="preserve">Мета статті. </w:t>
      </w:r>
      <w:r w:rsidRPr="006305E9">
        <w:rPr>
          <w:rFonts w:ascii="Times New Roman" w:hAnsi="Times New Roman" w:cs="Times New Roman"/>
          <w:noProof/>
          <w:sz w:val="24"/>
          <w:szCs w:val="24"/>
          <w:lang w:val="uk-UA"/>
        </w:rPr>
        <w:t>Метою статті є виокремлення шляхів зниже</w:t>
      </w:r>
      <w:r w:rsidR="003045F3">
        <w:rPr>
          <w:rFonts w:ascii="Times New Roman" w:hAnsi="Times New Roman" w:cs="Times New Roman"/>
          <w:noProof/>
          <w:sz w:val="24"/>
          <w:szCs w:val="24"/>
          <w:lang w:val="uk-UA"/>
        </w:rPr>
        <w:t>ння кредитних ризиків як напрямів</w:t>
      </w:r>
      <w:r w:rsidRPr="006305E9">
        <w:rPr>
          <w:rFonts w:ascii="Times New Roman" w:hAnsi="Times New Roman" w:cs="Times New Roman"/>
          <w:noProof/>
          <w:sz w:val="24"/>
          <w:szCs w:val="24"/>
          <w:lang w:val="uk-UA"/>
        </w:rPr>
        <w:t xml:space="preserve"> мінімізації їх негативного впливу.</w:t>
      </w:r>
    </w:p>
    <w:p w:rsidR="006305E9" w:rsidRDefault="006305E9" w:rsidP="00A51B5F">
      <w:pPr>
        <w:widowControl w:val="0"/>
        <w:spacing w:after="0" w:line="240" w:lineRule="auto"/>
        <w:ind w:firstLine="709"/>
        <w:jc w:val="both"/>
        <w:rPr>
          <w:rFonts w:ascii="Times New Roman" w:hAnsi="Times New Roman" w:cs="Times New Roman"/>
          <w:noProof/>
          <w:sz w:val="24"/>
          <w:szCs w:val="24"/>
          <w:shd w:val="clear" w:color="auto" w:fill="FFFFFF"/>
          <w:lang w:val="uk-UA"/>
        </w:rPr>
      </w:pPr>
      <w:r w:rsidRPr="006305E9">
        <w:rPr>
          <w:rFonts w:ascii="Times New Roman" w:eastAsia="Calibri" w:hAnsi="Times New Roman" w:cs="Times New Roman"/>
          <w:b/>
          <w:noProof/>
          <w:sz w:val="24"/>
          <w:szCs w:val="24"/>
          <w:lang w:val="uk-UA"/>
        </w:rPr>
        <w:t xml:space="preserve">Виклад основного матеріалу. </w:t>
      </w:r>
      <w:r w:rsidRPr="006305E9">
        <w:rPr>
          <w:rFonts w:ascii="Times New Roman" w:eastAsia="Calibri" w:hAnsi="Times New Roman" w:cs="Times New Roman"/>
          <w:noProof/>
          <w:sz w:val="24"/>
          <w:szCs w:val="24"/>
          <w:lang w:val="uk-UA"/>
        </w:rPr>
        <w:t xml:space="preserve">Банковський сектор є «кровоносною системою», однією з найважливіших елементів економіки, що забезпечує безперервний рух фінансових ресурсів та її подальший розвиток. Кредитування є найбільш дохідним видом діяльності банку, і відповідно більш ризикованим. </w:t>
      </w:r>
      <w:r w:rsidRPr="006305E9">
        <w:rPr>
          <w:rFonts w:ascii="Times New Roman" w:hAnsi="Times New Roman" w:cs="Times New Roman"/>
          <w:noProof/>
          <w:sz w:val="24"/>
          <w:szCs w:val="24"/>
          <w:shd w:val="clear" w:color="auto" w:fill="FFFFFF"/>
          <w:lang w:val="uk-UA"/>
        </w:rPr>
        <w:t>Банківські ризики стали на сьогоднішній день невід’ємною складовою практичної діяльності будь-кого банку. Мінливе фінансово-економічне середовище, що викликає коливання на фінансових ринках та ринках банківських послуг, зниження платоспроможності позичальників, помилки у правових аспектах діяльності банків, неправильно сформовані стратегії банків – все це є постійними загрозами нормальному функціонуванню банківських установ та поступової втрати ними своєї фінансової стійкості.</w:t>
      </w:r>
    </w:p>
    <w:p w:rsidR="00CE5442" w:rsidRPr="00CE5442" w:rsidRDefault="00CE5442" w:rsidP="00A51B5F">
      <w:pPr>
        <w:widowControl w:val="0"/>
        <w:spacing w:after="0" w:line="240" w:lineRule="auto"/>
        <w:ind w:firstLine="709"/>
        <w:jc w:val="both"/>
        <w:rPr>
          <w:rFonts w:ascii="Times New Roman" w:eastAsia="Calibri" w:hAnsi="Times New Roman" w:cs="Times New Roman"/>
          <w:noProof/>
          <w:sz w:val="24"/>
          <w:szCs w:val="24"/>
          <w:lang w:val="uk-UA"/>
        </w:rPr>
      </w:pPr>
      <w:r w:rsidRPr="00CE5442">
        <w:rPr>
          <w:rFonts w:ascii="Times New Roman" w:eastAsia="Calibri" w:hAnsi="Times New Roman" w:cs="Times New Roman"/>
          <w:noProof/>
          <w:sz w:val="24"/>
          <w:szCs w:val="24"/>
          <w:lang w:val="uk-UA"/>
        </w:rPr>
        <w:t>В дослідженнях як українських, так і іноземних науковців питання, пов’язані із теорією ризику, висвітлені в достатній мірі, однак серед них немає єдиної позиції щодо трактування його сутності, не повністю враховується вся багатоаспектність його прояву, що робить досить важким визначення цієї категорії. Водночас, узагальнюючи існуючі підходи, економічна наука виділяє три їх різновиди, що відображають сутнісне розуміння ризику: ризик як невдача, небезпека втрат, понесення збитків;</w:t>
      </w:r>
      <w:r>
        <w:rPr>
          <w:rFonts w:ascii="Times New Roman" w:eastAsia="Calibri" w:hAnsi="Times New Roman" w:cs="Times New Roman"/>
          <w:noProof/>
          <w:sz w:val="24"/>
          <w:szCs w:val="24"/>
          <w:lang w:val="uk-UA"/>
        </w:rPr>
        <w:t xml:space="preserve"> </w:t>
      </w:r>
      <w:r w:rsidRPr="00CE5442">
        <w:rPr>
          <w:rFonts w:ascii="Times New Roman" w:eastAsia="Calibri" w:hAnsi="Times New Roman" w:cs="Times New Roman"/>
          <w:noProof/>
          <w:sz w:val="24"/>
          <w:szCs w:val="24"/>
          <w:lang w:val="uk-UA"/>
        </w:rPr>
        <w:t>ризик як результат невизначеності середовища, тобто це можливість втрат або ж дія на невдачу;</w:t>
      </w:r>
      <w:r>
        <w:rPr>
          <w:rFonts w:ascii="Times New Roman" w:eastAsia="Calibri" w:hAnsi="Times New Roman" w:cs="Times New Roman"/>
          <w:noProof/>
          <w:sz w:val="24"/>
          <w:szCs w:val="24"/>
          <w:lang w:val="uk-UA"/>
        </w:rPr>
        <w:t xml:space="preserve"> </w:t>
      </w:r>
      <w:r w:rsidRPr="00CE5442">
        <w:rPr>
          <w:rFonts w:ascii="Times New Roman" w:eastAsia="Calibri" w:hAnsi="Times New Roman" w:cs="Times New Roman"/>
          <w:noProof/>
          <w:sz w:val="24"/>
          <w:szCs w:val="24"/>
          <w:lang w:val="uk-UA"/>
        </w:rPr>
        <w:t>як можливість позитивного (шанс) і негативного (збиток) результату прояву ризику.</w:t>
      </w:r>
    </w:p>
    <w:p w:rsidR="006305E9" w:rsidRDefault="006305E9" w:rsidP="00A51B5F">
      <w:pPr>
        <w:widowControl w:val="0"/>
        <w:spacing w:after="0" w:line="240" w:lineRule="auto"/>
        <w:ind w:firstLine="709"/>
        <w:jc w:val="both"/>
        <w:rPr>
          <w:rFonts w:ascii="Times New Roman" w:hAnsi="Times New Roman" w:cs="Times New Roman"/>
          <w:noProof/>
          <w:sz w:val="24"/>
          <w:szCs w:val="24"/>
          <w:lang w:val="uk-UA"/>
        </w:rPr>
      </w:pPr>
      <w:r w:rsidRPr="006305E9">
        <w:rPr>
          <w:rFonts w:ascii="Times New Roman" w:hAnsi="Times New Roman" w:cs="Times New Roman"/>
          <w:noProof/>
          <w:sz w:val="24"/>
          <w:szCs w:val="24"/>
          <w:shd w:val="clear" w:color="auto" w:fill="FFFFFF"/>
          <w:lang w:val="uk-UA"/>
        </w:rPr>
        <w:t xml:space="preserve">Щодо сутності власне кредитного ризику, то у нормативній базі України, йому дали таке визначення: кредитний ризик - розмір очікуваних втрат (збитків) за активом унаслідок дефолту боржника/контрагента [2]. Проте досліджуючи прирду кредитного ризику, різні науковці давали йому різне визначення, дивлячись з аспекту якого вони його досліджували. Так, Коваленко В. В. дає своє визначення: </w:t>
      </w:r>
      <w:r w:rsidRPr="006305E9">
        <w:rPr>
          <w:rFonts w:ascii="Times New Roman" w:hAnsi="Times New Roman" w:cs="Times New Roman"/>
          <w:noProof/>
          <w:sz w:val="24"/>
          <w:szCs w:val="24"/>
          <w:lang w:val="uk-UA"/>
        </w:rPr>
        <w:t>кредитний ризик – це наявний або потенційний ризик для надходжень та капіталу, який виникає через неспроможність сторони, що взяла на себе зобов’язання, виконати умови будь-якої фінансової угоди з банком або в інший спосіб виконати взяті на себе зобов’язання [3].</w:t>
      </w:r>
    </w:p>
    <w:p w:rsidR="00A51B5F" w:rsidRPr="00A51B5F" w:rsidRDefault="00A51B5F" w:rsidP="00A51B5F">
      <w:pPr>
        <w:widowControl w:val="0"/>
        <w:spacing w:after="0" w:line="240" w:lineRule="auto"/>
        <w:ind w:firstLine="709"/>
        <w:jc w:val="both"/>
        <w:rPr>
          <w:rFonts w:ascii="Times New Roman" w:hAnsi="Times New Roman" w:cs="Times New Roman"/>
          <w:noProof/>
          <w:sz w:val="24"/>
          <w:szCs w:val="24"/>
          <w:lang w:val="uk-UA"/>
        </w:rPr>
      </w:pPr>
      <w:r w:rsidRPr="00A51B5F">
        <w:rPr>
          <w:rFonts w:ascii="Times New Roman" w:hAnsi="Times New Roman" w:cs="Times New Roman"/>
          <w:noProof/>
          <w:sz w:val="24"/>
          <w:szCs w:val="24"/>
          <w:lang w:val="uk-UA"/>
        </w:rPr>
        <w:t xml:space="preserve">Отже, критичний аналіз підходів до трактування кредитного ризику дозволив сформулювати його власне тлумачення. На нашу думку, під кредитним ризиком слід розуміти </w:t>
      </w:r>
      <w:r w:rsidRPr="00A51B5F">
        <w:rPr>
          <w:rFonts w:ascii="Times New Roman" w:hAnsi="Times New Roman" w:cs="Times New Roman"/>
          <w:noProof/>
          <w:sz w:val="24"/>
          <w:szCs w:val="24"/>
          <w:lang w:val="uk-UA"/>
        </w:rPr>
        <w:lastRenderedPageBreak/>
        <w:t>грошове вираження наслідків порушення</w:t>
      </w:r>
      <w:r>
        <w:rPr>
          <w:rFonts w:ascii="Times New Roman" w:hAnsi="Times New Roman" w:cs="Times New Roman"/>
          <w:noProof/>
          <w:sz w:val="24"/>
          <w:szCs w:val="24"/>
          <w:lang w:val="uk-UA"/>
        </w:rPr>
        <w:t xml:space="preserve"> </w:t>
      </w:r>
      <w:r w:rsidRPr="00A51B5F">
        <w:rPr>
          <w:rFonts w:ascii="Times New Roman" w:hAnsi="Times New Roman" w:cs="Times New Roman"/>
          <w:noProof/>
          <w:sz w:val="24"/>
          <w:szCs w:val="24"/>
          <w:lang w:val="uk-UA"/>
        </w:rPr>
        <w:t>позичальником взятих на себе зобов’язань перед кредитором, що виявляється у неможливості внаслідок дії зовнішніх та внутрішніх чинників дотримання графіку повернення наданої на тимчасовій і платній основі вартості у належних обсягах, що спричиняє недоотримання кредитором запланованого рівня доходів від здійсненої операції.</w:t>
      </w:r>
    </w:p>
    <w:p w:rsidR="00A51B5F" w:rsidRPr="00A51B5F" w:rsidRDefault="00A51B5F" w:rsidP="00A51B5F">
      <w:pPr>
        <w:widowControl w:val="0"/>
        <w:spacing w:after="0" w:line="240" w:lineRule="auto"/>
        <w:ind w:firstLine="709"/>
        <w:jc w:val="both"/>
        <w:rPr>
          <w:rFonts w:ascii="Times New Roman" w:hAnsi="Times New Roman" w:cs="Times New Roman"/>
          <w:noProof/>
          <w:sz w:val="24"/>
          <w:szCs w:val="24"/>
          <w:lang w:val="uk-UA"/>
        </w:rPr>
      </w:pPr>
      <w:r w:rsidRPr="00A51B5F">
        <w:rPr>
          <w:rFonts w:ascii="Times New Roman" w:hAnsi="Times New Roman" w:cs="Times New Roman"/>
          <w:noProof/>
          <w:sz w:val="24"/>
          <w:szCs w:val="24"/>
          <w:lang w:val="uk-UA"/>
        </w:rPr>
        <w:t>Наведене визначення кредитного ризику не лише узагальнює сучасні підходи до його трактування, але й:</w:t>
      </w:r>
      <w:r>
        <w:rPr>
          <w:rFonts w:ascii="Times New Roman" w:hAnsi="Times New Roman" w:cs="Times New Roman"/>
          <w:noProof/>
          <w:sz w:val="24"/>
          <w:szCs w:val="24"/>
          <w:lang w:val="uk-UA"/>
        </w:rPr>
        <w:t xml:space="preserve"> </w:t>
      </w:r>
      <w:r w:rsidRPr="00A51B5F">
        <w:rPr>
          <w:rFonts w:ascii="Times New Roman" w:hAnsi="Times New Roman" w:cs="Times New Roman"/>
          <w:noProof/>
          <w:sz w:val="24"/>
          <w:szCs w:val="24"/>
          <w:lang w:val="uk-UA"/>
        </w:rPr>
        <w:t>акцентує увагу на суб’єктах (кредитор, позичальник) та об’єкті (вартість) кредитної операції;</w:t>
      </w:r>
      <w:r>
        <w:rPr>
          <w:rFonts w:ascii="Times New Roman" w:hAnsi="Times New Roman" w:cs="Times New Roman"/>
          <w:noProof/>
          <w:sz w:val="24"/>
          <w:szCs w:val="24"/>
          <w:lang w:val="uk-UA"/>
        </w:rPr>
        <w:t xml:space="preserve"> </w:t>
      </w:r>
      <w:r w:rsidRPr="00A51B5F">
        <w:rPr>
          <w:rFonts w:ascii="Times New Roman" w:hAnsi="Times New Roman" w:cs="Times New Roman"/>
          <w:noProof/>
          <w:sz w:val="24"/>
          <w:szCs w:val="24"/>
          <w:lang w:val="uk-UA"/>
        </w:rPr>
        <w:t>враховує грошове вираження реалізації кредитного ризику;</w:t>
      </w:r>
      <w:r>
        <w:rPr>
          <w:rFonts w:ascii="Times New Roman" w:hAnsi="Times New Roman" w:cs="Times New Roman"/>
          <w:noProof/>
          <w:sz w:val="24"/>
          <w:szCs w:val="24"/>
          <w:lang w:val="uk-UA"/>
        </w:rPr>
        <w:t xml:space="preserve"> </w:t>
      </w:r>
      <w:r w:rsidRPr="00A51B5F">
        <w:rPr>
          <w:rFonts w:ascii="Times New Roman" w:hAnsi="Times New Roman" w:cs="Times New Roman"/>
          <w:noProof/>
          <w:sz w:val="24"/>
          <w:szCs w:val="24"/>
          <w:lang w:val="uk-UA"/>
        </w:rPr>
        <w:t>вказує, що існує саме ймовірність порушення зобов’язань позичальником (як один із варіантів виникнення події);</w:t>
      </w:r>
      <w:r>
        <w:rPr>
          <w:rFonts w:ascii="Times New Roman" w:hAnsi="Times New Roman" w:cs="Times New Roman"/>
          <w:noProof/>
          <w:sz w:val="24"/>
          <w:szCs w:val="24"/>
          <w:lang w:val="uk-UA"/>
        </w:rPr>
        <w:t xml:space="preserve"> </w:t>
      </w:r>
      <w:r w:rsidRPr="00A51B5F">
        <w:rPr>
          <w:rFonts w:ascii="Times New Roman" w:hAnsi="Times New Roman" w:cs="Times New Roman"/>
          <w:noProof/>
          <w:sz w:val="24"/>
          <w:szCs w:val="24"/>
          <w:lang w:val="uk-UA"/>
        </w:rPr>
        <w:t xml:space="preserve"> відмічає, що порушення умови повернення кредитних ресурсів може бути спричинене дією як зовнішніх, так і внутрішніх факторів, що свідчить про можливість виникнення кредитного ризику як з вини позичальника, кредитора, так і внаслідок несприятливого впливу макроекономічної ситуації на їх діяльність;</w:t>
      </w:r>
      <w:r>
        <w:rPr>
          <w:rFonts w:ascii="Times New Roman" w:hAnsi="Times New Roman" w:cs="Times New Roman"/>
          <w:noProof/>
          <w:sz w:val="24"/>
          <w:szCs w:val="24"/>
          <w:lang w:val="uk-UA"/>
        </w:rPr>
        <w:t xml:space="preserve"> </w:t>
      </w:r>
      <w:r w:rsidRPr="00A51B5F">
        <w:rPr>
          <w:rFonts w:ascii="Times New Roman" w:hAnsi="Times New Roman" w:cs="Times New Roman"/>
          <w:noProof/>
          <w:sz w:val="24"/>
          <w:szCs w:val="24"/>
          <w:lang w:val="uk-UA"/>
        </w:rPr>
        <w:t xml:space="preserve"> вказує, що невизначеність ситуації щодо функціонування контрагентів може лише погіршити очікуваний цільовий результат; звертає увагу на мету здійснення кредитної операції, а саме на отримання запланованого рівня доходу.</w:t>
      </w:r>
    </w:p>
    <w:p w:rsidR="00A51B5F" w:rsidRDefault="00A51B5F" w:rsidP="00A51B5F">
      <w:pPr>
        <w:widowControl w:val="0"/>
        <w:spacing w:after="0" w:line="240" w:lineRule="auto"/>
        <w:ind w:firstLine="709"/>
        <w:jc w:val="both"/>
        <w:rPr>
          <w:rFonts w:ascii="Times New Roman" w:hAnsi="Times New Roman" w:cs="Times New Roman"/>
          <w:noProof/>
          <w:sz w:val="24"/>
          <w:szCs w:val="24"/>
          <w:lang w:val="uk-UA"/>
        </w:rPr>
      </w:pPr>
      <w:r w:rsidRPr="00A51B5F">
        <w:rPr>
          <w:rFonts w:ascii="Times New Roman" w:hAnsi="Times New Roman" w:cs="Times New Roman"/>
          <w:noProof/>
          <w:sz w:val="24"/>
          <w:szCs w:val="24"/>
          <w:lang w:val="uk-UA"/>
        </w:rPr>
        <w:t>Розуміння останнього положення особливо важливе з практичної позиції, адже для ефективного функціонування банку кредитний ризик повинен</w:t>
      </w:r>
      <w:r>
        <w:rPr>
          <w:rFonts w:ascii="Times New Roman" w:hAnsi="Times New Roman" w:cs="Times New Roman"/>
          <w:noProof/>
          <w:sz w:val="24"/>
          <w:szCs w:val="24"/>
          <w:lang w:val="uk-UA"/>
        </w:rPr>
        <w:t xml:space="preserve"> </w:t>
      </w:r>
      <w:r w:rsidRPr="00A51B5F">
        <w:rPr>
          <w:rFonts w:ascii="Times New Roman" w:hAnsi="Times New Roman" w:cs="Times New Roman"/>
          <w:noProof/>
          <w:sz w:val="24"/>
          <w:szCs w:val="24"/>
          <w:lang w:val="uk-UA"/>
        </w:rPr>
        <w:t>сприйматись не як ймовірність негативної події та як небезпека, а діяльність, спрямована на отримання доходів.</w:t>
      </w:r>
    </w:p>
    <w:p w:rsidR="006305E9" w:rsidRPr="006305E9" w:rsidRDefault="006305E9" w:rsidP="00A51B5F">
      <w:pPr>
        <w:widowControl w:val="0"/>
        <w:spacing w:after="0" w:line="240" w:lineRule="auto"/>
        <w:ind w:firstLine="709"/>
        <w:jc w:val="both"/>
        <w:rPr>
          <w:rFonts w:ascii="Times New Roman" w:hAnsi="Times New Roman" w:cs="Times New Roman"/>
          <w:noProof/>
          <w:sz w:val="24"/>
          <w:szCs w:val="24"/>
          <w:lang w:val="uk-UA"/>
        </w:rPr>
      </w:pPr>
      <w:r w:rsidRPr="006305E9">
        <w:rPr>
          <w:rFonts w:ascii="Times New Roman" w:hAnsi="Times New Roman" w:cs="Times New Roman"/>
          <w:noProof/>
          <w:sz w:val="24"/>
          <w:szCs w:val="24"/>
          <w:lang w:val="uk-UA"/>
        </w:rPr>
        <w:t>Дана тема стала однією з значимих тем у економічній науці. Незважаючи на значний розвиток цього напряму в області фінансово-економічних досліджень, необхідно визнати, що існує безліч невирішених питань у цій області. Зокрема нині фін</w:t>
      </w:r>
      <w:r w:rsidR="00CE5442">
        <w:rPr>
          <w:rFonts w:ascii="Times New Roman" w:hAnsi="Times New Roman" w:cs="Times New Roman"/>
          <w:noProof/>
          <w:sz w:val="24"/>
          <w:szCs w:val="24"/>
          <w:lang w:val="uk-UA"/>
        </w:rPr>
        <w:t xml:space="preserve">ансові </w:t>
      </w:r>
      <w:r w:rsidRPr="006305E9">
        <w:rPr>
          <w:rFonts w:ascii="Times New Roman" w:hAnsi="Times New Roman" w:cs="Times New Roman"/>
          <w:noProof/>
          <w:sz w:val="24"/>
          <w:szCs w:val="24"/>
          <w:lang w:val="uk-UA"/>
        </w:rPr>
        <w:t xml:space="preserve">установи масово потерпають від неповернення кредитів - 56% усіх наявних позик в Україні визнано такими, що не працюють. У 2018 році це стане однією з основних загроз </w:t>
      </w:r>
      <w:r w:rsidR="003045F3">
        <w:rPr>
          <w:rFonts w:ascii="Times New Roman" w:hAnsi="Times New Roman" w:cs="Times New Roman"/>
          <w:noProof/>
          <w:sz w:val="24"/>
          <w:szCs w:val="24"/>
          <w:lang w:val="uk-UA"/>
        </w:rPr>
        <w:t>стійкості фінансового сектору. Л</w:t>
      </w:r>
      <w:r w:rsidRPr="006305E9">
        <w:rPr>
          <w:rFonts w:ascii="Times New Roman" w:hAnsi="Times New Roman" w:cs="Times New Roman"/>
          <w:noProof/>
          <w:sz w:val="24"/>
          <w:szCs w:val="24"/>
          <w:lang w:val="uk-UA"/>
        </w:rPr>
        <w:t>ише за останній рік сума таких проблемних кредитів зросла більш ніж на чверть. Підбиваючи підсумки 2017 року, Національний банк визнав, що Україна стала рекордсменом світу за часткою непрацюючих кредитів, які зосередилися в наших банках. Цифри і справді вражають: ще на початку року обсяг проблемних кредитів становив 444,66 мільярда гривень. А вже до листопада ця сума зросла на 143,8 мільярда – до 588,46 мільярда гривень [1].</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При здійсненні кредитування банк неодмінно управляє ризиком. Він може діяти декількома способами: прийняти кредитний ризик (це має бути узгоджено з кредитною політикою банку, з вирішенням проблеми ризик - прибутковість) або мінімізувати його. При цьому відмова від ризикового кредиту зводить ризик до нуля, але тоді банк втрачає доходи від цієї операції.</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Для мінімізації кредитного ризику банк може реалізувати безліч різних заходів, поєднувати їх, забезпечуючи оптимальний вплив на ризик.</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До традиційних внутрішнім методам зниження кредитного ризику відносять: аналіз кредитоспроможності позичальника, формування банком резервів на покриття кредитних ризиків. До зовнішніх методів належать способи забезпечення повернення позики [5, с. 154].</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Діюча в Україні практика оцінювання комерційними банками кредитоспроможності позичальників не базується на якихось уніфікованих підходах до аналітичної роботи в цій сфері. Власне кажучи, кожному комерційному банку надано можливість розробляти і використовувати власну методику аналізу кредитоспроможності. Національним банком розроблено лише рекомендації, які повинен враховувати комерційний банк при створенні власної методики оцінки кредитоспроможності позичальників.</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 xml:space="preserve">На нашу думку, було б доцільно розробити на рівні НБУ загальноприйняту для використання всіма комерційними банками України методику оцінки кредитоспроможності позичальників, яка б врахувала недоліки і переваги всіх діючих на сучасному етапі систем аналізу, а також особливості позичальників банків. Також, з огляду на необхідність оцінки кредитоспроможності позичальників, кожен банк повинен створити спеціальний підрозділ аналізу позичальників, що об'єднує висококваліфікованих фахівців, які могли б не тільки розрахувати рейтинг позичальника, але і весь комплекс факторів, що впливають на повернення </w:t>
      </w:r>
      <w:r w:rsidRPr="006305E9">
        <w:rPr>
          <w:rFonts w:ascii="Times New Roman" w:eastAsia="Calibri" w:hAnsi="Times New Roman" w:cs="Times New Roman"/>
          <w:noProof/>
          <w:sz w:val="24"/>
          <w:szCs w:val="24"/>
          <w:lang w:val="uk-UA"/>
        </w:rPr>
        <w:lastRenderedPageBreak/>
        <w:t>позики.</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Для забезпечення кращого управління кредитними ризиками на даний момент банки почали активно обмінюватися інформацією про позичальників з бюро кредитних історій. Якщо раніше кредитне бюро було ініціатором такої співпраці, то тепер ініціаторами являються банки, так як вони потребують повнішої інформації про позичальників. Це призвело до більш якісним наповненням кредитних історій і появи на ринку нових видів інформаційних послуг.</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Перш ніж надавати кредити фізичним особам, банки повинні якісно і повноцінно їх ідентифікувати, оцінювати фінансовий стан, джерела погашення заборгованості по кредитах і відсоткам, для того, щоб мінімізувати свої ризики.</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 xml:space="preserve">Одним з методів зниження кредитного ризику на рівні банку є формування резервів. Саме вони виконують функцію захисту інтересів вкладників кредиторів і акціонерів. Крім того, якісно сформовані резерви дозволяють підвищити надійність банківської системи в цілому. Неможливо не звернути уваги на величину резервів сформованих під кредитні операції. Формування значних обсягів резервів, зокрема в кризовий період, може негативно вплинути на фінансовий стан банківської системи, так як резерви під стандартну кредитну заборгованість формуються за рахунок чистого прибутку банку, що може привести до втрати його капіталу, а відповідно і привести до банкрутства установи. Але, незважаючи на це, якісно сформований ефективний і раціональний резерв в будь-якому випадку стане гарантом мінімізації кредитного ризику. </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noProof/>
          <w:sz w:val="24"/>
          <w:szCs w:val="24"/>
          <w:lang w:val="uk-UA"/>
        </w:rPr>
        <w:t>На макроекономічному рівні з метою стабілізації економічної ситуації можна запропонувати створити резервну систему України при НБУ, основною метою функціонування якої буде запобігання виникненню криз у банківській системі. Такий державний фонд також буде сприяти зростанню довіри населення України до банківських установ. доцільно створення незалежних рейтингових агентств для оцінки фінансового стану банківських установ, що є стимулом для банків щодо поліпшення управління ризиками. До головних напрямків мінімізації кредитних ризиків в банках також належить впровадження новітніх інформаційних технологій управління кредитними ризиками на базі скорингових моделей.</w:t>
      </w:r>
      <w:r w:rsidR="00A51B5F">
        <w:rPr>
          <w:rFonts w:ascii="Times New Roman" w:eastAsia="Calibri" w:hAnsi="Times New Roman" w:cs="Times New Roman"/>
          <w:noProof/>
          <w:sz w:val="24"/>
          <w:szCs w:val="24"/>
          <w:lang w:val="uk-UA"/>
        </w:rPr>
        <w:t xml:space="preserve"> </w:t>
      </w:r>
      <w:r w:rsidRPr="006305E9">
        <w:rPr>
          <w:rFonts w:ascii="Times New Roman" w:eastAsia="Calibri" w:hAnsi="Times New Roman" w:cs="Times New Roman"/>
          <w:noProof/>
          <w:sz w:val="24"/>
          <w:szCs w:val="24"/>
          <w:lang w:val="uk-UA"/>
        </w:rPr>
        <w:t>Як вже зазначалося вище, з кредитуванням пов'язана значна частина прибутку українських банків. Тому від того, як побудований процес управління кредитним ризиком в банку залежить фінансове становище самого банку і економіки країни в цілому.</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r w:rsidRPr="006305E9">
        <w:rPr>
          <w:rFonts w:ascii="Times New Roman" w:eastAsia="Calibri" w:hAnsi="Times New Roman" w:cs="Times New Roman"/>
          <w:b/>
          <w:noProof/>
          <w:sz w:val="24"/>
          <w:szCs w:val="24"/>
          <w:lang w:val="uk-UA"/>
        </w:rPr>
        <w:t xml:space="preserve">Висновки. </w:t>
      </w:r>
      <w:r w:rsidRPr="006305E9">
        <w:rPr>
          <w:rFonts w:ascii="Times New Roman" w:eastAsia="Calibri" w:hAnsi="Times New Roman" w:cs="Times New Roman"/>
          <w:noProof/>
          <w:sz w:val="24"/>
          <w:szCs w:val="24"/>
          <w:lang w:val="uk-UA"/>
        </w:rPr>
        <w:t>Таким чином використання кожного з перерахованих методів мінімізації кредитних ризиків має як переваги, так і недоліки, тому при несприятливих умовах доцільно застосовувати комплексний підхід до управління кредитними ризиками через диверсифікацію методів і інструментів, що дозволяють мінімізувати збитки банків по будь-якого розвитку подій.</w:t>
      </w:r>
      <w:r w:rsidR="00A51B5F">
        <w:rPr>
          <w:rFonts w:ascii="Times New Roman" w:eastAsia="Calibri" w:hAnsi="Times New Roman" w:cs="Times New Roman"/>
          <w:noProof/>
          <w:sz w:val="24"/>
          <w:szCs w:val="24"/>
          <w:lang w:val="uk-UA"/>
        </w:rPr>
        <w:t xml:space="preserve"> </w:t>
      </w:r>
      <w:r w:rsidRPr="006305E9">
        <w:rPr>
          <w:rFonts w:ascii="Times New Roman" w:eastAsia="Calibri" w:hAnsi="Times New Roman" w:cs="Times New Roman"/>
          <w:noProof/>
          <w:sz w:val="24"/>
          <w:szCs w:val="24"/>
          <w:lang w:val="uk-UA"/>
        </w:rPr>
        <w:t>Крім того, в Україні потрібно продовжувати роботу по мінімізації кредитного ризику як на рівні комерційних банків, так і на законодавчому рівні. Зокрема необхідні подальші дослідження по застосуванню комплексних систем кредитного ризик-менеджменту, які є життєво важливим елементом управління комерційними банкам.</w:t>
      </w:r>
    </w:p>
    <w:p w:rsidR="006305E9" w:rsidRPr="006305E9" w:rsidRDefault="006305E9" w:rsidP="00A51B5F">
      <w:pPr>
        <w:widowControl w:val="0"/>
        <w:spacing w:after="0" w:line="240" w:lineRule="auto"/>
        <w:ind w:firstLine="709"/>
        <w:jc w:val="both"/>
        <w:rPr>
          <w:rFonts w:ascii="Times New Roman" w:eastAsia="Calibri" w:hAnsi="Times New Roman" w:cs="Times New Roman"/>
          <w:noProof/>
          <w:sz w:val="24"/>
          <w:szCs w:val="24"/>
          <w:lang w:val="uk-UA"/>
        </w:rPr>
      </w:pPr>
    </w:p>
    <w:p w:rsidR="006305E9" w:rsidRPr="006305E9" w:rsidRDefault="006305E9" w:rsidP="00A51B5F">
      <w:pPr>
        <w:widowControl w:val="0"/>
        <w:spacing w:after="0" w:line="240" w:lineRule="auto"/>
        <w:ind w:firstLine="709"/>
        <w:jc w:val="center"/>
        <w:rPr>
          <w:rFonts w:ascii="Times New Roman" w:eastAsia="Calibri" w:hAnsi="Times New Roman" w:cs="Times New Roman"/>
          <w:b/>
          <w:noProof/>
          <w:sz w:val="24"/>
          <w:szCs w:val="24"/>
          <w:lang w:val="uk-UA"/>
        </w:rPr>
      </w:pPr>
      <w:r w:rsidRPr="006305E9">
        <w:rPr>
          <w:rFonts w:ascii="Times New Roman" w:eastAsia="Calibri" w:hAnsi="Times New Roman" w:cs="Times New Roman"/>
          <w:b/>
          <w:noProof/>
          <w:sz w:val="24"/>
          <w:szCs w:val="24"/>
          <w:lang w:val="uk-UA"/>
        </w:rPr>
        <w:t>Список використаних джерел:</w:t>
      </w:r>
    </w:p>
    <w:p w:rsidR="006305E9" w:rsidRPr="006305E9" w:rsidRDefault="006305E9" w:rsidP="00A51B5F">
      <w:pPr>
        <w:widowControl w:val="0"/>
        <w:spacing w:after="0" w:line="240" w:lineRule="auto"/>
        <w:ind w:firstLine="709"/>
        <w:jc w:val="center"/>
        <w:rPr>
          <w:rFonts w:ascii="Times New Roman" w:eastAsia="Calibri" w:hAnsi="Times New Roman" w:cs="Times New Roman"/>
          <w:b/>
          <w:noProof/>
          <w:sz w:val="24"/>
          <w:szCs w:val="24"/>
          <w:lang w:val="uk-UA"/>
        </w:rPr>
      </w:pPr>
    </w:p>
    <w:p w:rsidR="006305E9" w:rsidRPr="006305E9" w:rsidRDefault="003045F3" w:rsidP="00A51B5F">
      <w:pPr>
        <w:pStyle w:val="a4"/>
        <w:widowControl w:val="0"/>
        <w:numPr>
          <w:ilvl w:val="0"/>
          <w:numId w:val="1"/>
        </w:numPr>
        <w:spacing w:after="0" w:line="240" w:lineRule="auto"/>
        <w:ind w:left="0" w:firstLine="709"/>
        <w:jc w:val="both"/>
        <w:rPr>
          <w:rFonts w:ascii="Times New Roman" w:eastAsia="Calibri" w:hAnsi="Times New Roman" w:cs="Times New Roman"/>
          <w:noProof/>
          <w:sz w:val="24"/>
          <w:szCs w:val="24"/>
          <w:lang w:val="uk-UA"/>
        </w:rPr>
      </w:pPr>
      <w:r>
        <w:rPr>
          <w:rFonts w:ascii="Times New Roman" w:hAnsi="Times New Roman" w:cs="Times New Roman"/>
          <w:noProof/>
          <w:sz w:val="24"/>
          <w:szCs w:val="24"/>
          <w:lang w:val="uk-UA"/>
        </w:rPr>
        <w:t xml:space="preserve">Динаміка непрацюючих кредитів. </w:t>
      </w:r>
      <w:r w:rsidR="006305E9" w:rsidRPr="006305E9">
        <w:rPr>
          <w:rFonts w:ascii="Times New Roman" w:hAnsi="Times New Roman" w:cs="Times New Roman"/>
          <w:noProof/>
          <w:sz w:val="24"/>
          <w:szCs w:val="24"/>
          <w:lang w:val="uk-UA"/>
        </w:rPr>
        <w:t xml:space="preserve">Офіційний сайт НБУ – [Електронний ресурс]. – Режим доступу: </w:t>
      </w:r>
      <w:hyperlink r:id="rId5" w:history="1">
        <w:r w:rsidR="006305E9" w:rsidRPr="006305E9">
          <w:rPr>
            <w:rStyle w:val="a3"/>
            <w:rFonts w:ascii="Times New Roman" w:hAnsi="Times New Roman" w:cs="Times New Roman"/>
            <w:noProof/>
            <w:color w:val="auto"/>
            <w:sz w:val="24"/>
            <w:szCs w:val="24"/>
            <w:u w:val="none"/>
            <w:lang w:val="uk-UA"/>
          </w:rPr>
          <w:t>https://bank.gov.ua</w:t>
        </w:r>
      </w:hyperlink>
    </w:p>
    <w:p w:rsidR="006305E9" w:rsidRPr="006305E9" w:rsidRDefault="006305E9" w:rsidP="00A51B5F">
      <w:pPr>
        <w:pStyle w:val="a4"/>
        <w:widowControl w:val="0"/>
        <w:numPr>
          <w:ilvl w:val="0"/>
          <w:numId w:val="1"/>
        </w:numPr>
        <w:spacing w:after="0" w:line="240" w:lineRule="auto"/>
        <w:ind w:left="0" w:firstLine="709"/>
        <w:jc w:val="both"/>
        <w:rPr>
          <w:rFonts w:ascii="Times New Roman" w:hAnsi="Times New Roman" w:cs="Times New Roman"/>
          <w:noProof/>
          <w:sz w:val="24"/>
          <w:szCs w:val="24"/>
          <w:lang w:val="uk-UA"/>
        </w:rPr>
      </w:pPr>
      <w:r w:rsidRPr="006305E9">
        <w:rPr>
          <w:rFonts w:ascii="Times New Roman" w:eastAsia="Calibri" w:hAnsi="Times New Roman" w:cs="Times New Roman"/>
          <w:noProof/>
          <w:sz w:val="24"/>
          <w:szCs w:val="24"/>
          <w:lang w:val="uk-UA"/>
        </w:rPr>
        <w:t xml:space="preserve">Постанова правління національного банку України </w:t>
      </w:r>
      <w:r w:rsidRPr="006305E9">
        <w:rPr>
          <w:rFonts w:ascii="Times New Roman" w:hAnsi="Times New Roman" w:cs="Times New Roman"/>
          <w:noProof/>
          <w:sz w:val="24"/>
          <w:szCs w:val="24"/>
          <w:lang w:val="uk-UA"/>
        </w:rPr>
        <w:t xml:space="preserve">– [Електронний ресурс]. – Режим доступу: </w:t>
      </w:r>
      <w:hyperlink r:id="rId6" w:history="1">
        <w:r w:rsidRPr="006305E9">
          <w:rPr>
            <w:rStyle w:val="a3"/>
            <w:rFonts w:ascii="Times New Roman" w:hAnsi="Times New Roman" w:cs="Times New Roman"/>
            <w:noProof/>
            <w:color w:val="auto"/>
            <w:sz w:val="24"/>
            <w:szCs w:val="24"/>
            <w:u w:val="none"/>
            <w:lang w:val="uk-UA"/>
          </w:rPr>
          <w:t>http://zakon5.rada.gov.ua/laws/show/v0351500-16/page</w:t>
        </w:r>
      </w:hyperlink>
    </w:p>
    <w:p w:rsidR="006305E9" w:rsidRPr="006305E9" w:rsidRDefault="006305E9" w:rsidP="00A51B5F">
      <w:pPr>
        <w:pStyle w:val="a4"/>
        <w:widowControl w:val="0"/>
        <w:numPr>
          <w:ilvl w:val="0"/>
          <w:numId w:val="1"/>
        </w:numPr>
        <w:spacing w:after="0" w:line="240" w:lineRule="auto"/>
        <w:ind w:left="0" w:firstLine="709"/>
        <w:jc w:val="both"/>
        <w:rPr>
          <w:rFonts w:ascii="Times New Roman" w:eastAsia="Calibri" w:hAnsi="Times New Roman" w:cs="Times New Roman"/>
          <w:noProof/>
          <w:sz w:val="24"/>
          <w:szCs w:val="24"/>
          <w:lang w:val="uk-UA"/>
        </w:rPr>
      </w:pPr>
      <w:r w:rsidRPr="006305E9">
        <w:rPr>
          <w:rFonts w:ascii="Times New Roman" w:hAnsi="Times New Roman" w:cs="Times New Roman"/>
          <w:noProof/>
          <w:sz w:val="24"/>
          <w:szCs w:val="24"/>
          <w:lang w:val="uk-UA"/>
        </w:rPr>
        <w:t>Коваленко В.В. Діагностика кредитного ризику та його вплив на кредитну активність банків україни / В.В. Коваленко, О.М. Звєряков, Д.С. Гайдукович // Фін</w:t>
      </w:r>
      <w:r w:rsidR="003045F3">
        <w:rPr>
          <w:rFonts w:ascii="Times New Roman" w:hAnsi="Times New Roman" w:cs="Times New Roman"/>
          <w:noProof/>
          <w:sz w:val="24"/>
          <w:szCs w:val="24"/>
          <w:lang w:val="uk-UA"/>
        </w:rPr>
        <w:t>анси україни. – 2016. – № 2. – С</w:t>
      </w:r>
      <w:r w:rsidRPr="006305E9">
        <w:rPr>
          <w:rFonts w:ascii="Times New Roman" w:hAnsi="Times New Roman" w:cs="Times New Roman"/>
          <w:noProof/>
          <w:sz w:val="24"/>
          <w:szCs w:val="24"/>
          <w:lang w:val="uk-UA"/>
        </w:rPr>
        <w:t>. 84–98.</w:t>
      </w:r>
    </w:p>
    <w:p w:rsidR="006305E9" w:rsidRPr="006305E9" w:rsidRDefault="003045F3" w:rsidP="00A51B5F">
      <w:pPr>
        <w:pStyle w:val="a4"/>
        <w:widowControl w:val="0"/>
        <w:numPr>
          <w:ilvl w:val="0"/>
          <w:numId w:val="1"/>
        </w:numPr>
        <w:spacing w:after="0" w:line="240" w:lineRule="auto"/>
        <w:ind w:left="0" w:firstLine="360"/>
        <w:jc w:val="both"/>
        <w:rPr>
          <w:rFonts w:ascii="Times New Roman" w:hAnsi="Times New Roman" w:cs="Times New Roman"/>
          <w:noProof/>
          <w:color w:val="000000"/>
          <w:sz w:val="24"/>
          <w:szCs w:val="24"/>
          <w:shd w:val="clear" w:color="auto" w:fill="FFFFFF"/>
          <w:lang w:val="uk-UA"/>
        </w:rPr>
      </w:pPr>
      <w:r>
        <w:rPr>
          <w:rFonts w:ascii="Times New Roman" w:hAnsi="Times New Roman" w:cs="Times New Roman"/>
          <w:noProof/>
          <w:color w:val="000000"/>
          <w:sz w:val="24"/>
          <w:szCs w:val="24"/>
          <w:shd w:val="clear" w:color="auto" w:fill="FFFFFF"/>
          <w:lang w:val="uk-UA"/>
        </w:rPr>
        <w:t>Соколинская</w:t>
      </w:r>
      <w:r w:rsidR="006305E9" w:rsidRPr="006305E9">
        <w:rPr>
          <w:rFonts w:ascii="Times New Roman" w:hAnsi="Times New Roman" w:cs="Times New Roman"/>
          <w:noProof/>
          <w:color w:val="000000"/>
          <w:sz w:val="24"/>
          <w:szCs w:val="24"/>
          <w:shd w:val="clear" w:color="auto" w:fill="FFFFFF"/>
          <w:lang w:val="uk-UA"/>
        </w:rPr>
        <w:t xml:space="preserve"> Н.Э. Кредитные риски в российском банковском секторе: факторы и менеджмент</w:t>
      </w:r>
      <w:r>
        <w:rPr>
          <w:rFonts w:ascii="Times New Roman" w:hAnsi="Times New Roman" w:cs="Times New Roman"/>
          <w:noProof/>
          <w:color w:val="000000"/>
          <w:sz w:val="24"/>
          <w:szCs w:val="24"/>
          <w:shd w:val="clear" w:color="auto" w:fill="FFFFFF"/>
          <w:lang w:val="uk-UA"/>
        </w:rPr>
        <w:t xml:space="preserve"> /</w:t>
      </w:r>
      <w:r w:rsidR="006305E9" w:rsidRPr="006305E9">
        <w:rPr>
          <w:rFonts w:ascii="Times New Roman" w:hAnsi="Times New Roman" w:cs="Times New Roman"/>
          <w:noProof/>
          <w:color w:val="000000"/>
          <w:sz w:val="24"/>
          <w:szCs w:val="24"/>
          <w:shd w:val="clear" w:color="auto" w:fill="FFFFFF"/>
          <w:lang w:val="uk-UA"/>
        </w:rPr>
        <w:t xml:space="preserve"> </w:t>
      </w:r>
      <w:r w:rsidRPr="003045F3">
        <w:rPr>
          <w:rFonts w:ascii="Times New Roman" w:hAnsi="Times New Roman" w:cs="Times New Roman"/>
          <w:noProof/>
          <w:color w:val="000000"/>
          <w:sz w:val="24"/>
          <w:szCs w:val="24"/>
          <w:shd w:val="clear" w:color="auto" w:fill="FFFFFF"/>
          <w:lang w:val="uk-UA"/>
        </w:rPr>
        <w:t xml:space="preserve">Н.Э. Соколинская </w:t>
      </w:r>
      <w:r w:rsidR="006305E9" w:rsidRPr="006305E9">
        <w:rPr>
          <w:rFonts w:ascii="Times New Roman" w:hAnsi="Times New Roman" w:cs="Times New Roman"/>
          <w:noProof/>
          <w:color w:val="000000"/>
          <w:sz w:val="24"/>
          <w:szCs w:val="24"/>
          <w:shd w:val="clear" w:color="auto" w:fill="FFFFFF"/>
          <w:lang w:val="uk-UA"/>
        </w:rPr>
        <w:t>//</w:t>
      </w:r>
      <w:r>
        <w:rPr>
          <w:rFonts w:ascii="Times New Roman" w:hAnsi="Times New Roman" w:cs="Times New Roman"/>
          <w:noProof/>
          <w:color w:val="000000"/>
          <w:sz w:val="24"/>
          <w:szCs w:val="24"/>
          <w:shd w:val="clear" w:color="auto" w:fill="FFFFFF"/>
          <w:lang w:val="uk-UA"/>
        </w:rPr>
        <w:t xml:space="preserve"> </w:t>
      </w:r>
      <w:r w:rsidR="006305E9" w:rsidRPr="006305E9">
        <w:rPr>
          <w:rFonts w:ascii="Times New Roman" w:hAnsi="Times New Roman" w:cs="Times New Roman"/>
          <w:noProof/>
          <w:color w:val="000000"/>
          <w:sz w:val="24"/>
          <w:szCs w:val="24"/>
          <w:shd w:val="clear" w:color="auto" w:fill="FFFFFF"/>
          <w:lang w:val="uk-UA"/>
        </w:rPr>
        <w:t>Банковские услуги. – 2016. – № 5. – С.2-28.</w:t>
      </w:r>
    </w:p>
    <w:p w:rsidR="006305E9" w:rsidRPr="006305E9" w:rsidRDefault="003045F3" w:rsidP="00A51B5F">
      <w:pPr>
        <w:pStyle w:val="a4"/>
        <w:widowControl w:val="0"/>
        <w:numPr>
          <w:ilvl w:val="0"/>
          <w:numId w:val="1"/>
        </w:numPr>
        <w:spacing w:after="0" w:line="240" w:lineRule="auto"/>
        <w:ind w:left="0" w:firstLine="360"/>
        <w:jc w:val="both"/>
        <w:rPr>
          <w:rFonts w:ascii="Times New Roman" w:hAnsi="Times New Roman" w:cs="Times New Roman"/>
          <w:noProof/>
          <w:color w:val="000000"/>
          <w:sz w:val="24"/>
          <w:szCs w:val="24"/>
          <w:shd w:val="clear" w:color="auto" w:fill="FFFFFF"/>
          <w:lang w:val="uk-UA"/>
        </w:rPr>
      </w:pPr>
      <w:r>
        <w:rPr>
          <w:rFonts w:ascii="Times New Roman" w:hAnsi="Times New Roman" w:cs="Times New Roman"/>
          <w:noProof/>
          <w:sz w:val="24"/>
          <w:szCs w:val="24"/>
          <w:lang w:val="uk-UA"/>
        </w:rPr>
        <w:t>Єлейко І. В.</w:t>
      </w:r>
      <w:r w:rsidR="006305E9" w:rsidRPr="006305E9">
        <w:rPr>
          <w:rFonts w:ascii="Times New Roman" w:hAnsi="Times New Roman" w:cs="Times New Roman"/>
          <w:noProof/>
          <w:sz w:val="24"/>
          <w:szCs w:val="24"/>
          <w:lang w:val="uk-UA"/>
        </w:rPr>
        <w:t xml:space="preserve"> Особливості мінімізації кредитного ризику банківської установи [Текст] </w:t>
      </w:r>
      <w:r>
        <w:rPr>
          <w:rFonts w:ascii="Times New Roman" w:hAnsi="Times New Roman" w:cs="Times New Roman"/>
          <w:noProof/>
          <w:sz w:val="24"/>
          <w:szCs w:val="24"/>
          <w:lang w:val="uk-UA"/>
        </w:rPr>
        <w:t xml:space="preserve">/ </w:t>
      </w:r>
      <w:r w:rsidRPr="003045F3">
        <w:rPr>
          <w:rFonts w:ascii="Times New Roman" w:hAnsi="Times New Roman" w:cs="Times New Roman"/>
          <w:noProof/>
          <w:sz w:val="24"/>
          <w:szCs w:val="24"/>
          <w:lang w:val="uk-UA"/>
        </w:rPr>
        <w:t>І. В.</w:t>
      </w:r>
      <w:r>
        <w:rPr>
          <w:rFonts w:ascii="Times New Roman" w:hAnsi="Times New Roman" w:cs="Times New Roman"/>
          <w:noProof/>
          <w:sz w:val="24"/>
          <w:szCs w:val="24"/>
          <w:lang w:val="uk-UA"/>
        </w:rPr>
        <w:t xml:space="preserve"> </w:t>
      </w:r>
      <w:r w:rsidRPr="003045F3">
        <w:rPr>
          <w:rFonts w:ascii="Times New Roman" w:hAnsi="Times New Roman" w:cs="Times New Roman"/>
          <w:noProof/>
          <w:sz w:val="24"/>
          <w:szCs w:val="24"/>
          <w:lang w:val="uk-UA"/>
        </w:rPr>
        <w:t xml:space="preserve">Єлейко, О. В. Сідак </w:t>
      </w:r>
      <w:r w:rsidR="006305E9" w:rsidRPr="006305E9">
        <w:rPr>
          <w:rFonts w:ascii="Times New Roman" w:hAnsi="Times New Roman" w:cs="Times New Roman"/>
          <w:noProof/>
          <w:sz w:val="24"/>
          <w:szCs w:val="24"/>
          <w:lang w:val="uk-UA"/>
        </w:rPr>
        <w:t>// Науковий вісник НЛТУ України. – 2011. – Вип. 21.8. – С. 150-158</w:t>
      </w:r>
    </w:p>
    <w:p w:rsidR="006305E9" w:rsidRPr="00365F36" w:rsidRDefault="006305E9" w:rsidP="00A51B5F">
      <w:pPr>
        <w:widowControl w:val="0"/>
        <w:spacing w:after="0" w:line="360" w:lineRule="auto"/>
        <w:ind w:firstLine="360"/>
        <w:jc w:val="both"/>
        <w:rPr>
          <w:rFonts w:ascii="Times New Roman" w:eastAsia="Calibri" w:hAnsi="Times New Roman" w:cs="Times New Roman"/>
          <w:noProof/>
          <w:sz w:val="24"/>
          <w:szCs w:val="24"/>
          <w:lang w:val="uk-UA"/>
        </w:rPr>
      </w:pPr>
    </w:p>
    <w:sectPr w:rsidR="006305E9" w:rsidRPr="00365F36" w:rsidSect="006305E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9468E0"/>
    <w:multiLevelType w:val="hybridMultilevel"/>
    <w:tmpl w:val="6D663E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5E9"/>
    <w:rsid w:val="003045F3"/>
    <w:rsid w:val="006305E9"/>
    <w:rsid w:val="00776C3E"/>
    <w:rsid w:val="007C20FC"/>
    <w:rsid w:val="008924B3"/>
    <w:rsid w:val="00A51B5F"/>
    <w:rsid w:val="00AA0B42"/>
    <w:rsid w:val="00CE5442"/>
    <w:rsid w:val="00D55856"/>
    <w:rsid w:val="00D76AA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CC3FE"/>
  <w15:chartTrackingRefBased/>
  <w15:docId w15:val="{22AD5A8D-DE36-45A7-BEE2-5EB3861F5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05E9"/>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305E9"/>
    <w:rPr>
      <w:color w:val="0563C1" w:themeColor="hyperlink"/>
      <w:u w:val="single"/>
    </w:rPr>
  </w:style>
  <w:style w:type="paragraph" w:styleId="a4">
    <w:name w:val="List Paragraph"/>
    <w:basedOn w:val="a"/>
    <w:uiPriority w:val="34"/>
    <w:qFormat/>
    <w:rsid w:val="006305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5.rada.gov.ua/laws/show/v0351500-16/page" TargetMode="External"/><Relationship Id="rId5" Type="http://schemas.openxmlformats.org/officeDocument/2006/relationships/hyperlink" Target="https://bank.gov.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4</Pages>
  <Words>7531</Words>
  <Characters>4294</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4</cp:revision>
  <dcterms:created xsi:type="dcterms:W3CDTF">2018-05-12T19:41:00Z</dcterms:created>
  <dcterms:modified xsi:type="dcterms:W3CDTF">2018-05-22T17:53:00Z</dcterms:modified>
</cp:coreProperties>
</file>