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F6B" w:rsidRPr="00AF4F6B" w:rsidRDefault="00AF4F6B" w:rsidP="00AF4F6B">
      <w:pPr>
        <w:spacing w:after="0" w:line="360" w:lineRule="auto"/>
        <w:ind w:firstLine="709"/>
        <w:jc w:val="right"/>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eastAsia="ru-RU"/>
        </w:rPr>
        <w:t>Коваль</w:t>
      </w:r>
      <w:proofErr w:type="gramStart"/>
      <w:r w:rsidRPr="00AF4F6B">
        <w:rPr>
          <w:rFonts w:ascii="Times New Roman" w:eastAsia="Times New Roman" w:hAnsi="Times New Roman" w:cs="Times New Roman"/>
          <w:color w:val="000000"/>
          <w:sz w:val="24"/>
          <w:szCs w:val="24"/>
          <w:lang w:eastAsia="ru-RU"/>
        </w:rPr>
        <w:t xml:space="preserve"> </w:t>
      </w:r>
      <w:r w:rsidRPr="00AF4F6B">
        <w:rPr>
          <w:rFonts w:ascii="Times New Roman" w:eastAsia="Times New Roman" w:hAnsi="Times New Roman" w:cs="Times New Roman"/>
          <w:bCs/>
          <w:color w:val="000000"/>
          <w:sz w:val="24"/>
          <w:szCs w:val="24"/>
          <w:lang w:val="uk-UA" w:eastAsia="uk-UA"/>
        </w:rPr>
        <w:t>І.</w:t>
      </w:r>
      <w:proofErr w:type="gramEnd"/>
      <w:r w:rsidRPr="00AF4F6B">
        <w:rPr>
          <w:rFonts w:ascii="Times New Roman" w:eastAsia="Times New Roman" w:hAnsi="Times New Roman" w:cs="Times New Roman"/>
          <w:bCs/>
          <w:color w:val="000000"/>
          <w:sz w:val="24"/>
          <w:szCs w:val="24"/>
          <w:lang w:val="uk-UA" w:eastAsia="uk-UA"/>
        </w:rPr>
        <w:t>В.,</w:t>
      </w:r>
      <w:r w:rsidRPr="00AF4F6B">
        <w:rPr>
          <w:rFonts w:ascii="Times New Roman" w:eastAsia="Times New Roman" w:hAnsi="Times New Roman" w:cs="Times New Roman"/>
          <w:b/>
          <w:bCs/>
          <w:color w:val="000000"/>
          <w:sz w:val="24"/>
          <w:szCs w:val="24"/>
          <w:lang w:val="uk-UA" w:eastAsia="uk-UA"/>
        </w:rPr>
        <w:t xml:space="preserve"> </w:t>
      </w:r>
      <w:r w:rsidRPr="00AF4F6B">
        <w:rPr>
          <w:rFonts w:ascii="Times New Roman" w:eastAsia="Times New Roman" w:hAnsi="Times New Roman" w:cs="Times New Roman"/>
          <w:color w:val="000000"/>
          <w:sz w:val="24"/>
          <w:szCs w:val="24"/>
          <w:lang w:eastAsia="ru-RU"/>
        </w:rPr>
        <w:t xml:space="preserve">кандидат </w:t>
      </w:r>
      <w:r w:rsidRPr="00AF4F6B">
        <w:rPr>
          <w:rFonts w:ascii="Times New Roman" w:eastAsia="Times New Roman" w:hAnsi="Times New Roman" w:cs="Times New Roman"/>
          <w:color w:val="000000"/>
          <w:sz w:val="24"/>
          <w:szCs w:val="24"/>
          <w:lang w:val="uk-UA" w:eastAsia="uk-UA"/>
        </w:rPr>
        <w:t xml:space="preserve">психологічних </w:t>
      </w:r>
      <w:r w:rsidRPr="00AF4F6B">
        <w:rPr>
          <w:rFonts w:ascii="Times New Roman" w:eastAsia="Times New Roman" w:hAnsi="Times New Roman" w:cs="Times New Roman"/>
          <w:color w:val="000000"/>
          <w:sz w:val="24"/>
          <w:szCs w:val="24"/>
          <w:lang w:eastAsia="ru-RU"/>
        </w:rPr>
        <w:t xml:space="preserve">наук, доцент, доцент </w:t>
      </w:r>
      <w:r w:rsidRPr="00AF4F6B">
        <w:rPr>
          <w:rFonts w:ascii="Times New Roman" w:eastAsia="Times New Roman" w:hAnsi="Times New Roman" w:cs="Times New Roman"/>
          <w:color w:val="000000"/>
          <w:sz w:val="24"/>
          <w:szCs w:val="24"/>
          <w:lang w:val="uk-UA" w:eastAsia="uk-UA"/>
        </w:rPr>
        <w:t xml:space="preserve">кафедри </w:t>
      </w:r>
      <w:r w:rsidRPr="00AF4F6B">
        <w:rPr>
          <w:rFonts w:ascii="Times New Roman" w:eastAsia="Times New Roman" w:hAnsi="Times New Roman" w:cs="Times New Roman"/>
          <w:color w:val="000000"/>
          <w:sz w:val="24"/>
          <w:szCs w:val="24"/>
          <w:lang w:eastAsia="ru-RU"/>
        </w:rPr>
        <w:t xml:space="preserve">доцент </w:t>
      </w:r>
      <w:r w:rsidRPr="00AF4F6B">
        <w:rPr>
          <w:rFonts w:ascii="Times New Roman" w:eastAsia="Times New Roman" w:hAnsi="Times New Roman" w:cs="Times New Roman"/>
          <w:color w:val="000000"/>
          <w:sz w:val="24"/>
          <w:szCs w:val="24"/>
          <w:lang w:val="uk-UA" w:eastAsia="uk-UA"/>
        </w:rPr>
        <w:t xml:space="preserve">кафедри </w:t>
      </w:r>
      <w:r w:rsidRPr="00AF4F6B">
        <w:rPr>
          <w:rFonts w:ascii="Times New Roman" w:eastAsia="Times New Roman" w:hAnsi="Times New Roman" w:cs="Times New Roman"/>
          <w:color w:val="000000"/>
          <w:sz w:val="24"/>
          <w:szCs w:val="24"/>
          <w:lang w:eastAsia="ru-RU"/>
        </w:rPr>
        <w:t xml:space="preserve">практики </w:t>
      </w:r>
      <w:r w:rsidRPr="00AF4F6B">
        <w:rPr>
          <w:rFonts w:ascii="Times New Roman" w:eastAsia="Times New Roman" w:hAnsi="Times New Roman" w:cs="Times New Roman"/>
          <w:color w:val="000000"/>
          <w:sz w:val="24"/>
          <w:szCs w:val="24"/>
          <w:lang w:val="uk-UA" w:eastAsia="uk-UA"/>
        </w:rPr>
        <w:t xml:space="preserve">іноземної мови </w:t>
      </w:r>
      <w:r w:rsidRPr="00AF4F6B">
        <w:rPr>
          <w:rFonts w:ascii="Times New Roman" w:eastAsia="Times New Roman" w:hAnsi="Times New Roman" w:cs="Times New Roman"/>
          <w:color w:val="000000"/>
          <w:sz w:val="24"/>
          <w:szCs w:val="24"/>
          <w:lang w:eastAsia="ru-RU"/>
        </w:rPr>
        <w:t xml:space="preserve">та методики </w:t>
      </w:r>
      <w:r w:rsidRPr="00AF4F6B">
        <w:rPr>
          <w:rFonts w:ascii="Times New Roman" w:eastAsia="Times New Roman" w:hAnsi="Times New Roman" w:cs="Times New Roman"/>
          <w:color w:val="000000"/>
          <w:sz w:val="24"/>
          <w:szCs w:val="24"/>
          <w:lang w:val="uk-UA" w:eastAsia="uk-UA"/>
        </w:rPr>
        <w:t xml:space="preserve">викладання, Хмельницький </w:t>
      </w:r>
      <w:bookmarkStart w:id="0" w:name="_GoBack"/>
      <w:bookmarkEnd w:id="0"/>
      <w:r w:rsidRPr="00AF4F6B">
        <w:rPr>
          <w:rFonts w:ascii="Times New Roman" w:eastAsia="Times New Roman" w:hAnsi="Times New Roman" w:cs="Times New Roman"/>
          <w:color w:val="000000"/>
          <w:sz w:val="24"/>
          <w:szCs w:val="24"/>
          <w:lang w:val="uk-UA" w:eastAsia="uk-UA"/>
        </w:rPr>
        <w:t>національний університет,</w:t>
      </w:r>
    </w:p>
    <w:p w:rsidR="00AF4F6B" w:rsidRPr="00AF4F6B" w:rsidRDefault="00AF4F6B" w:rsidP="00AF4F6B">
      <w:pPr>
        <w:spacing w:after="0" w:line="360" w:lineRule="auto"/>
        <w:ind w:firstLine="709"/>
        <w:jc w:val="right"/>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м. Хмельницький, Україна</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bookmarkStart w:id="1" w:name="bookmark0"/>
      <w:r w:rsidRPr="00AF4F6B">
        <w:rPr>
          <w:rFonts w:ascii="Times New Roman" w:eastAsia="Times New Roman" w:hAnsi="Times New Roman" w:cs="Times New Roman"/>
          <w:b/>
          <w:bCs/>
          <w:color w:val="000000"/>
          <w:sz w:val="24"/>
          <w:szCs w:val="24"/>
          <w:lang w:val="uk-UA" w:eastAsia="uk-UA"/>
        </w:rPr>
        <w:t>КОМУНІКАТИВНИЙ ПІДХІД У НАВЧАННІ СПІЛКУВАННЯ ІНОЗЕМНОЮ МОВОЮ: ПСИХОЛОГІЧНИЙ АСПЕКТ</w:t>
      </w:r>
      <w:bookmarkEnd w:id="1"/>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Навчання іноземної мови враховує особливості реальної комунікації, а в основі процесу навчання лежать моделі реального спілкування, оскільки володіння системою мови, тобто знання граматики і лексики є недостатнім для ефективного використання мови з метою спілкування. Комунікативний підхід передбачає оволодіння різноманітними мовленнєвими функціями, тобто формування умінь виражати певну комунікативну інтенцію (прохання, докір, згоду, запрошення, відмову, пораду, тощо).</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Але комунікативний метод направлений не лише на оволодіння мовленнєвими навичками для ведення бесіди на побутовому рівні. Студенти, які прагнуть набути професіональних навичок у конкретній сфері, можуть регулярно читати публікації на певну тематику в іноземних виданнях, поповнювати власний словниковий запас, досконало вивчати граматичні правила, і маючи досить глибокі знання, вони можуть легко орієнтуватися у тексті, але завдання підтримати бесіду з іноземною колегою на цю тему може виявитись для них занадто важким. Ця проблема пов’язана з недостатньою практикою спілкування іноземною мовою і, у певній мірі, у першу чергу, допомагає зняти страх перед спілкуванням.</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Серед головних рис комунікативного підходу визначають такі:</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Мовленнєва направленість процесу навчання, коли як кінцева мета висувається саме навчання спілкування у різних видах мовленнєвої діяльності, у тому числі й у професійному.</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Орієнтація не лише на змістовну сторону спілкування, але й на форму висловлювання. Увага студентів зосереджується не лише на оволодінні лексикою у певній сфері, але й на граматично вірному мовленні, студент не повинен справляти враження «неосвіченого» співрозмовника.</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 xml:space="preserve">Функціональність у відборі й організації матеріалу: мовний і мовленнєвий матеріал повинен добиратися відповідно до функцій, які він виражає, і тими комунікативними інтенціями, які зможе передати г і </w:t>
      </w:r>
      <w:proofErr w:type="spellStart"/>
      <w:r w:rsidRPr="00AF4F6B">
        <w:rPr>
          <w:rFonts w:ascii="Times New Roman" w:eastAsia="Times New Roman" w:hAnsi="Times New Roman" w:cs="Times New Roman"/>
          <w:color w:val="000000"/>
          <w:sz w:val="24"/>
          <w:szCs w:val="24"/>
          <w:lang w:val="uk-UA" w:eastAsia="uk-UA"/>
        </w:rPr>
        <w:t>удент</w:t>
      </w:r>
      <w:proofErr w:type="spellEnd"/>
      <w:r w:rsidRPr="00AF4F6B">
        <w:rPr>
          <w:rFonts w:ascii="Times New Roman" w:eastAsia="Times New Roman" w:hAnsi="Times New Roman" w:cs="Times New Roman"/>
          <w:color w:val="000000"/>
          <w:sz w:val="24"/>
          <w:szCs w:val="24"/>
          <w:lang w:val="uk-UA" w:eastAsia="uk-UA"/>
        </w:rPr>
        <w:t>, що використовує певний матеріал.</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proofErr w:type="spellStart"/>
      <w:r w:rsidRPr="00AF4F6B">
        <w:rPr>
          <w:rFonts w:ascii="Times New Roman" w:eastAsia="Times New Roman" w:hAnsi="Times New Roman" w:cs="Times New Roman"/>
          <w:color w:val="000000"/>
          <w:sz w:val="24"/>
          <w:szCs w:val="24"/>
          <w:lang w:val="uk-UA" w:eastAsia="uk-UA"/>
        </w:rPr>
        <w:lastRenderedPageBreak/>
        <w:t>Ситуативність</w:t>
      </w:r>
      <w:proofErr w:type="spellEnd"/>
      <w:r w:rsidRPr="00AF4F6B">
        <w:rPr>
          <w:rFonts w:ascii="Times New Roman" w:eastAsia="Times New Roman" w:hAnsi="Times New Roman" w:cs="Times New Roman"/>
          <w:color w:val="000000"/>
          <w:sz w:val="24"/>
          <w:szCs w:val="24"/>
          <w:lang w:val="uk-UA" w:eastAsia="uk-UA"/>
        </w:rPr>
        <w:t xml:space="preserve"> у відборі матеріалу й організація мовленнєвої діяльності: мовний і мовленнєвий матеріал повинен добиратися також і відповідно до певних ситуацій спілкування та відпрацьовуватись у ситуаціях, які є типовими для використання тих чи інших мовних форм.</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Використання автентичного матеріалу, який містить мовні форми, типові для вираження певної комунікативної інтенції, автентичні тексти і ситуації спілкування, а також різноманітні вербальні та невербальні засоби, характерні для носіїв мови.</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 xml:space="preserve">Індивідуалізація процесу навчання, використання </w:t>
      </w:r>
      <w:proofErr w:type="spellStart"/>
      <w:r w:rsidRPr="00AF4F6B">
        <w:rPr>
          <w:rFonts w:ascii="Times New Roman" w:eastAsia="Times New Roman" w:hAnsi="Times New Roman" w:cs="Times New Roman"/>
          <w:color w:val="000000"/>
          <w:sz w:val="24"/>
          <w:szCs w:val="24"/>
          <w:lang w:val="uk-UA" w:eastAsia="uk-UA"/>
        </w:rPr>
        <w:t>особистісно-</w:t>
      </w:r>
      <w:proofErr w:type="spellEnd"/>
      <w:r w:rsidRPr="00AF4F6B">
        <w:rPr>
          <w:rFonts w:ascii="Times New Roman" w:eastAsia="Times New Roman" w:hAnsi="Times New Roman" w:cs="Times New Roman"/>
          <w:color w:val="000000"/>
          <w:sz w:val="24"/>
          <w:szCs w:val="24"/>
          <w:lang w:val="uk-UA" w:eastAsia="uk-UA"/>
        </w:rPr>
        <w:t xml:space="preserve"> орієнтованого підходу, тобто врахування потреб студентів при плануванні й організації заняття, опора на індивідуальні когнітивні стилі й навчальні стратегії студентів їх особистого досвіду.</w:t>
      </w:r>
    </w:p>
    <w:p w:rsidR="00AF4F6B" w:rsidRPr="00AF4F6B" w:rsidRDefault="00AF4F6B" w:rsidP="00AF4F6B">
      <w:pPr>
        <w:numPr>
          <w:ilvl w:val="0"/>
          <w:numId w:val="1"/>
        </w:numPr>
        <w:spacing w:after="0" w:line="360" w:lineRule="auto"/>
        <w:ind w:firstLine="709"/>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Використання комунікативних завдань, які сприяють формуванню умінь спілкування, і режимів роботи, які є адекватними умовами реальної комунікації (робота парами і групами).</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 xml:space="preserve">Часто на заняттях з іноземної мови переважають індивідуальні або марні форми роботи, представлені монологічним або діалогічним мовленням студентів. Але для підготовки студента до реальних ситуацій цього не достатньо, оскільки природні комунікативні ситуації не обмежуються лише спілкуванням у парах - і у побутових, і професійних сферах особа набагато частіше стикається з </w:t>
      </w:r>
      <w:proofErr w:type="spellStart"/>
      <w:r w:rsidRPr="00AF4F6B">
        <w:rPr>
          <w:rFonts w:ascii="Times New Roman" w:eastAsia="Times New Roman" w:hAnsi="Times New Roman" w:cs="Times New Roman"/>
          <w:color w:val="000000"/>
          <w:sz w:val="24"/>
          <w:szCs w:val="24"/>
          <w:lang w:val="uk-UA" w:eastAsia="uk-UA"/>
        </w:rPr>
        <w:t>полілогічною</w:t>
      </w:r>
      <w:proofErr w:type="spellEnd"/>
      <w:r w:rsidRPr="00AF4F6B">
        <w:rPr>
          <w:rFonts w:ascii="Times New Roman" w:eastAsia="Times New Roman" w:hAnsi="Times New Roman" w:cs="Times New Roman"/>
          <w:color w:val="000000"/>
          <w:sz w:val="24"/>
          <w:szCs w:val="24"/>
          <w:lang w:val="uk-UA" w:eastAsia="uk-UA"/>
        </w:rPr>
        <w:t xml:space="preserve"> формою спілкування. Завдяки комунікативному підходу навчання групової взаємодії на занятті іноземної мови стає не лише методом навчання усної мови, а природним компонентом навчального процесу.</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color w:val="000000"/>
          <w:sz w:val="24"/>
          <w:szCs w:val="24"/>
          <w:lang w:val="uk-UA" w:eastAsia="uk-UA"/>
        </w:rPr>
        <w:t>Групова форма роботи сприяє підвищенню мотивації до навчання, навчає об’єктивно оцінювати себе та інших, урізноманітнює заняття. Працюючи у групах, студенти виявляють мовну самостійність та активність. Вони можуть допомагати один одному коректувати вислови співрозмовників. Але щоб групова мовна співпраця була ефективною, необхідно цілеспрямовано навчати студентів технології спілкування.</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b/>
          <w:bCs/>
          <w:color w:val="000000"/>
          <w:sz w:val="24"/>
          <w:szCs w:val="24"/>
          <w:lang w:val="uk-UA" w:eastAsia="uk-UA"/>
        </w:rPr>
        <w:t xml:space="preserve">Висновки. </w:t>
      </w:r>
      <w:r w:rsidRPr="00AF4F6B">
        <w:rPr>
          <w:rFonts w:ascii="Times New Roman" w:eastAsia="Times New Roman" w:hAnsi="Times New Roman" w:cs="Times New Roman"/>
          <w:color w:val="000000"/>
          <w:sz w:val="24"/>
          <w:szCs w:val="24"/>
          <w:lang w:val="uk-UA" w:eastAsia="uk-UA"/>
        </w:rPr>
        <w:t>Оволодіння навичками спілкування розглядається як поетапний процес, кінцевою метою якого є здатність і вміння брати участь в іншомовній комунікації. Комунікативний підхід до вивчення іноземної мови і набуття навичок спілкування, зокрема, зосереджує всю увагу на тих, хто вивчає мову, а їх комунікативні потреби забезпечують структуру для розробки програмних цілей з точки зору функціональної компетенції.</w:t>
      </w:r>
    </w:p>
    <w:p w:rsidR="00AF4F6B" w:rsidRPr="00AF4F6B" w:rsidRDefault="00AF4F6B" w:rsidP="00AF4F6B">
      <w:pPr>
        <w:spacing w:after="0" w:line="360" w:lineRule="auto"/>
        <w:ind w:firstLine="709"/>
        <w:jc w:val="both"/>
        <w:rPr>
          <w:rFonts w:ascii="Times New Roman" w:eastAsia="Times New Roman" w:hAnsi="Times New Roman" w:cs="Times New Roman"/>
          <w:sz w:val="24"/>
          <w:szCs w:val="24"/>
          <w:lang w:val="uk-UA" w:eastAsia="ru-RU"/>
        </w:rPr>
      </w:pPr>
      <w:r w:rsidRPr="00AF4F6B">
        <w:rPr>
          <w:rFonts w:ascii="Times New Roman" w:eastAsia="Times New Roman" w:hAnsi="Times New Roman" w:cs="Times New Roman"/>
          <w:b/>
          <w:bCs/>
          <w:color w:val="000000"/>
          <w:sz w:val="24"/>
          <w:szCs w:val="24"/>
          <w:lang w:val="uk-UA" w:eastAsia="uk-UA"/>
        </w:rPr>
        <w:lastRenderedPageBreak/>
        <w:t>Список використаних джерел</w:t>
      </w:r>
    </w:p>
    <w:p w:rsidR="00AF4F6B" w:rsidRPr="00AF4F6B" w:rsidRDefault="00AF4F6B" w:rsidP="00AF4F6B">
      <w:pPr>
        <w:pStyle w:val="a3"/>
        <w:numPr>
          <w:ilvl w:val="0"/>
          <w:numId w:val="2"/>
        </w:numPr>
        <w:spacing w:after="0" w:line="360" w:lineRule="auto"/>
        <w:ind w:left="0" w:firstLine="0"/>
        <w:jc w:val="both"/>
        <w:rPr>
          <w:rFonts w:ascii="Times New Roman" w:eastAsia="Times New Roman" w:hAnsi="Times New Roman" w:cs="Times New Roman"/>
          <w:color w:val="000000"/>
          <w:sz w:val="24"/>
          <w:szCs w:val="24"/>
          <w:lang w:val="uk-UA" w:eastAsia="uk-UA"/>
        </w:rPr>
      </w:pPr>
      <w:proofErr w:type="spellStart"/>
      <w:r w:rsidRPr="00AF4F6B">
        <w:rPr>
          <w:rFonts w:ascii="Times New Roman" w:eastAsia="Times New Roman" w:hAnsi="Times New Roman" w:cs="Times New Roman"/>
          <w:color w:val="000000"/>
          <w:sz w:val="24"/>
          <w:szCs w:val="24"/>
          <w:lang w:val="uk-UA" w:eastAsia="uk-UA"/>
        </w:rPr>
        <w:t>Гез</w:t>
      </w:r>
      <w:proofErr w:type="spellEnd"/>
      <w:r w:rsidRPr="00AF4F6B">
        <w:rPr>
          <w:rFonts w:ascii="Times New Roman" w:eastAsia="Times New Roman" w:hAnsi="Times New Roman" w:cs="Times New Roman"/>
          <w:color w:val="000000"/>
          <w:sz w:val="24"/>
          <w:szCs w:val="24"/>
          <w:lang w:val="uk-UA" w:eastAsia="uk-UA"/>
        </w:rPr>
        <w:t xml:space="preserve"> Н.И. </w:t>
      </w:r>
      <w:r w:rsidRPr="00AF4F6B">
        <w:rPr>
          <w:rFonts w:ascii="Times New Roman" w:eastAsia="Times New Roman" w:hAnsi="Times New Roman" w:cs="Times New Roman"/>
          <w:color w:val="000000"/>
          <w:sz w:val="24"/>
          <w:szCs w:val="24"/>
          <w:lang w:eastAsia="ru-RU"/>
        </w:rPr>
        <w:t xml:space="preserve">Формирование коммуникативной компетенции как объект зарубежных методических исследований/ </w:t>
      </w:r>
      <w:proofErr w:type="spellStart"/>
      <w:r w:rsidRPr="00AF4F6B">
        <w:rPr>
          <w:rFonts w:ascii="Times New Roman" w:eastAsia="Times New Roman" w:hAnsi="Times New Roman" w:cs="Times New Roman"/>
          <w:color w:val="000000"/>
          <w:sz w:val="24"/>
          <w:szCs w:val="24"/>
          <w:lang w:eastAsia="ru-RU"/>
        </w:rPr>
        <w:t>Н.И.Гез</w:t>
      </w:r>
      <w:proofErr w:type="spellEnd"/>
      <w:r w:rsidRPr="00AF4F6B">
        <w:rPr>
          <w:rFonts w:ascii="Times New Roman" w:eastAsia="Times New Roman" w:hAnsi="Times New Roman" w:cs="Times New Roman"/>
          <w:color w:val="000000"/>
          <w:sz w:val="24"/>
          <w:szCs w:val="24"/>
          <w:lang w:eastAsia="ru-RU"/>
        </w:rPr>
        <w:t>// Иностранные языки в школе. - 1985. - № 2. - С.17.</w:t>
      </w:r>
    </w:p>
    <w:p w:rsidR="00AF4F6B" w:rsidRPr="00AF4F6B" w:rsidRDefault="00AF4F6B" w:rsidP="00AF4F6B">
      <w:pPr>
        <w:pStyle w:val="a3"/>
        <w:numPr>
          <w:ilvl w:val="0"/>
          <w:numId w:val="2"/>
        </w:numPr>
        <w:spacing w:after="0" w:line="360" w:lineRule="auto"/>
        <w:ind w:left="0" w:firstLine="0"/>
        <w:jc w:val="both"/>
        <w:rPr>
          <w:rFonts w:ascii="Times New Roman" w:eastAsia="Times New Roman" w:hAnsi="Times New Roman" w:cs="Times New Roman"/>
          <w:color w:val="000000"/>
          <w:sz w:val="24"/>
          <w:szCs w:val="24"/>
          <w:lang w:val="uk-UA" w:eastAsia="ru-RU"/>
        </w:rPr>
      </w:pPr>
      <w:r w:rsidRPr="00AF4F6B">
        <w:rPr>
          <w:rFonts w:ascii="Times New Roman" w:eastAsia="Times New Roman" w:hAnsi="Times New Roman" w:cs="Times New Roman"/>
          <w:color w:val="000000"/>
          <w:sz w:val="24"/>
          <w:szCs w:val="24"/>
          <w:lang w:val="uk-UA" w:eastAsia="ru-RU"/>
        </w:rPr>
        <w:t xml:space="preserve">Коваль </w:t>
      </w:r>
      <w:r w:rsidRPr="00AF4F6B">
        <w:rPr>
          <w:rFonts w:ascii="Times New Roman" w:eastAsia="Times New Roman" w:hAnsi="Times New Roman" w:cs="Times New Roman"/>
          <w:color w:val="000000"/>
          <w:sz w:val="24"/>
          <w:szCs w:val="24"/>
          <w:lang w:val="uk-UA" w:eastAsia="uk-UA"/>
        </w:rPr>
        <w:t>І.В. Психологічні особливості комунікативного підходу до навчання спілкування іноземною мовою / І.В.Коваль /Актуальні проблеми психології особистості та міжособистісних взаємин : матеріали VII Міжнародної науково-практичної конференції (23 квітня 2015 р., м. Кам'янець-Подільський) / за ред. С.Д. Максименка, Л.А. Онуфрієвої. - Харків : ФОП Дегтяр А.Ю., 2015. - С. 170-172.</w:t>
      </w:r>
    </w:p>
    <w:p w:rsidR="00AF4F6B" w:rsidRPr="00AF4F6B" w:rsidRDefault="00AF4F6B" w:rsidP="00AF4F6B">
      <w:pPr>
        <w:pStyle w:val="a3"/>
        <w:numPr>
          <w:ilvl w:val="0"/>
          <w:numId w:val="2"/>
        </w:numPr>
        <w:spacing w:after="0" w:line="360" w:lineRule="auto"/>
        <w:ind w:left="0" w:firstLine="0"/>
        <w:jc w:val="both"/>
        <w:rPr>
          <w:rFonts w:ascii="Times New Roman" w:eastAsia="Times New Roman" w:hAnsi="Times New Roman" w:cs="Times New Roman"/>
          <w:color w:val="000000"/>
          <w:sz w:val="24"/>
          <w:szCs w:val="24"/>
          <w:lang w:val="uk-UA" w:eastAsia="uk-UA"/>
        </w:rPr>
      </w:pPr>
      <w:r w:rsidRPr="00AF4F6B">
        <w:rPr>
          <w:rFonts w:ascii="Times New Roman" w:eastAsia="Times New Roman" w:hAnsi="Times New Roman" w:cs="Times New Roman"/>
          <w:color w:val="000000"/>
          <w:sz w:val="24"/>
          <w:szCs w:val="24"/>
          <w:lang w:val="uk-UA" w:eastAsia="uk-UA"/>
        </w:rPr>
        <w:t xml:space="preserve">Методика викладання іноземних мов у середніх навчальних закладах: Підручник. - 2-ге вид., випр. і перероб./ </w:t>
      </w:r>
      <w:proofErr w:type="spellStart"/>
      <w:r w:rsidRPr="00AF4F6B">
        <w:rPr>
          <w:rFonts w:ascii="Times New Roman" w:eastAsia="Times New Roman" w:hAnsi="Times New Roman" w:cs="Times New Roman"/>
          <w:color w:val="000000"/>
          <w:sz w:val="24"/>
          <w:szCs w:val="24"/>
          <w:lang w:val="uk-UA" w:eastAsia="uk-UA"/>
        </w:rPr>
        <w:t>Кол.авторів</w:t>
      </w:r>
      <w:proofErr w:type="spellEnd"/>
      <w:r w:rsidRPr="00AF4F6B">
        <w:rPr>
          <w:rFonts w:ascii="Times New Roman" w:eastAsia="Times New Roman" w:hAnsi="Times New Roman" w:cs="Times New Roman"/>
          <w:color w:val="000000"/>
          <w:sz w:val="24"/>
          <w:szCs w:val="24"/>
          <w:lang w:val="uk-UA" w:eastAsia="uk-UA"/>
        </w:rPr>
        <w:t xml:space="preserve"> під </w:t>
      </w:r>
      <w:proofErr w:type="spellStart"/>
      <w:r w:rsidRPr="00AF4F6B">
        <w:rPr>
          <w:rFonts w:ascii="Times New Roman" w:eastAsia="Times New Roman" w:hAnsi="Times New Roman" w:cs="Times New Roman"/>
          <w:color w:val="000000"/>
          <w:sz w:val="24"/>
          <w:szCs w:val="24"/>
          <w:lang w:val="uk-UA" w:eastAsia="uk-UA"/>
        </w:rPr>
        <w:t>керівн</w:t>
      </w:r>
      <w:proofErr w:type="spellEnd"/>
      <w:r w:rsidRPr="00AF4F6B">
        <w:rPr>
          <w:rFonts w:ascii="Times New Roman" w:eastAsia="Times New Roman" w:hAnsi="Times New Roman" w:cs="Times New Roman"/>
          <w:color w:val="000000"/>
          <w:sz w:val="24"/>
          <w:szCs w:val="24"/>
          <w:lang w:val="uk-UA" w:eastAsia="uk-UA"/>
        </w:rPr>
        <w:t>. С.Ю.</w:t>
      </w:r>
      <w:proofErr w:type="spellStart"/>
      <w:r w:rsidRPr="00AF4F6B">
        <w:rPr>
          <w:rFonts w:ascii="Times New Roman" w:eastAsia="Times New Roman" w:hAnsi="Times New Roman" w:cs="Times New Roman"/>
          <w:color w:val="000000"/>
          <w:sz w:val="24"/>
          <w:szCs w:val="24"/>
          <w:lang w:val="uk-UA" w:eastAsia="uk-UA"/>
        </w:rPr>
        <w:t>Ніколаєвої</w:t>
      </w:r>
      <w:proofErr w:type="spellEnd"/>
      <w:r w:rsidRPr="00AF4F6B">
        <w:rPr>
          <w:rFonts w:ascii="Times New Roman" w:eastAsia="Times New Roman" w:hAnsi="Times New Roman" w:cs="Times New Roman"/>
          <w:color w:val="000000"/>
          <w:sz w:val="24"/>
          <w:szCs w:val="24"/>
          <w:lang w:val="uk-UA" w:eastAsia="uk-UA"/>
        </w:rPr>
        <w:t xml:space="preserve">. - К. : </w:t>
      </w:r>
      <w:proofErr w:type="spellStart"/>
      <w:r w:rsidRPr="00AF4F6B">
        <w:rPr>
          <w:rFonts w:ascii="Times New Roman" w:eastAsia="Times New Roman" w:hAnsi="Times New Roman" w:cs="Times New Roman"/>
          <w:color w:val="000000"/>
          <w:sz w:val="24"/>
          <w:szCs w:val="24"/>
          <w:lang w:val="uk-UA" w:eastAsia="uk-UA"/>
        </w:rPr>
        <w:t>Ленвіт</w:t>
      </w:r>
      <w:proofErr w:type="spellEnd"/>
      <w:r w:rsidRPr="00AF4F6B">
        <w:rPr>
          <w:rFonts w:ascii="Times New Roman" w:eastAsia="Times New Roman" w:hAnsi="Times New Roman" w:cs="Times New Roman"/>
          <w:color w:val="000000"/>
          <w:sz w:val="24"/>
          <w:szCs w:val="24"/>
          <w:lang w:val="uk-UA" w:eastAsia="uk-UA"/>
        </w:rPr>
        <w:t>, 2002. - 328 с.</w:t>
      </w:r>
    </w:p>
    <w:p w:rsidR="00F87CFD" w:rsidRPr="00AF4F6B" w:rsidRDefault="00F87CFD">
      <w:pPr>
        <w:rPr>
          <w:lang w:val="uk-UA"/>
        </w:rPr>
      </w:pPr>
    </w:p>
    <w:sectPr w:rsidR="00F87CFD" w:rsidRPr="00AF4F6B" w:rsidSect="00AF4F6B">
      <w:pgSz w:w="11909" w:h="16834"/>
      <w:pgMar w:top="1440" w:right="1440" w:bottom="1440" w:left="1440" w:header="0" w:footer="0"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18"/>
        <w:szCs w:val="18"/>
        <w:u w:val="none"/>
      </w:rPr>
    </w:lvl>
    <w:lvl w:ilvl="1">
      <w:start w:val="1"/>
      <w:numFmt w:val="decimal"/>
      <w:lvlText w:val="%1."/>
      <w:lvlJc w:val="left"/>
      <w:rPr>
        <w:b w:val="0"/>
        <w:bCs w:val="0"/>
        <w:i w:val="0"/>
        <w:iCs w:val="0"/>
        <w:smallCaps w:val="0"/>
        <w:strike w:val="0"/>
        <w:color w:val="000000"/>
        <w:spacing w:val="0"/>
        <w:w w:val="100"/>
        <w:position w:val="0"/>
        <w:sz w:val="18"/>
        <w:szCs w:val="18"/>
        <w:u w:val="none"/>
      </w:rPr>
    </w:lvl>
    <w:lvl w:ilvl="2">
      <w:start w:val="1"/>
      <w:numFmt w:val="decimal"/>
      <w:lvlText w:val="%1."/>
      <w:lvlJc w:val="left"/>
      <w:rPr>
        <w:b w:val="0"/>
        <w:bCs w:val="0"/>
        <w:i w:val="0"/>
        <w:iCs w:val="0"/>
        <w:smallCaps w:val="0"/>
        <w:strike w:val="0"/>
        <w:color w:val="000000"/>
        <w:spacing w:val="0"/>
        <w:w w:val="100"/>
        <w:position w:val="0"/>
        <w:sz w:val="18"/>
        <w:szCs w:val="18"/>
        <w:u w:val="none"/>
      </w:rPr>
    </w:lvl>
    <w:lvl w:ilvl="3">
      <w:start w:val="1"/>
      <w:numFmt w:val="decimal"/>
      <w:lvlText w:val="%1."/>
      <w:lvlJc w:val="left"/>
      <w:rPr>
        <w:b w:val="0"/>
        <w:bCs w:val="0"/>
        <w:i w:val="0"/>
        <w:iCs w:val="0"/>
        <w:smallCaps w:val="0"/>
        <w:strike w:val="0"/>
        <w:color w:val="000000"/>
        <w:spacing w:val="0"/>
        <w:w w:val="100"/>
        <w:position w:val="0"/>
        <w:sz w:val="18"/>
        <w:szCs w:val="18"/>
        <w:u w:val="none"/>
      </w:rPr>
    </w:lvl>
    <w:lvl w:ilvl="4">
      <w:start w:val="1"/>
      <w:numFmt w:val="decimal"/>
      <w:lvlText w:val="%1."/>
      <w:lvlJc w:val="left"/>
      <w:rPr>
        <w:b w:val="0"/>
        <w:bCs w:val="0"/>
        <w:i w:val="0"/>
        <w:iCs w:val="0"/>
        <w:smallCaps w:val="0"/>
        <w:strike w:val="0"/>
        <w:color w:val="000000"/>
        <w:spacing w:val="0"/>
        <w:w w:val="100"/>
        <w:position w:val="0"/>
        <w:sz w:val="18"/>
        <w:szCs w:val="18"/>
        <w:u w:val="none"/>
      </w:rPr>
    </w:lvl>
    <w:lvl w:ilvl="5">
      <w:start w:val="1"/>
      <w:numFmt w:val="decimal"/>
      <w:lvlText w:val="%1."/>
      <w:lvlJc w:val="left"/>
      <w:rPr>
        <w:b w:val="0"/>
        <w:bCs w:val="0"/>
        <w:i w:val="0"/>
        <w:iCs w:val="0"/>
        <w:smallCaps w:val="0"/>
        <w:strike w:val="0"/>
        <w:color w:val="000000"/>
        <w:spacing w:val="0"/>
        <w:w w:val="100"/>
        <w:position w:val="0"/>
        <w:sz w:val="18"/>
        <w:szCs w:val="18"/>
        <w:u w:val="none"/>
      </w:rPr>
    </w:lvl>
    <w:lvl w:ilvl="6">
      <w:start w:val="1"/>
      <w:numFmt w:val="decimal"/>
      <w:lvlText w:val="%1."/>
      <w:lvlJc w:val="left"/>
      <w:rPr>
        <w:b w:val="0"/>
        <w:bCs w:val="0"/>
        <w:i w:val="0"/>
        <w:iCs w:val="0"/>
        <w:smallCaps w:val="0"/>
        <w:strike w:val="0"/>
        <w:color w:val="000000"/>
        <w:spacing w:val="0"/>
        <w:w w:val="100"/>
        <w:position w:val="0"/>
        <w:sz w:val="18"/>
        <w:szCs w:val="18"/>
        <w:u w:val="none"/>
      </w:rPr>
    </w:lvl>
    <w:lvl w:ilvl="7">
      <w:start w:val="1"/>
      <w:numFmt w:val="decimal"/>
      <w:lvlText w:val="%1."/>
      <w:lvlJc w:val="left"/>
      <w:rPr>
        <w:b w:val="0"/>
        <w:bCs w:val="0"/>
        <w:i w:val="0"/>
        <w:iCs w:val="0"/>
        <w:smallCaps w:val="0"/>
        <w:strike w:val="0"/>
        <w:color w:val="000000"/>
        <w:spacing w:val="0"/>
        <w:w w:val="100"/>
        <w:position w:val="0"/>
        <w:sz w:val="18"/>
        <w:szCs w:val="18"/>
        <w:u w:val="none"/>
      </w:rPr>
    </w:lvl>
    <w:lvl w:ilvl="8">
      <w:start w:val="1"/>
      <w:numFmt w:val="decimal"/>
      <w:lvlText w:val="%1."/>
      <w:lvlJc w:val="left"/>
      <w:rPr>
        <w:b w:val="0"/>
        <w:bCs w:val="0"/>
        <w:i w:val="0"/>
        <w:iCs w:val="0"/>
        <w:smallCaps w:val="0"/>
        <w:strike w:val="0"/>
        <w:color w:val="000000"/>
        <w:spacing w:val="0"/>
        <w:w w:val="100"/>
        <w:position w:val="0"/>
        <w:sz w:val="18"/>
        <w:szCs w:val="18"/>
        <w:u w:val="none"/>
      </w:rPr>
    </w:lvl>
  </w:abstractNum>
  <w:abstractNum w:abstractNumId="1">
    <w:nsid w:val="07847B77"/>
    <w:multiLevelType w:val="hybridMultilevel"/>
    <w:tmpl w:val="8FE4A0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F6B"/>
    <w:rsid w:val="0050554F"/>
    <w:rsid w:val="00723465"/>
    <w:rsid w:val="00AF4F6B"/>
    <w:rsid w:val="00F87C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F4F6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F4F6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778</Words>
  <Characters>4437</Characters>
  <Application>Microsoft Office Word</Application>
  <DocSecurity>0</DocSecurity>
  <Lines>36</Lines>
  <Paragraphs>10</Paragraphs>
  <ScaleCrop>false</ScaleCrop>
  <Company>SPecialiST RePack</Company>
  <LinksUpToDate>false</LinksUpToDate>
  <CharactersWithSpaces>5205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2017-07-11T17:32:00Z</dcterms:created>
  <dcterms:modified xsi:type="dcterms:W3CDTF">2017-07-11T17:34:00Z</dcterms:modified>
</cp:coreProperties>
</file>