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1569" w:rsidRPr="00FE493A" w:rsidRDefault="00B21569" w:rsidP="00B21569">
      <w:pPr>
        <w:spacing w:line="238" w:lineRule="auto"/>
        <w:jc w:val="right"/>
        <w:rPr>
          <w:rFonts w:ascii="Times New Roman" w:hAnsi="Times New Roman" w:cs="Times New Roman"/>
          <w:color w:val="000000"/>
          <w:sz w:val="20"/>
          <w:szCs w:val="20"/>
        </w:rPr>
      </w:pPr>
      <w:r w:rsidRPr="00FE493A">
        <w:rPr>
          <w:rFonts w:ascii="Times New Roman" w:hAnsi="Times New Roman" w:cs="Times New Roman"/>
          <w:color w:val="000000"/>
          <w:sz w:val="20"/>
          <w:szCs w:val="20"/>
        </w:rPr>
        <w:t>ГАВЕНКО М. С.</w:t>
      </w:r>
    </w:p>
    <w:p w:rsidR="00B21569" w:rsidRPr="00FE493A" w:rsidRDefault="00B21569" w:rsidP="00B21569">
      <w:pPr>
        <w:spacing w:line="238" w:lineRule="auto"/>
        <w:jc w:val="right"/>
        <w:rPr>
          <w:rFonts w:ascii="Times New Roman" w:hAnsi="Times New Roman" w:cs="Times New Roman"/>
          <w:color w:val="000000"/>
          <w:sz w:val="16"/>
          <w:szCs w:val="16"/>
        </w:rPr>
      </w:pPr>
      <w:r w:rsidRPr="00FE493A">
        <w:rPr>
          <w:rFonts w:ascii="Times New Roman" w:hAnsi="Times New Roman" w:cs="Times New Roman"/>
          <w:color w:val="000000"/>
          <w:sz w:val="16"/>
          <w:szCs w:val="16"/>
        </w:rPr>
        <w:t>Хмельницький національний університет</w:t>
      </w:r>
    </w:p>
    <w:p w:rsidR="00B21569" w:rsidRPr="006249FC" w:rsidRDefault="00B21569" w:rsidP="00B21569">
      <w:pPr>
        <w:spacing w:line="238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B21569" w:rsidRDefault="00B21569" w:rsidP="00B21569">
      <w:pPr>
        <w:spacing w:line="238" w:lineRule="auto"/>
        <w:jc w:val="center"/>
        <w:rPr>
          <w:rFonts w:ascii="Times New Roman" w:hAnsi="Times New Roman" w:cs="Times New Roman"/>
          <w:b/>
          <w:color w:val="000000"/>
          <w:spacing w:val="-4"/>
          <w:sz w:val="21"/>
          <w:szCs w:val="21"/>
        </w:rPr>
      </w:pPr>
      <w:r w:rsidRPr="00927225">
        <w:rPr>
          <w:rFonts w:ascii="Times New Roman" w:hAnsi="Times New Roman" w:cs="Times New Roman"/>
          <w:b/>
          <w:color w:val="000000"/>
          <w:sz w:val="21"/>
          <w:szCs w:val="21"/>
        </w:rPr>
        <w:t xml:space="preserve">ФОРМУВАННЯ СИСТЕМИ ОЦІНЮВАННЯ </w:t>
      </w:r>
      <w:r w:rsidRPr="00927225">
        <w:rPr>
          <w:rFonts w:ascii="Times New Roman Полужирный" w:hAnsi="Times New Roman Полужирный" w:cs="Times New Roman"/>
          <w:b/>
          <w:color w:val="000000"/>
          <w:spacing w:val="-4"/>
          <w:sz w:val="21"/>
          <w:szCs w:val="21"/>
        </w:rPr>
        <w:t xml:space="preserve">КОНКУРЕНТНОЇ ПОЗИЦІЇ </w:t>
      </w:r>
    </w:p>
    <w:p w:rsidR="00B21569" w:rsidRPr="00927225" w:rsidRDefault="00B21569" w:rsidP="00B21569">
      <w:pPr>
        <w:spacing w:line="238" w:lineRule="auto"/>
        <w:jc w:val="center"/>
        <w:rPr>
          <w:rFonts w:ascii="Times New Roman Полужирный" w:hAnsi="Times New Roman Полужирный" w:cs="Times New Roman"/>
          <w:b/>
          <w:color w:val="000000"/>
          <w:spacing w:val="-4"/>
          <w:sz w:val="21"/>
          <w:szCs w:val="21"/>
        </w:rPr>
      </w:pPr>
      <w:r w:rsidRPr="00927225">
        <w:rPr>
          <w:rFonts w:ascii="Times New Roman Полужирный" w:hAnsi="Times New Roman Полужирный" w:cs="Times New Roman"/>
          <w:b/>
          <w:color w:val="000000"/>
          <w:spacing w:val="-4"/>
          <w:sz w:val="21"/>
          <w:szCs w:val="21"/>
        </w:rPr>
        <w:t>ПІДПРИЄМСТВА РОЗДРІБНОЇ ТОРГІВЛІ</w:t>
      </w:r>
    </w:p>
    <w:p w:rsidR="00B21569" w:rsidRPr="006249FC" w:rsidRDefault="00B21569" w:rsidP="00B21569">
      <w:pPr>
        <w:spacing w:line="238" w:lineRule="auto"/>
        <w:ind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B21569" w:rsidRPr="006249FC" w:rsidRDefault="00B21569" w:rsidP="00B21569">
      <w:pPr>
        <w:widowControl w:val="0"/>
        <w:spacing w:line="238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Формування цільових орієнтирів розвитку підприємства роз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дрібної торгівлі для різних етапів життєвого циклу потребує система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тичного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комплексного аналізу конкурентних переваг, оцінювання яких пропонується здійснювати з використанням поєднання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диферен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ційованого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комплексного підходу: найважливіші показники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викорис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товуються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як одиничні; інші показники об’єднуються у групи для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ної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 яких визначають груповий показник; на основі отриманих гру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пових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723489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і одиничних показників оцінюється конкурентоспроможність [1].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 xml:space="preserve"> 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Такий підхід дозволить дати всебічну характеристику конкурентній позиції підприємства як в розрізі сегментних ринків так і в порівнянні з конкурентами.</w:t>
      </w:r>
    </w:p>
    <w:p w:rsidR="00B21569" w:rsidRPr="006249FC" w:rsidRDefault="00B21569" w:rsidP="00B21569">
      <w:pPr>
        <w:widowControl w:val="0"/>
        <w:spacing w:line="238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Економічна література володіє рядом методів, які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уможлив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люють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аналіз конкурентної позиції. До їх числа відносять методи портфельного аналізу (матриці BCG, GE,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Ансофа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McKinsey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), методи емпіричного аналізу конкурентних стратегій (Й.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Шумпетера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М. Пор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тера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Ф.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Котлера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Л. 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Раменського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А.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Юданова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Ч.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Фризенкиля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екс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пертні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методи, розрахунково-аналітичні методи, тощо. Задачею даного дослідження при визначенні конкурентної позиції є дії, які здійснює </w:t>
      </w:r>
      <w:r w:rsidRPr="00723489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eastAsia="ru-RU"/>
        </w:rPr>
        <w:t>підприємство під час конкурентної боротьби. Тобто, стратегічні кроки –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набір дій та управлінських рішень конкурентів пов'язаних з форму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ванням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їх бізнес-просторів й взаємовідносин з контактними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аудито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ріями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клієнтами. Це дасть змогу виявити конкурента, який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стано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вить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найбільшу загрозу [4, с.87]. З цією метою доцільно оцінювати конкурентну позицію з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точки зору 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досягненням підприємством роз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дрібної торгівлі конкурентних переваг, які й формують стратегічне позиціювання підприємства в конкурентному середовищі та його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пове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дінку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За основу проведення аналізу пропонується взяти класифікацію конкурентної поведінки Ю. Рубіна, який виділяє наступальну,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ронну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контр наступальну, погоджувального компромісу, ізоляційну, відволікаючу та відступальну поведінки [2, с.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105]. Крім того, в умовах розмиття ринкових меж, ізоляційної поведінки дотримується «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страте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гія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голубого океану» У.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Чан Кіма та Р.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Моборна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[3]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>Процес формування системи оцінки конкурентоспроможності  потенціалу як основи формування виняткових конкурентних переваг та самої конкурентної позиції  представлено  в таблиці 1.</w:t>
      </w:r>
    </w:p>
    <w:p w:rsidR="00B21569" w:rsidRPr="00723489" w:rsidRDefault="00B21569" w:rsidP="00B21569">
      <w:pPr>
        <w:widowControl w:val="0"/>
        <w:ind w:firstLine="709"/>
        <w:contextualSpacing/>
        <w:rPr>
          <w:rFonts w:ascii="Times New Roman" w:eastAsia="Times New Roman" w:hAnsi="Times New Roman" w:cs="Times New Roman"/>
          <w:i/>
          <w:color w:val="000000"/>
          <w:sz w:val="14"/>
          <w:szCs w:val="14"/>
        </w:rPr>
      </w:pPr>
    </w:p>
    <w:p w:rsidR="00B21569" w:rsidRPr="00927225" w:rsidRDefault="00B21569" w:rsidP="00B21569">
      <w:pPr>
        <w:widowControl w:val="0"/>
        <w:ind w:firstLine="709"/>
        <w:contextualSpacing/>
        <w:jc w:val="right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 w:rsidRPr="00927225">
        <w:rPr>
          <w:rFonts w:ascii="Times New Roman" w:eastAsia="Times New Roman" w:hAnsi="Times New Roman" w:cs="Times New Roman"/>
          <w:color w:val="000000"/>
          <w:sz w:val="19"/>
          <w:szCs w:val="19"/>
        </w:rPr>
        <w:t>Таблиця 1</w:t>
      </w:r>
    </w:p>
    <w:p w:rsidR="00B21569" w:rsidRPr="00927225" w:rsidRDefault="00B21569" w:rsidP="00B21569">
      <w:pPr>
        <w:widowControl w:val="0"/>
        <w:contextualSpacing/>
        <w:jc w:val="center"/>
        <w:rPr>
          <w:rFonts w:ascii="Times New Roman" w:eastAsia="Times New Roman" w:hAnsi="Times New Roman" w:cs="Times New Roman"/>
          <w:i/>
          <w:color w:val="000000"/>
          <w:sz w:val="19"/>
          <w:szCs w:val="19"/>
        </w:rPr>
      </w:pPr>
      <w:r w:rsidRPr="00927225">
        <w:rPr>
          <w:rFonts w:ascii="Times New Roman" w:eastAsia="Times New Roman" w:hAnsi="Times New Roman" w:cs="Times New Roman"/>
          <w:b/>
          <w:color w:val="000000"/>
          <w:sz w:val="19"/>
          <w:szCs w:val="19"/>
        </w:rPr>
        <w:t>Процес формування системи оцінювання конкурентної позиції підприємства роздрібної торгівлі</w:t>
      </w:r>
      <w:r w:rsidRPr="00927225">
        <w:rPr>
          <w:rFonts w:ascii="Times New Roman" w:eastAsia="Times New Roman" w:hAnsi="Times New Roman" w:cs="Times New Roman"/>
          <w:color w:val="000000"/>
          <w:sz w:val="19"/>
          <w:szCs w:val="19"/>
          <w:vertAlign w:val="superscript"/>
        </w:rPr>
        <w:t>*</w:t>
      </w:r>
    </w:p>
    <w:tbl>
      <w:tblPr>
        <w:tblW w:w="48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3"/>
        <w:gridCol w:w="6676"/>
      </w:tblGrid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Етап процесу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Характеристика етапу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Визначення домі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нантних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складових конкурентного потенціалу </w:t>
            </w:r>
          </w:p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та їх змісту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Конкурентний потенціал формується за такими складовими: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927225">
              <w:rPr>
                <w:rFonts w:ascii="Times New Roman" w:hAnsi="Times New Roman" w:cs="Times New Roman"/>
                <w:color w:val="000000"/>
                <w:sz w:val="19"/>
                <w:szCs w:val="19"/>
              </w:rPr>
              <w:t xml:space="preserve">1. Споживчий потенціал (ринковий та контактний); 2. </w:t>
            </w:r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Фінансовий потенціал; 3. Бізнес-про</w:t>
            </w:r>
            <w:r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-</w:t>
            </w:r>
            <w:proofErr w:type="spellStart"/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цеси</w:t>
            </w:r>
            <w:proofErr w:type="spellEnd"/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; 4. Клієнт</w:t>
            </w:r>
            <w:r w:rsidRPr="00927225">
              <w:rPr>
                <w:rFonts w:ascii="Times New Roman" w:hAnsi="Times New Roman" w:cs="Times New Roman"/>
                <w:color w:val="000000"/>
                <w:sz w:val="19"/>
                <w:szCs w:val="19"/>
              </w:rPr>
              <w:t xml:space="preserve">ський </w:t>
            </w:r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потенціал; 5. Стратегічний по</w:t>
            </w:r>
            <w:r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-</w:t>
            </w:r>
            <w:proofErr w:type="spellStart"/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тенціал</w:t>
            </w:r>
            <w:proofErr w:type="spellEnd"/>
            <w:r w:rsidRPr="000B1E3B">
              <w:rPr>
                <w:rFonts w:ascii="Times New Roman" w:hAnsi="Times New Roman" w:cs="Times New Roman"/>
                <w:color w:val="000000"/>
                <w:spacing w:val="-4"/>
                <w:sz w:val="19"/>
                <w:szCs w:val="19"/>
              </w:rPr>
              <w:t>; 6. Потенц</w:t>
            </w:r>
            <w:r w:rsidRPr="00927225">
              <w:rPr>
                <w:rFonts w:ascii="Times New Roman" w:hAnsi="Times New Roman" w:cs="Times New Roman"/>
                <w:color w:val="000000"/>
                <w:sz w:val="19"/>
                <w:szCs w:val="19"/>
              </w:rPr>
              <w:t>іал розвитку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Вибір інструментів для оцінювання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Зміст окремих складових конкурентного потенціалу характеризується переліком кількісних показників та </w:t>
            </w:r>
            <w:r w:rsidRPr="000B1E3B">
              <w:rPr>
                <w:rFonts w:ascii="Times New Roman" w:eastAsia="Times New Roman" w:hAnsi="Times New Roman" w:cs="Times New Roman"/>
                <w:color w:val="000000"/>
                <w:spacing w:val="-4"/>
                <w:sz w:val="19"/>
                <w:szCs w:val="19"/>
              </w:rPr>
              <w:t>якісними характеристиками в процесі формування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0B1E3B">
              <w:rPr>
                <w:rFonts w:ascii="Times New Roman" w:eastAsia="Times New Roman" w:hAnsi="Times New Roman" w:cs="Times New Roman"/>
                <w:color w:val="000000"/>
                <w:spacing w:val="-4"/>
                <w:sz w:val="19"/>
                <w:szCs w:val="19"/>
              </w:rPr>
              <w:t>конкурентних переваг та ефективності підприємства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загалом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Збір інформації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0B1E3B">
              <w:rPr>
                <w:rFonts w:ascii="Times New Roman" w:eastAsia="Times New Roman" w:hAnsi="Times New Roman" w:cs="Times New Roman"/>
                <w:color w:val="000000"/>
                <w:spacing w:val="-4"/>
                <w:sz w:val="19"/>
                <w:szCs w:val="19"/>
              </w:rPr>
              <w:t>Джерелами інформації виступають статистична річна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звітність, результати експертних оцінювань та мар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кетингової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розвідки в динаміці за даними окремих підприємств-конкурентів, що беруть участь в до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слідженні.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Нормалізація показників кількісної оцінки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Для переведення 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різновимірних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показників у спів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ставні одиниці виміру потребується їх нормалізація методом, який буде максимально відповідати умовам оцінювання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Зазначення 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критеріальних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обмежень та значущість критеріїв функціональних підсистем управління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67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0B1E3B">
              <w:rPr>
                <w:rFonts w:ascii="Times New Roman" w:eastAsia="Times New Roman" w:hAnsi="Times New Roman" w:cs="Times New Roman"/>
                <w:color w:val="000000"/>
                <w:spacing w:val="-6"/>
                <w:sz w:val="19"/>
                <w:szCs w:val="19"/>
              </w:rPr>
              <w:t>Межі ефективного функціонування об’єкта дослідження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визначаються фінансовими коефіцієнтами, які 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ма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ють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нормативні значення. Для інших показників орієнтиром слугує вектор привабливих змін, 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визна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чений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на основі галузевої норми, опублікованих в офіційних статистичних джерелах чи еталонного значення підприємства-конкурента. Зміни на під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приємстві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здійснюються під впливом стимулюючих та де стимулюючих показників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Обґрунтування методики оцінки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Узагальнення оцінок окремих складових конкурент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ного </w:t>
            </w:r>
            <w:r w:rsidRPr="000B1E3B">
              <w:rPr>
                <w:rFonts w:ascii="Times New Roman" w:eastAsia="Times New Roman" w:hAnsi="Times New Roman" w:cs="Times New Roman"/>
                <w:color w:val="000000"/>
                <w:spacing w:val="-4"/>
                <w:sz w:val="19"/>
                <w:szCs w:val="19"/>
              </w:rPr>
              <w:t xml:space="preserve">потенціалу з загальної його оцінки по </w:t>
            </w:r>
            <w:proofErr w:type="spellStart"/>
            <w:r w:rsidRPr="000B1E3B">
              <w:rPr>
                <w:rFonts w:ascii="Times New Roman" w:eastAsia="Times New Roman" w:hAnsi="Times New Roman" w:cs="Times New Roman"/>
                <w:color w:val="000000"/>
                <w:spacing w:val="-4"/>
                <w:sz w:val="19"/>
                <w:szCs w:val="19"/>
              </w:rPr>
              <w:t>підприє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ству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, загалом, можливо здійснити методами </w:t>
            </w:r>
            <w:proofErr w:type="spellStart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інтегру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вання</w:t>
            </w:r>
            <w:proofErr w:type="spellEnd"/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показників: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відносно ідеалу; відносно серед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-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нього значення на ринку; відносно еталон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а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 </w:t>
            </w:r>
          </w:p>
        </w:tc>
      </w:tr>
    </w:tbl>
    <w:p w:rsidR="00B21569" w:rsidRPr="00927225" w:rsidRDefault="00B21569" w:rsidP="00B21569">
      <w:pPr>
        <w:widowControl w:val="0"/>
        <w:ind w:firstLine="709"/>
        <w:contextualSpacing/>
        <w:jc w:val="right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Продовження </w:t>
      </w:r>
      <w:r w:rsidRPr="00927225">
        <w:rPr>
          <w:rFonts w:ascii="Times New Roman" w:eastAsia="Times New Roman" w:hAnsi="Times New Roman" w:cs="Times New Roman"/>
          <w:color w:val="000000"/>
          <w:sz w:val="19"/>
          <w:szCs w:val="19"/>
        </w:rPr>
        <w:t>таблиц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r w:rsidRPr="00927225"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1</w:t>
      </w:r>
    </w:p>
    <w:tbl>
      <w:tblPr>
        <w:tblW w:w="48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3"/>
        <w:gridCol w:w="6676"/>
      </w:tblGrid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Етап процесу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Характеристика етапу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Порівняння</w:t>
            </w:r>
          </w:p>
        </w:tc>
        <w:tc>
          <w:tcPr>
            <w:tcW w:w="4373" w:type="dxa"/>
          </w:tcPr>
          <w:p w:rsidR="00B21569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 xml:space="preserve">Порівняння конкурентного потенціалу загалом, </w:t>
            </w:r>
          </w:p>
          <w:p w:rsidR="00B21569" w:rsidRPr="00927225" w:rsidRDefault="00B21569" w:rsidP="000F4159">
            <w:pPr>
              <w:widowControl w:val="0"/>
              <w:ind w:left="-66" w:right="-46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і окремих його скла</w:t>
            </w: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softHyphen/>
              <w:t>дових з даними підприємств-конкурентів, які увійшли до системи оцінювання.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  <w:vMerge w:val="restart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lastRenderedPageBreak/>
              <w:t>Аналіз оцінювання конкурентних переваг стратегічної групи конкурентів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ind w:left="-66" w:right="-46"/>
              <w:contextualSpacing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Аналіз здійснюється на основі інтегрального показника ефективності використання складових конкурентного потенціалу, визначеного з використанням збалансован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ої системи показників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  <w:vMerge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</w:p>
        </w:tc>
        <w:tc>
          <w:tcPr>
            <w:tcW w:w="4373" w:type="dxa"/>
          </w:tcPr>
          <w:p w:rsidR="00B21569" w:rsidRPr="00927225" w:rsidRDefault="00B21569" w:rsidP="000F4159">
            <w:pPr>
              <w:ind w:left="-66" w:right="-46"/>
              <w:contextualSpacing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Розрахунок інтегральних показників сили та інтенсивності впливу конкурентної позиції</w:t>
            </w:r>
          </w:p>
        </w:tc>
      </w:tr>
      <w:tr w:rsidR="00B21569" w:rsidRPr="00927225" w:rsidTr="000F4159">
        <w:trPr>
          <w:jc w:val="center"/>
        </w:trPr>
        <w:tc>
          <w:tcPr>
            <w:tcW w:w="1777" w:type="dxa"/>
          </w:tcPr>
          <w:p w:rsidR="00B21569" w:rsidRPr="00927225" w:rsidRDefault="00B21569" w:rsidP="000F4159">
            <w:pPr>
              <w:ind w:left="-95" w:right="-104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Інтерпретація результатів</w:t>
            </w:r>
          </w:p>
        </w:tc>
        <w:tc>
          <w:tcPr>
            <w:tcW w:w="4373" w:type="dxa"/>
          </w:tcPr>
          <w:p w:rsidR="00B21569" w:rsidRPr="00927225" w:rsidRDefault="00B21569" w:rsidP="000F4159">
            <w:pPr>
              <w:ind w:left="-66" w:right="-46"/>
              <w:contextualSpacing/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</w:pPr>
            <w:r w:rsidRPr="00927225"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Характеристика конкурентів з точки зору стратегічних та тактичних кроків на шляху ре</w:t>
            </w:r>
            <w:r>
              <w:rPr>
                <w:rFonts w:ascii="Times New Roman" w:eastAsia="Times New Roman" w:hAnsi="Times New Roman" w:cs="Times New Roman"/>
                <w:color w:val="000000"/>
                <w:sz w:val="19"/>
                <w:szCs w:val="19"/>
              </w:rPr>
              <w:t>алізації конкурентних стратегій</w:t>
            </w:r>
          </w:p>
        </w:tc>
      </w:tr>
    </w:tbl>
    <w:p w:rsidR="00B21569" w:rsidRPr="000B1E3B" w:rsidRDefault="00B21569" w:rsidP="00B21569">
      <w:pPr>
        <w:ind w:firstLine="709"/>
        <w:contextualSpacing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 w:rsidRPr="00927225">
        <w:rPr>
          <w:rFonts w:ascii="Times New Roman" w:eastAsia="Times New Roman" w:hAnsi="Times New Roman" w:cs="Times New Roman"/>
          <w:i/>
          <w:color w:val="000000"/>
          <w:sz w:val="19"/>
          <w:szCs w:val="19"/>
          <w:vertAlign w:val="superscript"/>
        </w:rPr>
        <w:t>*</w:t>
      </w:r>
      <w:r w:rsidRPr="000B1E3B">
        <w:rPr>
          <w:rFonts w:ascii="Times New Roman" w:eastAsia="Times New Roman" w:hAnsi="Times New Roman" w:cs="Times New Roman"/>
          <w:color w:val="000000"/>
          <w:sz w:val="19"/>
          <w:szCs w:val="19"/>
        </w:rPr>
        <w:t>розроблено автором</w:t>
      </w:r>
    </w:p>
    <w:p w:rsidR="00B21569" w:rsidRPr="000B1E3B" w:rsidRDefault="00B21569" w:rsidP="00B21569">
      <w:pPr>
        <w:widowControl w:val="0"/>
        <w:ind w:firstLine="709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Отже, в умовах динамічного середовища здатність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мобілі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зувати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ефективно використовувати нематеріальні активи та створені на їх основі інноваційні цінності та компетенції, орієнтація на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живача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ефективні бізнес-процеси є запорукою успішного </w:t>
      </w:r>
      <w:proofErr w:type="spellStart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функціону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вання</w:t>
      </w:r>
      <w:proofErr w:type="spellEnd"/>
      <w:r w:rsidRPr="006249F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підприємства на довгострокову перспективу.</w:t>
      </w:r>
    </w:p>
    <w:p w:rsidR="00B21569" w:rsidRPr="000B1E3B" w:rsidRDefault="00B21569" w:rsidP="00B21569">
      <w:pPr>
        <w:widowControl w:val="0"/>
        <w:ind w:firstLine="709"/>
        <w:rPr>
          <w:rFonts w:ascii="Times New Roman" w:hAnsi="Times New Roman" w:cs="Times New Roman"/>
          <w:b/>
          <w:color w:val="000000"/>
          <w:sz w:val="16"/>
          <w:szCs w:val="16"/>
        </w:rPr>
      </w:pPr>
    </w:p>
    <w:p w:rsidR="00B21569" w:rsidRDefault="00B21569" w:rsidP="00B21569">
      <w:pPr>
        <w:widowControl w:val="0"/>
        <w:jc w:val="center"/>
        <w:rPr>
          <w:rFonts w:ascii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>Література</w:t>
      </w:r>
    </w:p>
    <w:p w:rsidR="00B21569" w:rsidRPr="000B1E3B" w:rsidRDefault="00B21569" w:rsidP="00B21569">
      <w:pPr>
        <w:widowControl w:val="0"/>
        <w:ind w:firstLine="709"/>
        <w:rPr>
          <w:rFonts w:ascii="Times New Roman" w:hAnsi="Times New Roman" w:cs="Times New Roman"/>
          <w:b/>
          <w:color w:val="000000"/>
          <w:sz w:val="16"/>
          <w:szCs w:val="16"/>
        </w:rPr>
      </w:pP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1.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Иванов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А.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П. Метод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формирования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и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оценки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конкурентной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стратегии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>компании</w:t>
      </w:r>
      <w:proofErr w:type="spellEnd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 xml:space="preserve">. </w:t>
      </w:r>
      <w:proofErr w:type="spellStart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>Финансовый</w:t>
      </w:r>
      <w:proofErr w:type="spellEnd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 xml:space="preserve"> менеджмент / А. П. </w:t>
      </w:r>
      <w:proofErr w:type="spellStart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>Иванов</w:t>
      </w:r>
      <w:proofErr w:type="spellEnd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 xml:space="preserve">, Е. Ю. </w:t>
      </w:r>
      <w:proofErr w:type="spellStart"/>
      <w:r w:rsidRPr="000B1E3B">
        <w:rPr>
          <w:rFonts w:ascii="Times New Roman" w:hAnsi="Times New Roman" w:cs="Times New Roman"/>
          <w:color w:val="000000"/>
          <w:spacing w:val="-6"/>
          <w:sz w:val="20"/>
          <w:szCs w:val="20"/>
        </w:rPr>
        <w:t>Хрус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талев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М.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: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Дело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и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сервис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>. 2005.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–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№ 5.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–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С. 3–14.</w:t>
      </w: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2.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Рубин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Ю.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Б.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Теория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и практика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предпринимательской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конку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ренции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: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ученик /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Ю.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Б.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Рубин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Москва, 2003.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584 с.</w:t>
      </w: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3. Чан У. Ким.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Стратегия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голубого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океана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/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У. Чан Ким,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Рене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Моборн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;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пер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. с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англ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. – 3-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е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изд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М.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: НІРРО, 2008.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272 с.</w:t>
      </w:r>
    </w:p>
    <w:p w:rsidR="00B21569" w:rsidRPr="006249FC" w:rsidRDefault="00B21569" w:rsidP="00B21569">
      <w:pPr>
        <w:widowControl w:val="0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4.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Porter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M.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Competitive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Advantage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: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Creating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and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Sustaining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Su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perior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Performance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/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M.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Porter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–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N.Y.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: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Free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Press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>, 1985.</w:t>
      </w:r>
    </w:p>
    <w:p w:rsidR="00C028E5" w:rsidRDefault="00B21569">
      <w:bookmarkStart w:id="0" w:name="_GoBack"/>
      <w:bookmarkEnd w:id="0"/>
    </w:p>
    <w:sectPr w:rsidR="00C028E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69"/>
    <w:rsid w:val="003C16D6"/>
    <w:rsid w:val="005F3607"/>
    <w:rsid w:val="00B21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8FCD3B-A675-44E4-84EB-FE09CADCD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1569"/>
    <w:pPr>
      <w:suppressAutoHyphens/>
      <w:spacing w:after="0" w:line="240" w:lineRule="auto"/>
    </w:pPr>
    <w:rPr>
      <w:rFonts w:ascii="Liberation Serif" w:eastAsia="NSimSun" w:hAnsi="Liberation Serif" w:cs="Mangal"/>
      <w:kern w:val="2"/>
      <w:sz w:val="24"/>
      <w:szCs w:val="24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3703</Words>
  <Characters>2111</Characters>
  <Application>Microsoft Office Word</Application>
  <DocSecurity>0</DocSecurity>
  <Lines>17</Lines>
  <Paragraphs>11</Paragraphs>
  <ScaleCrop>false</ScaleCrop>
  <Company/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Stanislav</dc:creator>
  <cp:keywords/>
  <dc:description/>
  <cp:lastModifiedBy>Igor Stanislav</cp:lastModifiedBy>
  <cp:revision>1</cp:revision>
  <dcterms:created xsi:type="dcterms:W3CDTF">2020-01-23T16:19:00Z</dcterms:created>
  <dcterms:modified xsi:type="dcterms:W3CDTF">2020-01-23T16:20:00Z</dcterms:modified>
</cp:coreProperties>
</file>