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666D" w:rsidRDefault="00AC666D" w:rsidP="00AC666D">
      <w:pPr>
        <w:pStyle w:val="2"/>
        <w:ind w:firstLine="0"/>
        <w:jc w:val="right"/>
        <w:rPr>
          <w:rFonts w:ascii="Times New Roman" w:hAnsi="Times New Roman" w:cs="Times New Roman"/>
          <w:b w:val="0"/>
          <w:i w:val="0"/>
          <w:lang w:val="en-US"/>
        </w:rPr>
      </w:pPr>
      <w:proofErr w:type="spellStart"/>
      <w:r>
        <w:rPr>
          <w:rFonts w:ascii="Times New Roman" w:hAnsi="Times New Roman" w:cs="Times New Roman"/>
          <w:b w:val="0"/>
          <w:i w:val="0"/>
        </w:rPr>
        <w:t>Пухальська</w:t>
      </w:r>
      <w:proofErr w:type="spellEnd"/>
      <w:r>
        <w:rPr>
          <w:rFonts w:ascii="Times New Roman" w:hAnsi="Times New Roman" w:cs="Times New Roman"/>
          <w:b w:val="0"/>
          <w:i w:val="0"/>
        </w:rPr>
        <w:t xml:space="preserve"> Яна (</w:t>
      </w:r>
      <w:proofErr w:type="spellStart"/>
      <w:r>
        <w:rPr>
          <w:rFonts w:ascii="Times New Roman" w:hAnsi="Times New Roman" w:cs="Times New Roman"/>
          <w:b w:val="0"/>
          <w:i w:val="0"/>
          <w:lang w:val="en-US"/>
        </w:rPr>
        <w:t>Pukhalska</w:t>
      </w:r>
      <w:proofErr w:type="spellEnd"/>
      <w:r>
        <w:rPr>
          <w:rFonts w:ascii="Times New Roman" w:hAnsi="Times New Roman" w:cs="Times New Roman"/>
          <w:b w:val="0"/>
          <w:i w:val="0"/>
          <w:lang w:val="en-US"/>
        </w:rPr>
        <w:t xml:space="preserve"> Yana)</w:t>
      </w:r>
    </w:p>
    <w:p w:rsidR="00AC666D" w:rsidRPr="00AC666D" w:rsidRDefault="00AC666D" w:rsidP="00AC666D">
      <w:pPr>
        <w:ind w:firstLine="0"/>
        <w:jc w:val="right"/>
      </w:pPr>
      <w:proofErr w:type="spellStart"/>
      <w:r>
        <w:t>К.е.н</w:t>
      </w:r>
      <w:proofErr w:type="spellEnd"/>
      <w:r>
        <w:t>., доцент, доцент кафедри міжнародних економічних відносин Хмельницького національного університету (</w:t>
      </w:r>
      <w:proofErr w:type="spellStart"/>
      <w:r w:rsidRPr="00AC666D">
        <w:t>Doctor</w:t>
      </w:r>
      <w:proofErr w:type="spellEnd"/>
      <w:r w:rsidRPr="00AC666D">
        <w:t xml:space="preserve"> </w:t>
      </w:r>
      <w:proofErr w:type="spellStart"/>
      <w:r w:rsidRPr="00AC666D">
        <w:t>of</w:t>
      </w:r>
      <w:proofErr w:type="spellEnd"/>
      <w:r w:rsidRPr="00AC666D">
        <w:t xml:space="preserve"> </w:t>
      </w:r>
      <w:proofErr w:type="spellStart"/>
      <w:r w:rsidRPr="00AC666D">
        <w:t>Economics</w:t>
      </w:r>
      <w:proofErr w:type="spellEnd"/>
      <w:r w:rsidRPr="00AC666D">
        <w:t xml:space="preserve">, </w:t>
      </w:r>
      <w:proofErr w:type="spellStart"/>
      <w:r w:rsidRPr="00AC666D">
        <w:t>associate</w:t>
      </w:r>
      <w:proofErr w:type="spellEnd"/>
      <w:r w:rsidRPr="00AC666D">
        <w:t xml:space="preserve"> </w:t>
      </w:r>
      <w:proofErr w:type="spellStart"/>
      <w:r w:rsidRPr="00AC666D">
        <w:t>professor</w:t>
      </w:r>
      <w:proofErr w:type="spellEnd"/>
      <w:r w:rsidRPr="00AC666D">
        <w:t xml:space="preserve">, </w:t>
      </w:r>
      <w:proofErr w:type="spellStart"/>
      <w:r w:rsidRPr="00AC666D">
        <w:t>associate</w:t>
      </w:r>
      <w:proofErr w:type="spellEnd"/>
      <w:r w:rsidRPr="00AC666D">
        <w:t xml:space="preserve"> </w:t>
      </w:r>
      <w:proofErr w:type="spellStart"/>
      <w:r w:rsidRPr="00AC666D">
        <w:t>professor</w:t>
      </w:r>
      <w:proofErr w:type="spellEnd"/>
      <w:r w:rsidRPr="00AC666D">
        <w:t xml:space="preserve"> </w:t>
      </w:r>
      <w:proofErr w:type="spellStart"/>
      <w:r w:rsidRPr="00AC666D">
        <w:t>of</w:t>
      </w:r>
      <w:proofErr w:type="spellEnd"/>
      <w:r w:rsidRPr="00AC666D">
        <w:t xml:space="preserve"> </w:t>
      </w:r>
      <w:proofErr w:type="spellStart"/>
      <w:r w:rsidRPr="00AC666D">
        <w:t>the</w:t>
      </w:r>
      <w:proofErr w:type="spellEnd"/>
      <w:r w:rsidRPr="00AC666D">
        <w:t xml:space="preserve"> </w:t>
      </w:r>
      <w:proofErr w:type="spellStart"/>
      <w:r w:rsidRPr="00AC666D">
        <w:t>Department</w:t>
      </w:r>
      <w:proofErr w:type="spellEnd"/>
      <w:r w:rsidRPr="00AC666D">
        <w:t xml:space="preserve"> </w:t>
      </w:r>
      <w:proofErr w:type="spellStart"/>
      <w:r w:rsidRPr="00AC666D">
        <w:t>of</w:t>
      </w:r>
      <w:proofErr w:type="spellEnd"/>
      <w:r w:rsidRPr="00AC666D">
        <w:t xml:space="preserve"> </w:t>
      </w:r>
      <w:proofErr w:type="spellStart"/>
      <w:r w:rsidRPr="00AC666D">
        <w:t>International</w:t>
      </w:r>
      <w:proofErr w:type="spellEnd"/>
      <w:r w:rsidRPr="00AC666D">
        <w:t xml:space="preserve"> </w:t>
      </w:r>
      <w:proofErr w:type="spellStart"/>
      <w:r w:rsidRPr="00AC666D">
        <w:t>Economic</w:t>
      </w:r>
      <w:proofErr w:type="spellEnd"/>
      <w:r w:rsidRPr="00AC666D">
        <w:t xml:space="preserve"> </w:t>
      </w:r>
      <w:proofErr w:type="spellStart"/>
      <w:r w:rsidRPr="00AC666D">
        <w:t>Relations</w:t>
      </w:r>
      <w:proofErr w:type="spellEnd"/>
      <w:r w:rsidRPr="00AC666D">
        <w:t xml:space="preserve"> </w:t>
      </w:r>
      <w:proofErr w:type="spellStart"/>
      <w:r w:rsidRPr="00AC666D">
        <w:t>of</w:t>
      </w:r>
      <w:proofErr w:type="spellEnd"/>
      <w:r w:rsidRPr="00AC666D">
        <w:t xml:space="preserve"> </w:t>
      </w:r>
      <w:proofErr w:type="spellStart"/>
      <w:r w:rsidRPr="00AC666D">
        <w:t>Khmelnytskyi</w:t>
      </w:r>
      <w:proofErr w:type="spellEnd"/>
      <w:r w:rsidRPr="00AC666D">
        <w:t xml:space="preserve"> </w:t>
      </w:r>
      <w:proofErr w:type="spellStart"/>
      <w:r w:rsidRPr="00AC666D">
        <w:t>National</w:t>
      </w:r>
      <w:proofErr w:type="spellEnd"/>
      <w:r w:rsidRPr="00AC666D">
        <w:t xml:space="preserve"> </w:t>
      </w:r>
      <w:proofErr w:type="spellStart"/>
      <w:r w:rsidRPr="00AC666D">
        <w:t>University</w:t>
      </w:r>
      <w:proofErr w:type="spellEnd"/>
      <w:r>
        <w:t>)</w:t>
      </w:r>
    </w:p>
    <w:p w:rsidR="00EA4344" w:rsidRDefault="00EA4344" w:rsidP="00AC666D">
      <w:pPr>
        <w:pStyle w:val="2"/>
        <w:jc w:val="center"/>
        <w:rPr>
          <w:rFonts w:ascii="Times New Roman" w:hAnsi="Times New Roman" w:cs="Times New Roman"/>
          <w:i w:val="0"/>
          <w:lang w:val="en-US"/>
        </w:rPr>
      </w:pPr>
    </w:p>
    <w:p w:rsidR="00AC666D" w:rsidRPr="00121E83" w:rsidRDefault="00AC666D" w:rsidP="00AC666D">
      <w:pPr>
        <w:pStyle w:val="2"/>
        <w:jc w:val="center"/>
        <w:rPr>
          <w:rFonts w:ascii="Times New Roman" w:hAnsi="Times New Roman" w:cs="Times New Roman"/>
          <w:i w:val="0"/>
        </w:rPr>
      </w:pPr>
      <w:r w:rsidRPr="00121E83">
        <w:rPr>
          <w:rFonts w:ascii="Times New Roman" w:hAnsi="Times New Roman" w:cs="Times New Roman"/>
          <w:i w:val="0"/>
        </w:rPr>
        <w:t>ОЦІНКА СТАНУ ТА ПЕРСПЕКТИВ РОЗВИТКУ ЗОВНІШНЬОЕКОНОМІЧНОЇ ДІЯЛЬНОСТІ МАШИНОБУДІВНИХ ПІДПРИЄМСТВ ХМЕЛЬНИЧЧИНИ</w:t>
      </w:r>
    </w:p>
    <w:p w:rsidR="00AC666D" w:rsidRPr="00121E83" w:rsidRDefault="00AC666D" w:rsidP="00AC666D">
      <w:pPr>
        <w:pStyle w:val="ab"/>
        <w:rPr>
          <w:b/>
        </w:rPr>
      </w:pPr>
      <w:r w:rsidRPr="00121E83">
        <w:rPr>
          <w:b/>
        </w:rPr>
        <w:t>ASSESSMENT OF THE STATE AND PERSPECTIVES OF THE DEVELOPMENT OF FOREIGN ECONOMIC ACTIVITIES OF MACHINE-BUILDING ENTERPRISES OF THE KHMELNYCH REGION</w:t>
      </w:r>
    </w:p>
    <w:p w:rsidR="00EA4344" w:rsidRDefault="00EA4344" w:rsidP="00EA4344">
      <w:pPr>
        <w:pStyle w:val="ab"/>
        <w:ind w:firstLine="709"/>
        <w:rPr>
          <w:lang w:val="en-US"/>
        </w:rPr>
      </w:pPr>
    </w:p>
    <w:p w:rsidR="00EA4344" w:rsidRPr="00EA4344" w:rsidRDefault="00EA4344" w:rsidP="00EA4344">
      <w:pPr>
        <w:pStyle w:val="ab"/>
        <w:ind w:firstLine="709"/>
        <w:rPr>
          <w:b/>
          <w:sz w:val="24"/>
          <w:szCs w:val="24"/>
          <w:lang w:val="en-US"/>
        </w:rPr>
      </w:pPr>
      <w:proofErr w:type="spellStart"/>
      <w:r w:rsidRPr="00EA4344">
        <w:rPr>
          <w:b/>
          <w:sz w:val="24"/>
          <w:szCs w:val="24"/>
        </w:rPr>
        <w:t>Abstract</w:t>
      </w:r>
      <w:proofErr w:type="spellEnd"/>
    </w:p>
    <w:p w:rsidR="00EA4344" w:rsidRPr="00EA4344" w:rsidRDefault="00EA4344" w:rsidP="00EA4344">
      <w:pPr>
        <w:pStyle w:val="ab"/>
        <w:ind w:firstLine="709"/>
        <w:jc w:val="both"/>
        <w:rPr>
          <w:sz w:val="20"/>
          <w:lang w:val="en-US"/>
        </w:rPr>
      </w:pPr>
      <w:r w:rsidRPr="00EA4344">
        <w:rPr>
          <w:sz w:val="20"/>
          <w:lang w:val="en-US"/>
        </w:rPr>
        <w:t>Based on the analysis of the theory of management of foreign economic activity and the methods of statistical processing of questionnaire materials, the main factors that create an impact on domestic enterprises carrying out international relations have been investigated.</w:t>
      </w:r>
    </w:p>
    <w:p w:rsidR="00AC666D" w:rsidRPr="00250C72" w:rsidRDefault="00EA4344" w:rsidP="00EA4344">
      <w:pPr>
        <w:pStyle w:val="ab"/>
        <w:ind w:firstLine="709"/>
        <w:jc w:val="both"/>
        <w:rPr>
          <w:sz w:val="20"/>
          <w:lang w:val="en-US"/>
        </w:rPr>
      </w:pPr>
      <w:r w:rsidRPr="00EA4344">
        <w:rPr>
          <w:sz w:val="20"/>
          <w:lang w:val="en-US"/>
        </w:rPr>
        <w:t>The problems that arose in the field of management of foreign economic activity revealed during the factor analysis are a signal for the activation of the process of developing recommendations for their elimination. The set of measures formed on this basis should not have a negative impact on the state of export operations, investment attractiveness and competitiveness of foreign economic activity as one of the directions of economic activity of the enterprise and the country as a whole.</w:t>
      </w:r>
    </w:p>
    <w:p w:rsidR="00250C72" w:rsidRDefault="00250C72" w:rsidP="00EA4344">
      <w:pPr>
        <w:pStyle w:val="ab"/>
        <w:ind w:firstLine="709"/>
        <w:jc w:val="both"/>
        <w:rPr>
          <w:sz w:val="20"/>
          <w:lang w:val="ru-RU"/>
        </w:rPr>
      </w:pPr>
      <w:r w:rsidRPr="00250C72">
        <w:rPr>
          <w:sz w:val="20"/>
          <w:lang w:val="en-US"/>
        </w:rPr>
        <w:t xml:space="preserve">The purpose of this study is to analyze the necessity and ways of assessing the degree of influence of factors of foreign economic activity on the machine-building enterprises of </w:t>
      </w:r>
      <w:proofErr w:type="spellStart"/>
      <w:r w:rsidRPr="00250C72">
        <w:rPr>
          <w:sz w:val="20"/>
          <w:lang w:val="en-US"/>
        </w:rPr>
        <w:t>Khmelnytskyi</w:t>
      </w:r>
      <w:proofErr w:type="spellEnd"/>
      <w:r w:rsidRPr="00250C72">
        <w:rPr>
          <w:sz w:val="20"/>
          <w:lang w:val="en-US"/>
        </w:rPr>
        <w:t>, to determine and describe the significance of these factors.</w:t>
      </w:r>
    </w:p>
    <w:p w:rsidR="00250C72" w:rsidRPr="00250C72" w:rsidRDefault="00250C72" w:rsidP="00EA4344">
      <w:pPr>
        <w:pStyle w:val="ab"/>
        <w:ind w:firstLine="709"/>
        <w:jc w:val="both"/>
        <w:rPr>
          <w:sz w:val="20"/>
          <w:lang w:val="en-US"/>
        </w:rPr>
      </w:pPr>
      <w:r w:rsidRPr="00250C72">
        <w:rPr>
          <w:sz w:val="20"/>
          <w:lang w:val="en-US"/>
        </w:rPr>
        <w:t>The problems that arose in the field of management of foreign economic activity revealed during the factor analysis are a signal to intensify the process of developing recommendations for their elimination. The set of measures formed on this basis should not negatively affect the state of export operations, investment attractiveness and competitiveness of foreign economic activity as one of the directions of economic activity of the enterprise and the country as a whole.</w:t>
      </w:r>
    </w:p>
    <w:p w:rsidR="00EA4344" w:rsidRDefault="00EA4344" w:rsidP="00EA4344">
      <w:pPr>
        <w:pStyle w:val="ab"/>
      </w:pPr>
    </w:p>
    <w:p w:rsidR="00250C72" w:rsidRDefault="00250C72" w:rsidP="00121E83">
      <w:pPr>
        <w:pStyle w:val="ab"/>
        <w:ind w:firstLine="709"/>
        <w:rPr>
          <w:b/>
          <w:lang w:val="ru-RU"/>
        </w:rPr>
      </w:pPr>
    </w:p>
    <w:p w:rsidR="00250C72" w:rsidRDefault="00250C72" w:rsidP="00121E83">
      <w:pPr>
        <w:pStyle w:val="ab"/>
        <w:ind w:firstLine="709"/>
        <w:rPr>
          <w:b/>
          <w:lang w:val="ru-RU"/>
        </w:rPr>
      </w:pPr>
    </w:p>
    <w:p w:rsidR="00AC666D" w:rsidRPr="00121E83" w:rsidRDefault="00AC666D" w:rsidP="00121E83">
      <w:pPr>
        <w:pStyle w:val="ab"/>
        <w:ind w:firstLine="709"/>
        <w:rPr>
          <w:b/>
        </w:rPr>
      </w:pPr>
      <w:r w:rsidRPr="00121E83">
        <w:rPr>
          <w:b/>
        </w:rPr>
        <w:lastRenderedPageBreak/>
        <w:t>Вступ</w:t>
      </w:r>
    </w:p>
    <w:p w:rsidR="00AC666D" w:rsidRDefault="00AC666D" w:rsidP="00AC666D">
      <w:pPr>
        <w:pStyle w:val="a6"/>
        <w:tabs>
          <w:tab w:val="left" w:pos="0"/>
        </w:tabs>
        <w:spacing w:after="0"/>
        <w:ind w:firstLine="709"/>
      </w:pPr>
      <w:r>
        <w:t>В процесі переходу до ринкової моделі господарювання промислові підприємства України зустрілися з цілою низкою проблем як у системі управління, так і  системі взаємодії із зовнішнім оточенням.</w:t>
      </w:r>
    </w:p>
    <w:p w:rsidR="00AC666D" w:rsidRDefault="00AC666D" w:rsidP="00AC666D">
      <w:pPr>
        <w:pStyle w:val="10"/>
        <w:spacing w:before="0" w:after="0" w:line="360" w:lineRule="auto"/>
        <w:ind w:firstLine="709"/>
        <w:jc w:val="both"/>
        <w:rPr>
          <w:sz w:val="28"/>
          <w:lang w:val="uk-UA"/>
        </w:rPr>
      </w:pPr>
      <w:r>
        <w:rPr>
          <w:sz w:val="28"/>
          <w:lang w:val="uk-UA"/>
        </w:rPr>
        <w:t>Місце і роль України в міжнародному поділі праці визначається багатьма факторами, серед яких провідним є розвиток промислового комплексу країни. Глобалізаційні процеси загострюють конкурентну боротьбу на світових ринках, підвищуються вимоги та відповідальність щодо управління промисловими підприємствами, змінюється підхід до управління зовнішньоекономічною діяльністю промислових підприємств.</w:t>
      </w:r>
    </w:p>
    <w:p w:rsidR="00AC666D" w:rsidRDefault="00AC666D" w:rsidP="00AC666D">
      <w:pPr>
        <w:pStyle w:val="a3"/>
        <w:ind w:firstLine="709"/>
        <w:jc w:val="both"/>
      </w:pPr>
      <w:r>
        <w:t>Вихід країни на світовий ринок ставить високі вимоги до уміння керівників українських підприємств, що діють у ринковій економіці за наявності великої кількості конкурентів. Тому однією з найважливіших є проблема управління зовнішньоекономічною діяльністю сучасних підприємств у нових, ринкови</w:t>
      </w:r>
      <w:r w:rsidR="004957C3">
        <w:t>х умовах, які швидко змінюються</w:t>
      </w:r>
      <w:r>
        <w:t xml:space="preserve"> </w:t>
      </w:r>
      <w:r w:rsidR="004957C3">
        <w:rPr>
          <w:color w:val="000000"/>
        </w:rPr>
        <w:t>[1].</w:t>
      </w:r>
    </w:p>
    <w:p w:rsidR="00AC666D" w:rsidRDefault="00AC666D" w:rsidP="00AC666D">
      <w:pPr>
        <w:pStyle w:val="a6"/>
        <w:tabs>
          <w:tab w:val="left" w:pos="0"/>
        </w:tabs>
        <w:spacing w:after="0"/>
        <w:ind w:firstLine="709"/>
      </w:pPr>
      <w:r>
        <w:t xml:space="preserve">Найбільш важливою причиною нинішнього кризового стану вітчизняних підприємств є те, що вони виявилися не готові до конкуренції із західними підприємствами на внутрішньому ринку, який став відкритим. Діагностика фінансово-економічного стану промислових підприємств показала, що низька конкурентоспроможність вітчизняної продукції заважає належному розвитку зовнішньоекономічної діяльності в умовах ринкової трансформації. </w:t>
      </w:r>
    </w:p>
    <w:p w:rsidR="00121E83" w:rsidRDefault="00121E83" w:rsidP="00AC666D">
      <w:pPr>
        <w:pStyle w:val="a6"/>
        <w:tabs>
          <w:tab w:val="left" w:pos="0"/>
        </w:tabs>
        <w:spacing w:after="0"/>
        <w:ind w:firstLine="709"/>
      </w:pPr>
    </w:p>
    <w:p w:rsidR="00121E83" w:rsidRPr="00121E83" w:rsidRDefault="00121E83" w:rsidP="00121E83">
      <w:pPr>
        <w:pStyle w:val="a6"/>
        <w:numPr>
          <w:ilvl w:val="0"/>
          <w:numId w:val="10"/>
        </w:numPr>
        <w:tabs>
          <w:tab w:val="left" w:pos="0"/>
        </w:tabs>
        <w:spacing w:after="0"/>
        <w:ind w:left="0" w:firstLine="709"/>
        <w:rPr>
          <w:b/>
        </w:rPr>
      </w:pPr>
      <w:r w:rsidRPr="00121E83">
        <w:rPr>
          <w:b/>
        </w:rPr>
        <w:t>Системний аналіз діяльності машинобудівних підприємств Хмельниччини</w:t>
      </w:r>
    </w:p>
    <w:p w:rsidR="00121E83" w:rsidRDefault="00121E83" w:rsidP="00121E83">
      <w:pPr>
        <w:pStyle w:val="a6"/>
        <w:tabs>
          <w:tab w:val="left" w:pos="0"/>
        </w:tabs>
        <w:spacing w:after="0"/>
        <w:ind w:left="1069" w:firstLine="0"/>
      </w:pPr>
    </w:p>
    <w:p w:rsidR="00EA4344" w:rsidRPr="00250C72" w:rsidRDefault="00AC666D" w:rsidP="00EA4344">
      <w:pPr>
        <w:pStyle w:val="a6"/>
        <w:tabs>
          <w:tab w:val="left" w:pos="0"/>
        </w:tabs>
        <w:spacing w:after="0"/>
        <w:ind w:firstLine="709"/>
      </w:pPr>
      <w:r>
        <w:t xml:space="preserve">Розвиток ринкової економіки вимагає корінних змін у всіх сферах діяльності суб'єктів господарювання, в тому числі і в зовнішньоекономічній діяльності. Для того, щоб правильно визначити конкретні шляхи цих змін, необхідно провести системний аналіз діяльності промислових підприємств, що ми і зробили на прикладі машинобудівних підприємств Хмельницької області </w:t>
      </w:r>
      <w:r>
        <w:lastRenderedPageBreak/>
        <w:t xml:space="preserve">(рис. </w:t>
      </w:r>
      <w:r w:rsidR="00D46F89">
        <w:t>1.</w:t>
      </w:r>
      <w:r w:rsidR="00AD42C5">
        <w:t>1</w:t>
      </w:r>
      <w:r>
        <w:t>). В результаті цього дослідження ми намагалися визначити основні проблеми розвитку зовнішньоекономічної діяльності машинобудівних підприємств області; зробити оцінку ефективності управління інвестиціями та конкурентними перевагами підприємств машинобудівної галузі; визначити характер і ступінь впливу чинників на ефективність управління зовнішньоекономічною діяльністю та реаліз</w:t>
      </w:r>
      <w:r w:rsidRPr="002B7D52">
        <w:t>увати вироблені</w:t>
      </w:r>
      <w:r>
        <w:t xml:space="preserve"> управлінські рішення щодо процесів виходу машинобудівних підприємств на зовнішні ринки.</w:t>
      </w:r>
    </w:p>
    <w:p w:rsidR="00AC666D" w:rsidRDefault="00EA4344" w:rsidP="00EA4344">
      <w:pPr>
        <w:pStyle w:val="a6"/>
        <w:tabs>
          <w:tab w:val="left" w:pos="0"/>
        </w:tabs>
        <w:spacing w:after="0"/>
        <w:ind w:firstLine="709"/>
      </w:pPr>
      <w:r>
        <w:t xml:space="preserve"> </w:t>
      </w:r>
      <w:r>
        <w:rPr>
          <w:noProof/>
          <w:lang w:val="ru-RU"/>
        </w:rPr>
        <w:drawing>
          <wp:inline distT="0" distB="0" distL="0" distR="0">
            <wp:extent cx="6116129" cy="5080959"/>
            <wp:effectExtent l="0" t="0" r="0" b="5715"/>
            <wp:docPr id="23" name="Рисунок 23" descr="C:\Users\User\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C:\Users\User\Desktop\1.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20130" cy="5084283"/>
                    </a:xfrm>
                    <a:prstGeom prst="rect">
                      <a:avLst/>
                    </a:prstGeom>
                    <a:noFill/>
                    <a:ln>
                      <a:noFill/>
                    </a:ln>
                  </pic:spPr>
                </pic:pic>
              </a:graphicData>
            </a:graphic>
          </wp:inline>
        </w:drawing>
      </w:r>
    </w:p>
    <w:p w:rsidR="000A40B9" w:rsidRPr="000A40B9" w:rsidRDefault="000A40B9" w:rsidP="00AC666D">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AD42C5" w:rsidP="00AC666D">
      <w:pPr>
        <w:pStyle w:val="af1"/>
        <w:ind w:firstLine="900"/>
        <w:jc w:val="both"/>
      </w:pPr>
      <w:r>
        <w:t xml:space="preserve">Рис. </w:t>
      </w:r>
      <w:r w:rsidR="00D46F89">
        <w:t>1.</w:t>
      </w:r>
      <w:r>
        <w:t>1</w:t>
      </w:r>
      <w:r w:rsidR="00AC666D">
        <w:t>. Системний аналіз особливостей розвитку ЗЕД машинобудівних підприємств Хмельницької області</w:t>
      </w:r>
    </w:p>
    <w:p w:rsidR="00AC666D" w:rsidRPr="00201551" w:rsidRDefault="00AC666D" w:rsidP="00AC666D">
      <w:pPr>
        <w:pStyle w:val="af1"/>
        <w:ind w:firstLine="900"/>
        <w:jc w:val="both"/>
        <w:rPr>
          <w:sz w:val="10"/>
          <w:szCs w:val="10"/>
        </w:rPr>
      </w:pPr>
    </w:p>
    <w:p w:rsidR="00AC666D" w:rsidRDefault="00AC666D" w:rsidP="00AC666D">
      <w:pPr>
        <w:pStyle w:val="a5"/>
      </w:pPr>
      <w:r>
        <w:rPr>
          <w:color w:val="000000"/>
        </w:rPr>
        <w:lastRenderedPageBreak/>
        <w:t xml:space="preserve">З метою отримання точної та детальної інформації щодо стану і перспектив розвитку ЗЕД машинобудівних підприємств </w:t>
      </w:r>
      <w:r w:rsidR="00AD42C5">
        <w:rPr>
          <w:color w:val="000000"/>
        </w:rPr>
        <w:t>області було розроблено анкету</w:t>
      </w:r>
      <w:r>
        <w:rPr>
          <w:color w:val="000000"/>
        </w:rPr>
        <w:t xml:space="preserve">. Опитування за анкетою проведено у </w:t>
      </w:r>
      <w:r w:rsidR="00AD42C5">
        <w:t>грудні 2021</w:t>
      </w:r>
      <w:r>
        <w:t xml:space="preserve"> року за підтримки Управління зовнішніх зносин та зовнішньоекономічної діяльності облдержадміністрації Хмельницької області. Це обстеження проводилось з метою аналізу зовнішньоекономічної діяльності машинобудівних підприємств Хмельницької області. Анкета “Оцінка проблем та перспектив зовнішньоекономічної діяльності машинобудівних підприємств Хмельницької області” включала в себе 2</w:t>
      </w:r>
      <w:r w:rsidRPr="002B7D52">
        <w:t>7</w:t>
      </w:r>
      <w:r>
        <w:t xml:space="preserve"> питань, які поділені на чотири структурних блоки:</w:t>
      </w:r>
    </w:p>
    <w:p w:rsidR="00AC666D" w:rsidRDefault="00AC666D" w:rsidP="00AC666D">
      <w:pPr>
        <w:pStyle w:val="21"/>
        <w:spacing w:after="0" w:line="360" w:lineRule="auto"/>
        <w:ind w:firstLine="709"/>
      </w:pPr>
      <w:r>
        <w:t>до першого блоку увійшли питання, що стосуються визначення характеру і ступеня впливу чинників на розвиток підприємства;</w:t>
      </w:r>
    </w:p>
    <w:p w:rsidR="00AC666D" w:rsidRDefault="00AC666D" w:rsidP="00AC666D">
      <w:pPr>
        <w:ind w:firstLine="709"/>
      </w:pPr>
      <w:r>
        <w:t>другий блок включав питання напрямів розвитку виробництва та зовнішньоекономічної діяльності машинобудівних підприємств;</w:t>
      </w:r>
    </w:p>
    <w:p w:rsidR="00AC666D" w:rsidRDefault="00AC666D" w:rsidP="00AC666D">
      <w:pPr>
        <w:ind w:firstLine="709"/>
      </w:pPr>
      <w:r>
        <w:t>третій блок включав питання шляхів покращання розвитку зовнішньоекономічної діяльності;</w:t>
      </w:r>
    </w:p>
    <w:p w:rsidR="00AC666D" w:rsidRDefault="00AC666D" w:rsidP="00AC666D">
      <w:pPr>
        <w:pStyle w:val="21"/>
        <w:spacing w:after="0" w:line="360" w:lineRule="auto"/>
        <w:ind w:firstLine="709"/>
      </w:pPr>
      <w:r>
        <w:t>четвертий блок питань визначав необхідність в розробці нових підходів, методів в управлінні зовнішньоекономічною діяльністю машинобудівних підприємств області.</w:t>
      </w:r>
    </w:p>
    <w:p w:rsidR="00AC666D" w:rsidRDefault="00AC666D" w:rsidP="00AC666D">
      <w:pPr>
        <w:pStyle w:val="21"/>
        <w:spacing w:after="0" w:line="360" w:lineRule="auto"/>
        <w:ind w:firstLine="709"/>
      </w:pPr>
      <w:r>
        <w:t xml:space="preserve">Обробка анкет здійснювалась за допомогою ПК на програмному забезпечені Microsoft </w:t>
      </w:r>
      <w:r w:rsidR="00AD42C5">
        <w:rPr>
          <w:color w:val="000000"/>
        </w:rPr>
        <w:t>Excel</w:t>
      </w:r>
      <w:r>
        <w:rPr>
          <w:color w:val="000000"/>
        </w:rPr>
        <w:t>.</w:t>
      </w:r>
    </w:p>
    <w:p w:rsidR="00AC666D" w:rsidRDefault="00AC666D" w:rsidP="00AC666D">
      <w:pPr>
        <w:pStyle w:val="a5"/>
        <w:rPr>
          <w:color w:val="000000"/>
        </w:rPr>
      </w:pPr>
      <w:r>
        <w:rPr>
          <w:color w:val="000000"/>
        </w:rPr>
        <w:t>За результатами дослідження була створена інформаційна база, яка включає дані поточної фінансової звітності та результати анкетного опитування. Це дало змогу оцінити основні проблеми щодо виходу машинобудівних підприємств області на зовнішній ринок, охарактеризувати загальний стан розвитку промислових підприємств та їх інвестиційної привабливості, оцінити перспективи зовнішньоекономічного розвитку машинобудівних підприємств, розробити обґрунтовані рекомендації методичного забезпечення управління зовнішньоекономічною діяльністю підприємств. Висновки та пропозиції були передані керівництву області та керівникам промислових підприємств.</w:t>
      </w:r>
    </w:p>
    <w:p w:rsidR="00AC666D" w:rsidRDefault="00AC666D" w:rsidP="00AC666D">
      <w:pPr>
        <w:rPr>
          <w:lang w:val="en-US"/>
        </w:rPr>
      </w:pPr>
      <w:r>
        <w:lastRenderedPageBreak/>
        <w:t>Опитуванню підлягали керівники та начальники структурних підрозділів підприємств. Базою для анкетного дослідження були 45 машинобудівних підприємств Хм</w:t>
      </w:r>
      <w:r w:rsidR="00AD42C5">
        <w:t xml:space="preserve">ельницької області (табл. </w:t>
      </w:r>
      <w:r w:rsidR="00D46F89">
        <w:t>1.</w:t>
      </w:r>
      <w:r w:rsidR="00AD42C5">
        <w:t>1)</w:t>
      </w:r>
      <w:r>
        <w:t>.</w:t>
      </w:r>
    </w:p>
    <w:p w:rsidR="00AD42C5" w:rsidRDefault="00AD42C5" w:rsidP="00AD42C5">
      <w:pPr>
        <w:spacing w:line="312" w:lineRule="auto"/>
        <w:ind w:firstLine="0"/>
        <w:jc w:val="center"/>
        <w:rPr>
          <w:b/>
        </w:rPr>
      </w:pPr>
    </w:p>
    <w:p w:rsidR="00AD42C5" w:rsidRPr="00AD42C5" w:rsidRDefault="00AD42C5" w:rsidP="00AD42C5">
      <w:pPr>
        <w:spacing w:line="312" w:lineRule="auto"/>
        <w:ind w:firstLine="0"/>
        <w:jc w:val="right"/>
        <w:rPr>
          <w:i/>
        </w:rPr>
      </w:pPr>
      <w:r w:rsidRPr="00AD42C5">
        <w:rPr>
          <w:i/>
        </w:rPr>
        <w:t>Таблиця 1</w:t>
      </w:r>
      <w:r>
        <w:rPr>
          <w:i/>
        </w:rPr>
        <w:t>.</w:t>
      </w:r>
      <w:r w:rsidR="00D46F89">
        <w:rPr>
          <w:i/>
        </w:rPr>
        <w:t>1</w:t>
      </w:r>
    </w:p>
    <w:p w:rsidR="00AD42C5" w:rsidRPr="00AD42C5" w:rsidRDefault="00AD42C5" w:rsidP="00AD42C5">
      <w:pPr>
        <w:spacing w:line="312" w:lineRule="auto"/>
        <w:ind w:firstLine="0"/>
        <w:jc w:val="center"/>
        <w:rPr>
          <w:b/>
        </w:rPr>
      </w:pPr>
      <w:r w:rsidRPr="00AD42C5">
        <w:rPr>
          <w:b/>
        </w:rPr>
        <w:t>Машинобудівні підприємства Хмельницької області, працівники яких підлягали анкетуванню за період</w:t>
      </w:r>
      <w:r>
        <w:rPr>
          <w:b/>
        </w:rPr>
        <w:t xml:space="preserve"> 2019-2021</w:t>
      </w:r>
      <w:r w:rsidRPr="00AD42C5">
        <w:rPr>
          <w:b/>
        </w:rPr>
        <w:t xml:space="preserve"> рр.</w:t>
      </w:r>
    </w:p>
    <w:tbl>
      <w:tblPr>
        <w:tblW w:w="4775" w:type="pct"/>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41"/>
        <w:gridCol w:w="4762"/>
        <w:gridCol w:w="23"/>
        <w:gridCol w:w="3945"/>
      </w:tblGrid>
      <w:tr w:rsidR="00AD42C5" w:rsidRPr="00250C72" w:rsidTr="00250C72">
        <w:trPr>
          <w:trHeight w:val="339"/>
        </w:trPr>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w:t>
            </w:r>
          </w:p>
        </w:tc>
        <w:tc>
          <w:tcPr>
            <w:tcW w:w="2542" w:type="pct"/>
            <w:gridSpan w:val="2"/>
          </w:tcPr>
          <w:p w:rsidR="00AD42C5" w:rsidRPr="00250C72" w:rsidRDefault="00AD42C5" w:rsidP="00250C72">
            <w:pPr>
              <w:spacing w:line="240" w:lineRule="auto"/>
              <w:ind w:firstLine="0"/>
              <w:jc w:val="center"/>
              <w:rPr>
                <w:sz w:val="24"/>
                <w:szCs w:val="24"/>
              </w:rPr>
            </w:pPr>
            <w:r w:rsidRPr="00250C72">
              <w:rPr>
                <w:sz w:val="24"/>
                <w:szCs w:val="24"/>
              </w:rPr>
              <w:t>Назва підприємства</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Місце знаходження</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“Номінал”</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Кам’янець-Подільський</w:t>
            </w:r>
          </w:p>
        </w:tc>
      </w:tr>
      <w:tr w:rsidR="00AD42C5" w:rsidRPr="00250C72" w:rsidTr="00250C72">
        <w:trPr>
          <w:trHeight w:val="361"/>
        </w:trPr>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2</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“Електрон“</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Кам’янець-Подільський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3</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“Кабельний завод”</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Кам’янець-Подільський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4</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“Катіон”</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5</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ЗАТ “</w:t>
            </w:r>
            <w:proofErr w:type="spellStart"/>
            <w:r w:rsidRPr="00250C72">
              <w:rPr>
                <w:sz w:val="24"/>
                <w:szCs w:val="24"/>
              </w:rPr>
              <w:t>Юенпіком</w:t>
            </w:r>
            <w:proofErr w:type="spellEnd"/>
            <w:r w:rsidRPr="00250C72">
              <w:rPr>
                <w:sz w:val="24"/>
                <w:szCs w:val="24"/>
              </w:rPr>
              <w:t>”</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Кам’янець-Подільський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6</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ДП “Новатор”</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7</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w:t>
            </w:r>
            <w:proofErr w:type="spellStart"/>
            <w:r w:rsidRPr="00250C72">
              <w:rPr>
                <w:sz w:val="24"/>
                <w:szCs w:val="24"/>
              </w:rPr>
              <w:t>Укрелектроапарат</w:t>
            </w:r>
            <w:proofErr w:type="spellEnd"/>
            <w:r w:rsidRPr="00250C72">
              <w:rPr>
                <w:sz w:val="24"/>
                <w:szCs w:val="24"/>
              </w:rPr>
              <w:t>”</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r w:rsidR="00AD42C5" w:rsidRPr="00250C72" w:rsidTr="00250C72">
        <w:trPr>
          <w:trHeight w:val="375"/>
        </w:trPr>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8</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ТОВ “</w:t>
            </w:r>
            <w:proofErr w:type="spellStart"/>
            <w:r w:rsidRPr="00250C72">
              <w:rPr>
                <w:sz w:val="24"/>
                <w:szCs w:val="24"/>
              </w:rPr>
              <w:t>УкрЕЛКОМ</w:t>
            </w:r>
            <w:proofErr w:type="spellEnd"/>
            <w:r w:rsidRPr="00250C72">
              <w:rPr>
                <w:sz w:val="24"/>
                <w:szCs w:val="24"/>
              </w:rPr>
              <w:t>”</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9</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УВП УТОС</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Кам’янець-Подільський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10</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ДП “</w:t>
            </w:r>
            <w:proofErr w:type="spellStart"/>
            <w:r w:rsidRPr="00250C72">
              <w:rPr>
                <w:sz w:val="24"/>
                <w:szCs w:val="24"/>
              </w:rPr>
              <w:t>Агрореммаш</w:t>
            </w:r>
            <w:proofErr w:type="spellEnd"/>
            <w:r w:rsidRPr="00250C72">
              <w:rPr>
                <w:sz w:val="24"/>
                <w:szCs w:val="24"/>
              </w:rPr>
              <w:t>”</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 xml:space="preserve">Білогірський р-н, </w:t>
            </w:r>
            <w:proofErr w:type="spellStart"/>
            <w:r w:rsidRPr="00250C72">
              <w:rPr>
                <w:sz w:val="24"/>
                <w:szCs w:val="24"/>
              </w:rPr>
              <w:t>с.м.т</w:t>
            </w:r>
            <w:proofErr w:type="spellEnd"/>
            <w:r w:rsidRPr="00250C72">
              <w:rPr>
                <w:sz w:val="24"/>
                <w:szCs w:val="24"/>
              </w:rPr>
              <w:t xml:space="preserve">. </w:t>
            </w:r>
            <w:proofErr w:type="spellStart"/>
            <w:r w:rsidRPr="00250C72">
              <w:rPr>
                <w:sz w:val="24"/>
                <w:szCs w:val="24"/>
              </w:rPr>
              <w:t>Білогір</w:t>
            </w:r>
            <w:proofErr w:type="spellEnd"/>
            <w:r w:rsidRPr="00250C72">
              <w:rPr>
                <w:sz w:val="24"/>
                <w:szCs w:val="24"/>
                <w:lang w:val="ru-RU"/>
              </w:rPr>
              <w:t>`</w:t>
            </w:r>
            <w:r w:rsidRPr="00250C72">
              <w:rPr>
                <w:sz w:val="24"/>
                <w:szCs w:val="24"/>
              </w:rPr>
              <w:t xml:space="preserve">я </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11</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lang w:val="ru-RU"/>
              </w:rPr>
              <w:t>В</w:t>
            </w:r>
            <w:r w:rsidRPr="00250C72">
              <w:rPr>
                <w:sz w:val="24"/>
                <w:szCs w:val="24"/>
              </w:rPr>
              <w:t>АТ “Н</w:t>
            </w:r>
            <w:r w:rsidRPr="00250C72">
              <w:rPr>
                <w:sz w:val="24"/>
                <w:szCs w:val="24"/>
                <w:lang w:val="ru-RU"/>
              </w:rPr>
              <w:t>Е</w:t>
            </w:r>
            <w:r w:rsidRPr="00250C72">
              <w:rPr>
                <w:sz w:val="24"/>
                <w:szCs w:val="24"/>
              </w:rPr>
              <w:t>ВА ”</w:t>
            </w:r>
          </w:p>
        </w:tc>
        <w:tc>
          <w:tcPr>
            <w:tcW w:w="2096" w:type="pct"/>
          </w:tcPr>
          <w:p w:rsidR="00AD42C5" w:rsidRPr="00250C72" w:rsidRDefault="00AD42C5" w:rsidP="00250C72">
            <w:pPr>
              <w:spacing w:line="240" w:lineRule="auto"/>
              <w:ind w:firstLine="0"/>
              <w:jc w:val="center"/>
              <w:rPr>
                <w:sz w:val="24"/>
                <w:szCs w:val="24"/>
                <w:lang w:val="ru-RU"/>
              </w:rPr>
            </w:pPr>
            <w:r w:rsidRPr="00250C72">
              <w:rPr>
                <w:sz w:val="24"/>
                <w:szCs w:val="24"/>
              </w:rPr>
              <w:t xml:space="preserve">м. </w:t>
            </w:r>
            <w:proofErr w:type="spellStart"/>
            <w:r w:rsidRPr="00250C72">
              <w:rPr>
                <w:sz w:val="24"/>
                <w:szCs w:val="24"/>
                <w:lang w:val="ru-RU"/>
              </w:rPr>
              <w:t>Хмельницький</w:t>
            </w:r>
            <w:proofErr w:type="spellEnd"/>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12</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w:t>
            </w:r>
            <w:proofErr w:type="spellStart"/>
            <w:r w:rsidRPr="00250C72">
              <w:rPr>
                <w:sz w:val="24"/>
                <w:szCs w:val="24"/>
              </w:rPr>
              <w:t>Термопластавтомат</w:t>
            </w:r>
            <w:proofErr w:type="spellEnd"/>
            <w:r w:rsidRPr="00250C72">
              <w:rPr>
                <w:sz w:val="24"/>
                <w:szCs w:val="24"/>
              </w:rPr>
              <w:t>”</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13</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АК “</w:t>
            </w:r>
            <w:proofErr w:type="spellStart"/>
            <w:r w:rsidRPr="00250C72">
              <w:rPr>
                <w:sz w:val="24"/>
                <w:szCs w:val="24"/>
              </w:rPr>
              <w:t>Адвіс</w:t>
            </w:r>
            <w:proofErr w:type="spellEnd"/>
            <w:r w:rsidRPr="00250C72">
              <w:rPr>
                <w:sz w:val="24"/>
                <w:szCs w:val="24"/>
              </w:rPr>
              <w:t>”</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14</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“Хмельницький механічний завод”</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r w:rsidR="00AD42C5" w:rsidRPr="00250C72" w:rsidTr="00250C72">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15</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w:t>
            </w:r>
            <w:proofErr w:type="spellStart"/>
            <w:r w:rsidRPr="00250C72">
              <w:rPr>
                <w:sz w:val="24"/>
                <w:szCs w:val="24"/>
              </w:rPr>
              <w:t>Летичівський</w:t>
            </w:r>
            <w:proofErr w:type="spellEnd"/>
            <w:r w:rsidRPr="00250C72">
              <w:rPr>
                <w:sz w:val="24"/>
                <w:szCs w:val="24"/>
              </w:rPr>
              <w:t xml:space="preserve"> агрегатний завод”</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 xml:space="preserve">м. </w:t>
            </w:r>
            <w:proofErr w:type="spellStart"/>
            <w:r w:rsidRPr="00250C72">
              <w:rPr>
                <w:sz w:val="24"/>
                <w:szCs w:val="24"/>
              </w:rPr>
              <w:t>Летичів</w:t>
            </w:r>
            <w:proofErr w:type="spellEnd"/>
          </w:p>
        </w:tc>
      </w:tr>
      <w:tr w:rsidR="00AD42C5" w:rsidRPr="00250C72" w:rsidTr="00250C72">
        <w:trPr>
          <w:trHeight w:val="375"/>
        </w:trPr>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16</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w:t>
            </w:r>
            <w:proofErr w:type="spellStart"/>
            <w:r w:rsidRPr="00250C72">
              <w:rPr>
                <w:sz w:val="24"/>
                <w:szCs w:val="24"/>
              </w:rPr>
              <w:t>Кам’янецьподільськавтоагрегат</w:t>
            </w:r>
            <w:proofErr w:type="spellEnd"/>
            <w:r w:rsidRPr="00250C72">
              <w:rPr>
                <w:sz w:val="24"/>
                <w:szCs w:val="24"/>
              </w:rPr>
              <w:t>”</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Кам’янець-Подільський</w:t>
            </w:r>
          </w:p>
        </w:tc>
      </w:tr>
      <w:tr w:rsidR="00AD42C5" w:rsidRPr="00250C72" w:rsidTr="00250C72">
        <w:trPr>
          <w:trHeight w:val="330"/>
        </w:trPr>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17</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w:t>
            </w:r>
            <w:proofErr w:type="spellStart"/>
            <w:r w:rsidRPr="00250C72">
              <w:rPr>
                <w:sz w:val="24"/>
                <w:szCs w:val="24"/>
              </w:rPr>
              <w:t>Кам’янецьподільськсільмаш</w:t>
            </w:r>
            <w:proofErr w:type="spellEnd"/>
            <w:r w:rsidRPr="00250C72">
              <w:rPr>
                <w:sz w:val="24"/>
                <w:szCs w:val="24"/>
              </w:rPr>
              <w:t>”</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Кам’янець-Подільський</w:t>
            </w:r>
          </w:p>
        </w:tc>
      </w:tr>
      <w:tr w:rsidR="00AD42C5" w:rsidRPr="00250C72" w:rsidTr="00250C72">
        <w:trPr>
          <w:trHeight w:val="465"/>
        </w:trPr>
        <w:tc>
          <w:tcPr>
            <w:tcW w:w="362" w:type="pct"/>
            <w:gridSpan w:val="2"/>
          </w:tcPr>
          <w:p w:rsidR="00AD42C5" w:rsidRPr="00250C72" w:rsidRDefault="00AD42C5" w:rsidP="00250C72">
            <w:pPr>
              <w:spacing w:line="240" w:lineRule="auto"/>
              <w:ind w:firstLine="0"/>
              <w:jc w:val="center"/>
              <w:rPr>
                <w:sz w:val="24"/>
                <w:szCs w:val="24"/>
              </w:rPr>
            </w:pPr>
            <w:r w:rsidRPr="00250C72">
              <w:rPr>
                <w:sz w:val="24"/>
                <w:szCs w:val="24"/>
              </w:rPr>
              <w:t>18</w:t>
            </w:r>
          </w:p>
        </w:tc>
        <w:tc>
          <w:tcPr>
            <w:tcW w:w="2542" w:type="pct"/>
            <w:gridSpan w:val="2"/>
          </w:tcPr>
          <w:p w:rsidR="00AD42C5" w:rsidRPr="00250C72" w:rsidRDefault="00AD42C5" w:rsidP="00250C72">
            <w:pPr>
              <w:spacing w:line="240" w:lineRule="auto"/>
              <w:ind w:firstLine="0"/>
              <w:jc w:val="left"/>
              <w:rPr>
                <w:sz w:val="24"/>
                <w:szCs w:val="24"/>
              </w:rPr>
            </w:pPr>
            <w:r w:rsidRPr="00250C72">
              <w:rPr>
                <w:sz w:val="24"/>
                <w:szCs w:val="24"/>
              </w:rPr>
              <w:t>ВАТ “Мотор Січ”</w:t>
            </w:r>
          </w:p>
        </w:tc>
        <w:tc>
          <w:tcPr>
            <w:tcW w:w="2096" w:type="pct"/>
          </w:tcPr>
          <w:p w:rsidR="00AD42C5" w:rsidRPr="00250C72" w:rsidRDefault="00AD42C5" w:rsidP="00250C72">
            <w:pPr>
              <w:spacing w:line="240" w:lineRule="auto"/>
              <w:ind w:firstLine="0"/>
              <w:jc w:val="center"/>
              <w:rPr>
                <w:sz w:val="24"/>
                <w:szCs w:val="24"/>
              </w:rPr>
            </w:pPr>
            <w:r w:rsidRPr="00250C72">
              <w:rPr>
                <w:sz w:val="24"/>
                <w:szCs w:val="24"/>
              </w:rPr>
              <w:t>м. Волочиськ</w:t>
            </w:r>
          </w:p>
        </w:tc>
      </w:tr>
      <w:tr w:rsidR="00AD42C5" w:rsidRPr="00250C72" w:rsidTr="000A40B9">
        <w:trPr>
          <w:trHeight w:val="300"/>
        </w:trPr>
        <w:tc>
          <w:tcPr>
            <w:tcW w:w="340" w:type="pct"/>
          </w:tcPr>
          <w:p w:rsidR="00AD42C5" w:rsidRPr="00250C72" w:rsidRDefault="00AD42C5" w:rsidP="00250C72">
            <w:pPr>
              <w:spacing w:line="240" w:lineRule="auto"/>
              <w:ind w:firstLine="0"/>
              <w:jc w:val="center"/>
              <w:rPr>
                <w:sz w:val="24"/>
                <w:szCs w:val="24"/>
              </w:rPr>
            </w:pPr>
            <w:r w:rsidRPr="00250C72">
              <w:rPr>
                <w:sz w:val="24"/>
                <w:szCs w:val="24"/>
              </w:rPr>
              <w:t>19</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ТОВ “</w:t>
            </w:r>
            <w:proofErr w:type="spellStart"/>
            <w:r w:rsidRPr="00250C72">
              <w:rPr>
                <w:sz w:val="24"/>
                <w:szCs w:val="24"/>
              </w:rPr>
              <w:t>Говер</w:t>
            </w:r>
            <w:proofErr w:type="spellEnd"/>
            <w:r w:rsidRPr="00250C72">
              <w:rPr>
                <w:sz w:val="24"/>
                <w:szCs w:val="24"/>
              </w:rPr>
              <w:t>”</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м. Городок</w:t>
            </w:r>
          </w:p>
        </w:tc>
      </w:tr>
      <w:tr w:rsidR="00AD42C5" w:rsidRPr="00250C72" w:rsidTr="000A40B9">
        <w:tc>
          <w:tcPr>
            <w:tcW w:w="340" w:type="pct"/>
          </w:tcPr>
          <w:p w:rsidR="00AD42C5" w:rsidRPr="00250C72" w:rsidRDefault="00AD42C5" w:rsidP="00250C72">
            <w:pPr>
              <w:spacing w:line="240" w:lineRule="auto"/>
              <w:ind w:firstLine="0"/>
              <w:jc w:val="center"/>
              <w:rPr>
                <w:sz w:val="24"/>
                <w:szCs w:val="24"/>
              </w:rPr>
            </w:pPr>
            <w:r w:rsidRPr="00250C72">
              <w:rPr>
                <w:sz w:val="24"/>
                <w:szCs w:val="24"/>
              </w:rPr>
              <w:t>20</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ДП “</w:t>
            </w:r>
            <w:proofErr w:type="spellStart"/>
            <w:r w:rsidRPr="00250C72">
              <w:rPr>
                <w:sz w:val="24"/>
                <w:szCs w:val="24"/>
              </w:rPr>
              <w:t>Красилівський</w:t>
            </w:r>
            <w:proofErr w:type="spellEnd"/>
            <w:r w:rsidRPr="00250C72">
              <w:rPr>
                <w:sz w:val="24"/>
                <w:szCs w:val="24"/>
              </w:rPr>
              <w:t xml:space="preserve"> агрегатний завод”</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 xml:space="preserve">м. </w:t>
            </w:r>
            <w:proofErr w:type="spellStart"/>
            <w:r w:rsidRPr="00250C72">
              <w:rPr>
                <w:sz w:val="24"/>
                <w:szCs w:val="24"/>
              </w:rPr>
              <w:t>Красилів</w:t>
            </w:r>
            <w:proofErr w:type="spellEnd"/>
          </w:p>
        </w:tc>
      </w:tr>
      <w:tr w:rsidR="00AD42C5" w:rsidRPr="00250C72" w:rsidTr="000A40B9">
        <w:tc>
          <w:tcPr>
            <w:tcW w:w="340" w:type="pct"/>
          </w:tcPr>
          <w:p w:rsidR="00AD42C5" w:rsidRPr="00250C72" w:rsidRDefault="00AD42C5" w:rsidP="00250C72">
            <w:pPr>
              <w:spacing w:line="240" w:lineRule="auto"/>
              <w:ind w:firstLine="0"/>
              <w:jc w:val="center"/>
              <w:rPr>
                <w:sz w:val="24"/>
                <w:szCs w:val="24"/>
              </w:rPr>
            </w:pPr>
            <w:r w:rsidRPr="00250C72">
              <w:rPr>
                <w:sz w:val="24"/>
                <w:szCs w:val="24"/>
              </w:rPr>
              <w:t>21</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ВАТ “Шепетівський завод культиваторів”</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м. Шепетівка</w:t>
            </w:r>
          </w:p>
        </w:tc>
      </w:tr>
      <w:tr w:rsidR="00AD42C5" w:rsidRPr="00250C72" w:rsidTr="000A40B9">
        <w:tc>
          <w:tcPr>
            <w:tcW w:w="340" w:type="pct"/>
          </w:tcPr>
          <w:p w:rsidR="00AD42C5" w:rsidRPr="00250C72" w:rsidRDefault="00AD42C5" w:rsidP="00250C72">
            <w:pPr>
              <w:spacing w:line="240" w:lineRule="auto"/>
              <w:ind w:firstLine="0"/>
              <w:jc w:val="center"/>
              <w:rPr>
                <w:sz w:val="24"/>
                <w:szCs w:val="24"/>
              </w:rPr>
            </w:pPr>
            <w:r w:rsidRPr="00250C72">
              <w:rPr>
                <w:sz w:val="24"/>
                <w:szCs w:val="24"/>
              </w:rPr>
              <w:t>22</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НТК “Завод точної механіки”</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м. Кам’янець-Подільський</w:t>
            </w:r>
          </w:p>
        </w:tc>
      </w:tr>
      <w:tr w:rsidR="00AD42C5" w:rsidRPr="00250C72" w:rsidTr="000A40B9">
        <w:tc>
          <w:tcPr>
            <w:tcW w:w="340" w:type="pct"/>
          </w:tcPr>
          <w:p w:rsidR="00AD42C5" w:rsidRPr="00250C72" w:rsidRDefault="00AD42C5" w:rsidP="00250C72">
            <w:pPr>
              <w:spacing w:line="240" w:lineRule="auto"/>
              <w:ind w:firstLine="0"/>
              <w:jc w:val="center"/>
              <w:rPr>
                <w:sz w:val="24"/>
                <w:szCs w:val="24"/>
              </w:rPr>
            </w:pPr>
            <w:r w:rsidRPr="00250C72">
              <w:rPr>
                <w:sz w:val="24"/>
                <w:szCs w:val="24"/>
              </w:rPr>
              <w:t>23</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ВАТ “</w:t>
            </w:r>
            <w:proofErr w:type="spellStart"/>
            <w:r w:rsidRPr="00250C72">
              <w:rPr>
                <w:sz w:val="24"/>
                <w:szCs w:val="24"/>
              </w:rPr>
              <w:t>Красилівський</w:t>
            </w:r>
            <w:proofErr w:type="spellEnd"/>
            <w:r w:rsidRPr="00250C72">
              <w:rPr>
                <w:sz w:val="24"/>
                <w:szCs w:val="24"/>
              </w:rPr>
              <w:t xml:space="preserve"> </w:t>
            </w:r>
            <w:proofErr w:type="spellStart"/>
            <w:r w:rsidRPr="00250C72">
              <w:rPr>
                <w:sz w:val="24"/>
                <w:szCs w:val="24"/>
              </w:rPr>
              <w:t>машзавод</w:t>
            </w:r>
            <w:proofErr w:type="spellEnd"/>
            <w:r w:rsidRPr="00250C72">
              <w:rPr>
                <w:sz w:val="24"/>
                <w:szCs w:val="24"/>
              </w:rPr>
              <w:t>”</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м. Красилі</w:t>
            </w:r>
          </w:p>
        </w:tc>
      </w:tr>
      <w:tr w:rsidR="00AD42C5" w:rsidRPr="00250C72" w:rsidTr="000A40B9">
        <w:tc>
          <w:tcPr>
            <w:tcW w:w="340" w:type="pct"/>
          </w:tcPr>
          <w:p w:rsidR="00AD42C5" w:rsidRPr="00250C72" w:rsidRDefault="00AD42C5" w:rsidP="00250C72">
            <w:pPr>
              <w:spacing w:line="240" w:lineRule="auto"/>
              <w:ind w:firstLine="0"/>
              <w:jc w:val="center"/>
              <w:rPr>
                <w:sz w:val="24"/>
                <w:szCs w:val="24"/>
              </w:rPr>
            </w:pPr>
            <w:r w:rsidRPr="00250C72">
              <w:rPr>
                <w:sz w:val="24"/>
                <w:szCs w:val="24"/>
              </w:rPr>
              <w:t>24</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ТОВ “Трансформатор-сервіс”</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r w:rsidR="00AD42C5" w:rsidRPr="00250C72" w:rsidTr="000A40B9">
        <w:tc>
          <w:tcPr>
            <w:tcW w:w="340" w:type="pct"/>
          </w:tcPr>
          <w:p w:rsidR="00AD42C5" w:rsidRPr="00250C72" w:rsidRDefault="00AD42C5" w:rsidP="00250C72">
            <w:pPr>
              <w:spacing w:line="240" w:lineRule="auto"/>
              <w:ind w:firstLine="0"/>
              <w:jc w:val="center"/>
              <w:rPr>
                <w:sz w:val="24"/>
                <w:szCs w:val="24"/>
              </w:rPr>
            </w:pPr>
            <w:r w:rsidRPr="00250C72">
              <w:rPr>
                <w:sz w:val="24"/>
                <w:szCs w:val="24"/>
              </w:rPr>
              <w:t>25</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ХЗ КПУ ВАТ “</w:t>
            </w:r>
            <w:proofErr w:type="spellStart"/>
            <w:r w:rsidRPr="00250C72">
              <w:rPr>
                <w:sz w:val="24"/>
                <w:szCs w:val="24"/>
              </w:rPr>
              <w:t>Пригма</w:t>
            </w:r>
            <w:proofErr w:type="spellEnd"/>
            <w:r w:rsidRPr="00250C72">
              <w:rPr>
                <w:sz w:val="24"/>
                <w:szCs w:val="24"/>
              </w:rPr>
              <w:t>-Прес”</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r w:rsidR="00AD42C5" w:rsidRPr="00250C72" w:rsidTr="000A40B9">
        <w:tc>
          <w:tcPr>
            <w:tcW w:w="340" w:type="pct"/>
          </w:tcPr>
          <w:p w:rsidR="00AD42C5" w:rsidRPr="00250C72" w:rsidRDefault="00AD42C5" w:rsidP="00250C72">
            <w:pPr>
              <w:spacing w:line="240" w:lineRule="auto"/>
              <w:ind w:firstLine="0"/>
              <w:jc w:val="center"/>
              <w:rPr>
                <w:sz w:val="24"/>
                <w:szCs w:val="24"/>
              </w:rPr>
            </w:pPr>
            <w:r w:rsidRPr="00250C72">
              <w:rPr>
                <w:sz w:val="24"/>
                <w:szCs w:val="24"/>
              </w:rPr>
              <w:t>26</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ВАТ “</w:t>
            </w:r>
            <w:proofErr w:type="spellStart"/>
            <w:r w:rsidRPr="00250C72">
              <w:rPr>
                <w:sz w:val="24"/>
                <w:szCs w:val="24"/>
              </w:rPr>
              <w:t>Славутське</w:t>
            </w:r>
            <w:proofErr w:type="spellEnd"/>
            <w:r w:rsidRPr="00250C72">
              <w:rPr>
                <w:sz w:val="24"/>
                <w:szCs w:val="24"/>
              </w:rPr>
              <w:t xml:space="preserve"> РТП”</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м. Славута</w:t>
            </w:r>
          </w:p>
        </w:tc>
      </w:tr>
      <w:tr w:rsidR="00AD42C5" w:rsidRPr="00250C72" w:rsidTr="000A40B9">
        <w:trPr>
          <w:trHeight w:val="227"/>
        </w:trPr>
        <w:tc>
          <w:tcPr>
            <w:tcW w:w="340" w:type="pct"/>
          </w:tcPr>
          <w:p w:rsidR="00AD42C5" w:rsidRPr="00250C72" w:rsidRDefault="00AD42C5" w:rsidP="00250C72">
            <w:pPr>
              <w:spacing w:line="240" w:lineRule="auto"/>
              <w:ind w:firstLine="0"/>
              <w:jc w:val="center"/>
              <w:rPr>
                <w:sz w:val="24"/>
                <w:szCs w:val="24"/>
              </w:rPr>
            </w:pPr>
            <w:r w:rsidRPr="00250C72">
              <w:rPr>
                <w:sz w:val="24"/>
                <w:szCs w:val="24"/>
              </w:rPr>
              <w:t>27</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ЗАТ “</w:t>
            </w:r>
            <w:proofErr w:type="spellStart"/>
            <w:r w:rsidRPr="00250C72">
              <w:rPr>
                <w:sz w:val="24"/>
                <w:szCs w:val="24"/>
              </w:rPr>
              <w:t>Дунаєвецький</w:t>
            </w:r>
            <w:proofErr w:type="spellEnd"/>
            <w:r w:rsidRPr="00250C72">
              <w:rPr>
                <w:sz w:val="24"/>
                <w:szCs w:val="24"/>
              </w:rPr>
              <w:t xml:space="preserve"> РМЗ”</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 xml:space="preserve">м. </w:t>
            </w:r>
            <w:proofErr w:type="spellStart"/>
            <w:r w:rsidRPr="00250C72">
              <w:rPr>
                <w:sz w:val="24"/>
                <w:szCs w:val="24"/>
              </w:rPr>
              <w:t>Дунаївці</w:t>
            </w:r>
            <w:proofErr w:type="spellEnd"/>
          </w:p>
        </w:tc>
      </w:tr>
      <w:tr w:rsidR="00AD42C5" w:rsidRPr="00250C72" w:rsidTr="000A40B9">
        <w:tc>
          <w:tcPr>
            <w:tcW w:w="340" w:type="pct"/>
          </w:tcPr>
          <w:p w:rsidR="00AD42C5" w:rsidRPr="00250C72" w:rsidRDefault="00AD42C5" w:rsidP="00250C72">
            <w:pPr>
              <w:spacing w:line="240" w:lineRule="auto"/>
              <w:ind w:firstLine="0"/>
              <w:jc w:val="center"/>
              <w:rPr>
                <w:sz w:val="24"/>
                <w:szCs w:val="24"/>
              </w:rPr>
            </w:pPr>
            <w:r w:rsidRPr="00250C72">
              <w:rPr>
                <w:sz w:val="24"/>
                <w:szCs w:val="24"/>
              </w:rPr>
              <w:t>28</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ВАТ “</w:t>
            </w:r>
            <w:proofErr w:type="spellStart"/>
            <w:r w:rsidRPr="00250C72">
              <w:rPr>
                <w:sz w:val="24"/>
                <w:szCs w:val="24"/>
              </w:rPr>
              <w:t>Антонінське</w:t>
            </w:r>
            <w:proofErr w:type="spellEnd"/>
            <w:r w:rsidRPr="00250C72">
              <w:rPr>
                <w:sz w:val="24"/>
                <w:szCs w:val="24"/>
              </w:rPr>
              <w:t xml:space="preserve"> РТП”</w:t>
            </w:r>
          </w:p>
        </w:tc>
        <w:tc>
          <w:tcPr>
            <w:tcW w:w="2108" w:type="pct"/>
            <w:gridSpan w:val="2"/>
          </w:tcPr>
          <w:p w:rsidR="00AD42C5" w:rsidRPr="00250C72" w:rsidRDefault="00AD42C5" w:rsidP="00250C72">
            <w:pPr>
              <w:spacing w:line="240" w:lineRule="auto"/>
              <w:ind w:firstLine="0"/>
              <w:jc w:val="center"/>
              <w:rPr>
                <w:sz w:val="24"/>
                <w:szCs w:val="24"/>
              </w:rPr>
            </w:pPr>
            <w:proofErr w:type="spellStart"/>
            <w:r w:rsidRPr="00250C72">
              <w:rPr>
                <w:sz w:val="24"/>
                <w:szCs w:val="24"/>
              </w:rPr>
              <w:t>Красилівський</w:t>
            </w:r>
            <w:proofErr w:type="spellEnd"/>
            <w:r w:rsidRPr="00250C72">
              <w:rPr>
                <w:sz w:val="24"/>
                <w:szCs w:val="24"/>
              </w:rPr>
              <w:t xml:space="preserve"> р-н, </w:t>
            </w:r>
            <w:proofErr w:type="spellStart"/>
            <w:r w:rsidRPr="00250C72">
              <w:rPr>
                <w:sz w:val="24"/>
                <w:szCs w:val="24"/>
              </w:rPr>
              <w:t>с.м.т</w:t>
            </w:r>
            <w:proofErr w:type="spellEnd"/>
            <w:r w:rsidRPr="00250C72">
              <w:rPr>
                <w:sz w:val="24"/>
                <w:szCs w:val="24"/>
              </w:rPr>
              <w:t>. Антоніни</w:t>
            </w:r>
          </w:p>
        </w:tc>
      </w:tr>
      <w:tr w:rsidR="00AD42C5" w:rsidRPr="00250C72" w:rsidTr="000A40B9">
        <w:trPr>
          <w:trHeight w:val="293"/>
        </w:trPr>
        <w:tc>
          <w:tcPr>
            <w:tcW w:w="340" w:type="pct"/>
          </w:tcPr>
          <w:p w:rsidR="00AD42C5" w:rsidRPr="00250C72" w:rsidRDefault="00AD42C5" w:rsidP="00250C72">
            <w:pPr>
              <w:spacing w:line="240" w:lineRule="auto"/>
              <w:ind w:firstLine="0"/>
              <w:jc w:val="center"/>
              <w:rPr>
                <w:sz w:val="24"/>
                <w:szCs w:val="24"/>
              </w:rPr>
            </w:pPr>
            <w:r w:rsidRPr="00250C72">
              <w:rPr>
                <w:sz w:val="24"/>
                <w:szCs w:val="24"/>
              </w:rPr>
              <w:t>29</w:t>
            </w:r>
          </w:p>
        </w:tc>
        <w:tc>
          <w:tcPr>
            <w:tcW w:w="2552" w:type="pct"/>
            <w:gridSpan w:val="2"/>
          </w:tcPr>
          <w:p w:rsidR="00AD42C5" w:rsidRPr="00250C72" w:rsidRDefault="00AD42C5" w:rsidP="00250C72">
            <w:pPr>
              <w:spacing w:line="240" w:lineRule="auto"/>
              <w:ind w:firstLine="0"/>
              <w:jc w:val="left"/>
              <w:rPr>
                <w:sz w:val="24"/>
                <w:szCs w:val="24"/>
              </w:rPr>
            </w:pPr>
            <w:r w:rsidRPr="00250C72">
              <w:rPr>
                <w:sz w:val="24"/>
                <w:szCs w:val="24"/>
              </w:rPr>
              <w:t>ТОВ “</w:t>
            </w:r>
            <w:proofErr w:type="spellStart"/>
            <w:r w:rsidRPr="00250C72">
              <w:rPr>
                <w:sz w:val="24"/>
                <w:szCs w:val="24"/>
              </w:rPr>
              <w:t>Нейл-лтд</w:t>
            </w:r>
            <w:proofErr w:type="spellEnd"/>
            <w:r w:rsidRPr="00250C72">
              <w:rPr>
                <w:sz w:val="24"/>
                <w:szCs w:val="24"/>
              </w:rPr>
              <w:t>”</w:t>
            </w:r>
          </w:p>
        </w:tc>
        <w:tc>
          <w:tcPr>
            <w:tcW w:w="2108" w:type="pct"/>
            <w:gridSpan w:val="2"/>
          </w:tcPr>
          <w:p w:rsidR="00AD42C5" w:rsidRPr="00250C72" w:rsidRDefault="00AD42C5" w:rsidP="00250C72">
            <w:pPr>
              <w:spacing w:line="240" w:lineRule="auto"/>
              <w:ind w:firstLine="0"/>
              <w:jc w:val="center"/>
              <w:rPr>
                <w:sz w:val="24"/>
                <w:szCs w:val="24"/>
              </w:rPr>
            </w:pPr>
            <w:r w:rsidRPr="00250C72">
              <w:rPr>
                <w:sz w:val="24"/>
                <w:szCs w:val="24"/>
              </w:rPr>
              <w:t>м. Хмельницький</w:t>
            </w:r>
          </w:p>
        </w:tc>
      </w:tr>
    </w:tbl>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250C72" w:rsidRPr="00EA4344" w:rsidRDefault="00250C72" w:rsidP="00250C72">
      <w:pPr>
        <w:rPr>
          <w:lang w:val="ru-RU"/>
        </w:rPr>
      </w:pPr>
      <w:proofErr w:type="spellStart"/>
      <w:r w:rsidRPr="00EA4344">
        <w:rPr>
          <w:lang w:val="ru-RU"/>
        </w:rPr>
        <w:t>Основними</w:t>
      </w:r>
      <w:proofErr w:type="spellEnd"/>
      <w:r w:rsidRPr="00EA4344">
        <w:rPr>
          <w:lang w:val="ru-RU"/>
        </w:rPr>
        <w:t xml:space="preserve"> </w:t>
      </w:r>
      <w:proofErr w:type="spellStart"/>
      <w:r w:rsidRPr="00EA4344">
        <w:rPr>
          <w:lang w:val="ru-RU"/>
        </w:rPr>
        <w:t>напрямами</w:t>
      </w:r>
      <w:proofErr w:type="spellEnd"/>
      <w:r w:rsidRPr="00EA4344">
        <w:rPr>
          <w:lang w:val="ru-RU"/>
        </w:rPr>
        <w:t xml:space="preserve"> </w:t>
      </w:r>
      <w:proofErr w:type="spellStart"/>
      <w:r w:rsidRPr="00EA4344">
        <w:rPr>
          <w:lang w:val="ru-RU"/>
        </w:rPr>
        <w:t>проведеного</w:t>
      </w:r>
      <w:proofErr w:type="spellEnd"/>
      <w:r w:rsidRPr="00EA4344">
        <w:rPr>
          <w:lang w:val="ru-RU"/>
        </w:rPr>
        <w:t xml:space="preserve"> системного </w:t>
      </w:r>
      <w:proofErr w:type="spellStart"/>
      <w:r w:rsidRPr="00EA4344">
        <w:rPr>
          <w:lang w:val="ru-RU"/>
        </w:rPr>
        <w:t>аналізу</w:t>
      </w:r>
      <w:proofErr w:type="spellEnd"/>
      <w:r w:rsidRPr="00EA4344">
        <w:rPr>
          <w:lang w:val="ru-RU"/>
        </w:rPr>
        <w:t xml:space="preserve"> </w:t>
      </w:r>
      <w:proofErr w:type="spellStart"/>
      <w:r w:rsidRPr="00EA4344">
        <w:rPr>
          <w:lang w:val="ru-RU"/>
        </w:rPr>
        <w:t>були</w:t>
      </w:r>
      <w:proofErr w:type="spellEnd"/>
      <w:r w:rsidRPr="00EA4344">
        <w:rPr>
          <w:lang w:val="ru-RU"/>
        </w:rPr>
        <w:t>:</w:t>
      </w:r>
    </w:p>
    <w:p w:rsidR="00250C72" w:rsidRPr="00EA4344" w:rsidRDefault="00250C72" w:rsidP="00250C72">
      <w:pPr>
        <w:rPr>
          <w:lang w:val="ru-RU"/>
        </w:rPr>
      </w:pPr>
      <w:r w:rsidRPr="00EA4344">
        <w:rPr>
          <w:lang w:val="ru-RU"/>
        </w:rPr>
        <w:t>-</w:t>
      </w:r>
      <w:r w:rsidRPr="00EA4344">
        <w:rPr>
          <w:lang w:val="ru-RU"/>
        </w:rPr>
        <w:tab/>
      </w:r>
      <w:proofErr w:type="spellStart"/>
      <w:r w:rsidRPr="00EA4344">
        <w:rPr>
          <w:lang w:val="ru-RU"/>
        </w:rPr>
        <w:t>аналіз</w:t>
      </w:r>
      <w:proofErr w:type="spellEnd"/>
      <w:r w:rsidRPr="00EA4344">
        <w:rPr>
          <w:lang w:val="ru-RU"/>
        </w:rPr>
        <w:t xml:space="preserve"> </w:t>
      </w:r>
      <w:proofErr w:type="spellStart"/>
      <w:r w:rsidRPr="00EA4344">
        <w:rPr>
          <w:lang w:val="ru-RU"/>
        </w:rPr>
        <w:t>системи</w:t>
      </w:r>
      <w:proofErr w:type="spellEnd"/>
      <w:r w:rsidRPr="00EA4344">
        <w:rPr>
          <w:lang w:val="ru-RU"/>
        </w:rPr>
        <w:t xml:space="preserve"> </w:t>
      </w:r>
      <w:proofErr w:type="spellStart"/>
      <w:r w:rsidRPr="00EA4344">
        <w:rPr>
          <w:lang w:val="ru-RU"/>
        </w:rPr>
        <w:t>управління</w:t>
      </w:r>
      <w:proofErr w:type="spellEnd"/>
      <w:r w:rsidRPr="00EA4344">
        <w:rPr>
          <w:lang w:val="ru-RU"/>
        </w:rPr>
        <w:t xml:space="preserve"> </w:t>
      </w:r>
      <w:proofErr w:type="spellStart"/>
      <w:r w:rsidRPr="00EA4344">
        <w:rPr>
          <w:lang w:val="ru-RU"/>
        </w:rPr>
        <w:t>зовнішньоекономічною</w:t>
      </w:r>
      <w:proofErr w:type="spellEnd"/>
      <w:r w:rsidRPr="00EA4344">
        <w:rPr>
          <w:lang w:val="ru-RU"/>
        </w:rPr>
        <w:t xml:space="preserve"> </w:t>
      </w:r>
      <w:proofErr w:type="spellStart"/>
      <w:r w:rsidRPr="00EA4344">
        <w:rPr>
          <w:lang w:val="ru-RU"/>
        </w:rPr>
        <w:t>діяльністю</w:t>
      </w:r>
      <w:proofErr w:type="spellEnd"/>
      <w:r w:rsidRPr="00EA4344">
        <w:rPr>
          <w:lang w:val="ru-RU"/>
        </w:rPr>
        <w:t xml:space="preserve"> на </w:t>
      </w:r>
      <w:proofErr w:type="spellStart"/>
      <w:r w:rsidRPr="00EA4344">
        <w:rPr>
          <w:lang w:val="ru-RU"/>
        </w:rPr>
        <w:t>машинобудівних</w:t>
      </w:r>
      <w:proofErr w:type="spellEnd"/>
      <w:r w:rsidRPr="00EA4344">
        <w:rPr>
          <w:lang w:val="ru-RU"/>
        </w:rPr>
        <w:t xml:space="preserve"> </w:t>
      </w:r>
      <w:proofErr w:type="spellStart"/>
      <w:proofErr w:type="gramStart"/>
      <w:r w:rsidRPr="00EA4344">
        <w:rPr>
          <w:lang w:val="ru-RU"/>
        </w:rPr>
        <w:t>п</w:t>
      </w:r>
      <w:proofErr w:type="gramEnd"/>
      <w:r w:rsidRPr="00EA4344">
        <w:rPr>
          <w:lang w:val="ru-RU"/>
        </w:rPr>
        <w:t>ідприємствах</w:t>
      </w:r>
      <w:proofErr w:type="spellEnd"/>
      <w:r w:rsidRPr="00EA4344">
        <w:rPr>
          <w:lang w:val="ru-RU"/>
        </w:rPr>
        <w:t xml:space="preserve"> </w:t>
      </w:r>
      <w:proofErr w:type="spellStart"/>
      <w:r w:rsidRPr="00EA4344">
        <w:rPr>
          <w:lang w:val="ru-RU"/>
        </w:rPr>
        <w:t>області</w:t>
      </w:r>
      <w:proofErr w:type="spellEnd"/>
      <w:r w:rsidRPr="00EA4344">
        <w:rPr>
          <w:lang w:val="ru-RU"/>
        </w:rPr>
        <w:t>;</w:t>
      </w:r>
    </w:p>
    <w:p w:rsidR="00250C72" w:rsidRPr="00250C72" w:rsidRDefault="00250C72" w:rsidP="00250C72">
      <w:pPr>
        <w:rPr>
          <w:lang w:val="ru-RU"/>
        </w:rPr>
      </w:pPr>
      <w:r w:rsidRPr="00250C72">
        <w:rPr>
          <w:lang w:val="ru-RU"/>
        </w:rPr>
        <w:lastRenderedPageBreak/>
        <w:t>-</w:t>
      </w:r>
      <w:r w:rsidRPr="00250C72">
        <w:rPr>
          <w:lang w:val="ru-RU"/>
        </w:rPr>
        <w:tab/>
      </w:r>
      <w:proofErr w:type="spellStart"/>
      <w:r w:rsidRPr="00250C72">
        <w:rPr>
          <w:lang w:val="ru-RU"/>
        </w:rPr>
        <w:t>діагностика</w:t>
      </w:r>
      <w:proofErr w:type="spellEnd"/>
      <w:r w:rsidRPr="00250C72">
        <w:rPr>
          <w:lang w:val="ru-RU"/>
        </w:rPr>
        <w:t xml:space="preserve"> </w:t>
      </w:r>
      <w:proofErr w:type="spellStart"/>
      <w:r w:rsidRPr="00250C72">
        <w:rPr>
          <w:lang w:val="ru-RU"/>
        </w:rPr>
        <w:t>інвестиційної</w:t>
      </w:r>
      <w:proofErr w:type="spellEnd"/>
      <w:r w:rsidRPr="00250C72">
        <w:rPr>
          <w:lang w:val="ru-RU"/>
        </w:rPr>
        <w:t xml:space="preserve"> </w:t>
      </w:r>
      <w:proofErr w:type="spellStart"/>
      <w:r w:rsidRPr="00250C72">
        <w:rPr>
          <w:lang w:val="ru-RU"/>
        </w:rPr>
        <w:t>привабливості</w:t>
      </w:r>
      <w:proofErr w:type="spellEnd"/>
      <w:r w:rsidRPr="00250C72">
        <w:rPr>
          <w:lang w:val="ru-RU"/>
        </w:rPr>
        <w:t xml:space="preserve"> </w:t>
      </w:r>
      <w:proofErr w:type="spellStart"/>
      <w:proofErr w:type="gramStart"/>
      <w:r w:rsidRPr="00250C72">
        <w:rPr>
          <w:lang w:val="ru-RU"/>
        </w:rPr>
        <w:t>п</w:t>
      </w:r>
      <w:proofErr w:type="gramEnd"/>
      <w:r w:rsidRPr="00250C72">
        <w:rPr>
          <w:lang w:val="ru-RU"/>
        </w:rPr>
        <w:t>ідприємств</w:t>
      </w:r>
      <w:proofErr w:type="spellEnd"/>
      <w:r w:rsidRPr="00250C72">
        <w:rPr>
          <w:lang w:val="ru-RU"/>
        </w:rPr>
        <w:t>;</w:t>
      </w:r>
    </w:p>
    <w:p w:rsidR="00250C72" w:rsidRPr="00EA4344" w:rsidRDefault="00250C72" w:rsidP="00250C72">
      <w:pPr>
        <w:rPr>
          <w:lang w:val="ru-RU"/>
        </w:rPr>
      </w:pPr>
      <w:r w:rsidRPr="00EA4344">
        <w:rPr>
          <w:lang w:val="ru-RU"/>
        </w:rPr>
        <w:t>-</w:t>
      </w:r>
      <w:r w:rsidRPr="00EA4344">
        <w:rPr>
          <w:lang w:val="ru-RU"/>
        </w:rPr>
        <w:tab/>
      </w:r>
      <w:proofErr w:type="spellStart"/>
      <w:r w:rsidRPr="00EA4344">
        <w:rPr>
          <w:lang w:val="ru-RU"/>
        </w:rPr>
        <w:t>аналіз</w:t>
      </w:r>
      <w:proofErr w:type="spellEnd"/>
      <w:r w:rsidRPr="00EA4344">
        <w:rPr>
          <w:lang w:val="ru-RU"/>
        </w:rPr>
        <w:t xml:space="preserve"> </w:t>
      </w:r>
      <w:proofErr w:type="spellStart"/>
      <w:r w:rsidRPr="00EA4344">
        <w:rPr>
          <w:lang w:val="ru-RU"/>
        </w:rPr>
        <w:t>конкурентних</w:t>
      </w:r>
      <w:proofErr w:type="spellEnd"/>
      <w:r w:rsidRPr="00EA4344">
        <w:rPr>
          <w:lang w:val="ru-RU"/>
        </w:rPr>
        <w:t xml:space="preserve"> </w:t>
      </w:r>
      <w:proofErr w:type="spellStart"/>
      <w:r w:rsidRPr="00EA4344">
        <w:rPr>
          <w:lang w:val="ru-RU"/>
        </w:rPr>
        <w:t>позицій</w:t>
      </w:r>
      <w:proofErr w:type="spellEnd"/>
      <w:r w:rsidRPr="00EA4344">
        <w:rPr>
          <w:lang w:val="ru-RU"/>
        </w:rPr>
        <w:t xml:space="preserve"> </w:t>
      </w:r>
      <w:proofErr w:type="spellStart"/>
      <w:proofErr w:type="gramStart"/>
      <w:r w:rsidRPr="00EA4344">
        <w:rPr>
          <w:lang w:val="ru-RU"/>
        </w:rPr>
        <w:t>п</w:t>
      </w:r>
      <w:proofErr w:type="gramEnd"/>
      <w:r w:rsidRPr="00EA4344">
        <w:rPr>
          <w:lang w:val="ru-RU"/>
        </w:rPr>
        <w:t>ідприємств</w:t>
      </w:r>
      <w:proofErr w:type="spellEnd"/>
      <w:r w:rsidRPr="00EA4344">
        <w:rPr>
          <w:lang w:val="ru-RU"/>
        </w:rPr>
        <w:t xml:space="preserve"> </w:t>
      </w:r>
      <w:proofErr w:type="spellStart"/>
      <w:r w:rsidRPr="00EA4344">
        <w:rPr>
          <w:lang w:val="ru-RU"/>
        </w:rPr>
        <w:t>машинобудування</w:t>
      </w:r>
      <w:proofErr w:type="spellEnd"/>
      <w:r w:rsidRPr="00EA4344">
        <w:rPr>
          <w:lang w:val="ru-RU"/>
        </w:rPr>
        <w:t>.</w:t>
      </w:r>
    </w:p>
    <w:p w:rsidR="00AC666D" w:rsidRDefault="00AC666D" w:rsidP="00AC666D">
      <w:pPr>
        <w:pStyle w:val="a5"/>
      </w:pPr>
      <w:r>
        <w:t>Підприємства, що підлягали нашому дослідженню, пройшли реорганізацію і на сьогодні більшість з них є акціонерними товариствами закритого</w:t>
      </w:r>
      <w:r w:rsidR="00AD42C5">
        <w:t xml:space="preserve"> або відкритого типу (табл. </w:t>
      </w:r>
      <w:r w:rsidR="00D46F89">
        <w:t>1.</w:t>
      </w:r>
      <w:r w:rsidR="00AD42C5">
        <w:t>2</w:t>
      </w:r>
      <w:r>
        <w:t xml:space="preserve">). </w:t>
      </w:r>
    </w:p>
    <w:p w:rsidR="00AC666D" w:rsidRPr="00055038" w:rsidRDefault="00AD42C5" w:rsidP="00AC666D">
      <w:pPr>
        <w:pStyle w:val="1"/>
        <w:rPr>
          <w:i/>
        </w:rPr>
      </w:pPr>
      <w:r>
        <w:rPr>
          <w:i/>
        </w:rPr>
        <w:t xml:space="preserve">Таблиця </w:t>
      </w:r>
      <w:r w:rsidR="00D46F89">
        <w:rPr>
          <w:i/>
        </w:rPr>
        <w:t>1.</w:t>
      </w:r>
      <w:r>
        <w:rPr>
          <w:i/>
        </w:rPr>
        <w:t>2</w:t>
      </w:r>
    </w:p>
    <w:p w:rsidR="00AC666D" w:rsidRPr="005A4441" w:rsidRDefault="00AC666D" w:rsidP="00AC666D">
      <w:pPr>
        <w:pStyle w:val="ab"/>
        <w:rPr>
          <w:b/>
        </w:rPr>
      </w:pPr>
      <w:r w:rsidRPr="005A4441">
        <w:rPr>
          <w:b/>
        </w:rPr>
        <w:t>Розподіл підприємств за організаційно-правовою формою</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6"/>
        <w:gridCol w:w="5380"/>
        <w:gridCol w:w="1843"/>
        <w:gridCol w:w="1417"/>
      </w:tblGrid>
      <w:tr w:rsidR="00AC666D" w:rsidRPr="000A40B9" w:rsidTr="00250C72">
        <w:trPr>
          <w:trHeight w:val="447"/>
          <w:jc w:val="center"/>
        </w:trPr>
        <w:tc>
          <w:tcPr>
            <w:tcW w:w="716" w:type="dxa"/>
          </w:tcPr>
          <w:p w:rsidR="00AC666D" w:rsidRPr="000A40B9" w:rsidRDefault="00AC666D" w:rsidP="00250C72">
            <w:pPr>
              <w:pStyle w:val="ad"/>
              <w:spacing w:line="264" w:lineRule="auto"/>
              <w:rPr>
                <w:sz w:val="24"/>
                <w:szCs w:val="24"/>
              </w:rPr>
            </w:pPr>
            <w:r w:rsidRPr="000A40B9">
              <w:rPr>
                <w:sz w:val="24"/>
                <w:szCs w:val="24"/>
              </w:rPr>
              <w:t>№</w:t>
            </w:r>
          </w:p>
          <w:p w:rsidR="00AC666D" w:rsidRPr="000A40B9" w:rsidRDefault="00AC666D" w:rsidP="00250C72">
            <w:pPr>
              <w:pStyle w:val="ad"/>
              <w:spacing w:line="264" w:lineRule="auto"/>
              <w:rPr>
                <w:sz w:val="24"/>
                <w:szCs w:val="24"/>
              </w:rPr>
            </w:pPr>
            <w:r w:rsidRPr="000A40B9">
              <w:rPr>
                <w:sz w:val="24"/>
                <w:szCs w:val="24"/>
              </w:rPr>
              <w:t>пор.</w:t>
            </w:r>
          </w:p>
        </w:tc>
        <w:tc>
          <w:tcPr>
            <w:tcW w:w="5380" w:type="dxa"/>
          </w:tcPr>
          <w:p w:rsidR="00AC666D" w:rsidRPr="000A40B9" w:rsidRDefault="00AC666D" w:rsidP="00250C72">
            <w:pPr>
              <w:pStyle w:val="ad"/>
              <w:spacing w:line="264" w:lineRule="auto"/>
              <w:rPr>
                <w:sz w:val="24"/>
                <w:szCs w:val="24"/>
              </w:rPr>
            </w:pPr>
            <w:r w:rsidRPr="000A40B9">
              <w:rPr>
                <w:sz w:val="24"/>
                <w:szCs w:val="24"/>
              </w:rPr>
              <w:t>Організаційно-правова форма</w:t>
            </w:r>
          </w:p>
        </w:tc>
        <w:tc>
          <w:tcPr>
            <w:tcW w:w="1843" w:type="dxa"/>
          </w:tcPr>
          <w:p w:rsidR="00AC666D" w:rsidRPr="000A40B9" w:rsidRDefault="00AC666D" w:rsidP="00250C72">
            <w:pPr>
              <w:pStyle w:val="ad"/>
              <w:spacing w:line="264" w:lineRule="auto"/>
              <w:rPr>
                <w:sz w:val="24"/>
                <w:szCs w:val="24"/>
              </w:rPr>
            </w:pPr>
            <w:r w:rsidRPr="000A40B9">
              <w:rPr>
                <w:sz w:val="24"/>
                <w:szCs w:val="24"/>
              </w:rPr>
              <w:t>Кількість</w:t>
            </w:r>
          </w:p>
          <w:p w:rsidR="00AC666D" w:rsidRPr="000A40B9" w:rsidRDefault="00AC666D" w:rsidP="00250C72">
            <w:pPr>
              <w:pStyle w:val="ad"/>
              <w:spacing w:line="264" w:lineRule="auto"/>
              <w:rPr>
                <w:sz w:val="24"/>
                <w:szCs w:val="24"/>
              </w:rPr>
            </w:pPr>
            <w:r w:rsidRPr="000A40B9">
              <w:rPr>
                <w:sz w:val="24"/>
                <w:szCs w:val="24"/>
              </w:rPr>
              <w:t>підприємств</w:t>
            </w:r>
          </w:p>
        </w:tc>
        <w:tc>
          <w:tcPr>
            <w:tcW w:w="1417" w:type="dxa"/>
          </w:tcPr>
          <w:p w:rsidR="00AC666D" w:rsidRPr="000A40B9" w:rsidRDefault="00AC666D" w:rsidP="00250C72">
            <w:pPr>
              <w:pStyle w:val="ad"/>
              <w:spacing w:line="264" w:lineRule="auto"/>
              <w:rPr>
                <w:sz w:val="24"/>
                <w:szCs w:val="24"/>
              </w:rPr>
            </w:pPr>
            <w:r w:rsidRPr="000A40B9">
              <w:rPr>
                <w:sz w:val="24"/>
                <w:szCs w:val="24"/>
              </w:rPr>
              <w:t>%</w:t>
            </w:r>
          </w:p>
        </w:tc>
      </w:tr>
      <w:tr w:rsidR="00AC666D" w:rsidRPr="000A40B9" w:rsidTr="00250C72">
        <w:trPr>
          <w:trHeight w:val="313"/>
          <w:jc w:val="center"/>
        </w:trPr>
        <w:tc>
          <w:tcPr>
            <w:tcW w:w="716" w:type="dxa"/>
          </w:tcPr>
          <w:p w:rsidR="00AC666D" w:rsidRPr="000A40B9" w:rsidRDefault="00AC666D" w:rsidP="00250C72">
            <w:pPr>
              <w:pStyle w:val="ad"/>
              <w:spacing w:line="264" w:lineRule="auto"/>
              <w:rPr>
                <w:sz w:val="24"/>
                <w:szCs w:val="24"/>
              </w:rPr>
            </w:pPr>
            <w:r w:rsidRPr="000A40B9">
              <w:rPr>
                <w:sz w:val="24"/>
                <w:szCs w:val="24"/>
              </w:rPr>
              <w:t>1</w:t>
            </w:r>
          </w:p>
        </w:tc>
        <w:tc>
          <w:tcPr>
            <w:tcW w:w="5380" w:type="dxa"/>
          </w:tcPr>
          <w:p w:rsidR="00AC666D" w:rsidRPr="000A40B9" w:rsidRDefault="00AC666D" w:rsidP="00250C72">
            <w:pPr>
              <w:pStyle w:val="ad"/>
              <w:spacing w:line="264" w:lineRule="auto"/>
              <w:jc w:val="left"/>
              <w:rPr>
                <w:sz w:val="24"/>
                <w:szCs w:val="24"/>
              </w:rPr>
            </w:pPr>
            <w:r w:rsidRPr="000A40B9">
              <w:rPr>
                <w:sz w:val="24"/>
                <w:szCs w:val="24"/>
              </w:rPr>
              <w:t>ВАТ</w:t>
            </w:r>
          </w:p>
        </w:tc>
        <w:tc>
          <w:tcPr>
            <w:tcW w:w="1843" w:type="dxa"/>
          </w:tcPr>
          <w:p w:rsidR="00AC666D" w:rsidRPr="000A40B9" w:rsidRDefault="00AC666D" w:rsidP="00250C72">
            <w:pPr>
              <w:pStyle w:val="ad"/>
              <w:spacing w:line="264" w:lineRule="auto"/>
              <w:rPr>
                <w:sz w:val="24"/>
                <w:szCs w:val="24"/>
              </w:rPr>
            </w:pPr>
            <w:r w:rsidRPr="000A40B9">
              <w:rPr>
                <w:sz w:val="24"/>
                <w:szCs w:val="24"/>
              </w:rPr>
              <w:t>18</w:t>
            </w:r>
          </w:p>
        </w:tc>
        <w:tc>
          <w:tcPr>
            <w:tcW w:w="1417" w:type="dxa"/>
          </w:tcPr>
          <w:p w:rsidR="00AC666D" w:rsidRPr="000A40B9" w:rsidRDefault="00AC666D" w:rsidP="00250C72">
            <w:pPr>
              <w:pStyle w:val="ad"/>
              <w:spacing w:line="264" w:lineRule="auto"/>
              <w:rPr>
                <w:color w:val="000000"/>
                <w:sz w:val="24"/>
                <w:szCs w:val="24"/>
              </w:rPr>
            </w:pPr>
            <w:r w:rsidRPr="000A40B9">
              <w:rPr>
                <w:color w:val="000000"/>
                <w:sz w:val="24"/>
                <w:szCs w:val="24"/>
              </w:rPr>
              <w:t>62,2</w:t>
            </w:r>
          </w:p>
        </w:tc>
      </w:tr>
      <w:tr w:rsidR="00AC666D" w:rsidRPr="000A40B9" w:rsidTr="00250C72">
        <w:trPr>
          <w:trHeight w:val="293"/>
          <w:jc w:val="center"/>
        </w:trPr>
        <w:tc>
          <w:tcPr>
            <w:tcW w:w="716" w:type="dxa"/>
          </w:tcPr>
          <w:p w:rsidR="00AC666D" w:rsidRPr="000A40B9" w:rsidRDefault="00AC666D" w:rsidP="00250C72">
            <w:pPr>
              <w:pStyle w:val="ad"/>
              <w:spacing w:line="264" w:lineRule="auto"/>
              <w:rPr>
                <w:sz w:val="24"/>
                <w:szCs w:val="24"/>
              </w:rPr>
            </w:pPr>
            <w:r w:rsidRPr="000A40B9">
              <w:rPr>
                <w:sz w:val="24"/>
                <w:szCs w:val="24"/>
              </w:rPr>
              <w:t>2</w:t>
            </w:r>
          </w:p>
        </w:tc>
        <w:tc>
          <w:tcPr>
            <w:tcW w:w="5380" w:type="dxa"/>
          </w:tcPr>
          <w:p w:rsidR="00AC666D" w:rsidRPr="000A40B9" w:rsidRDefault="00AC666D" w:rsidP="00250C72">
            <w:pPr>
              <w:pStyle w:val="ad"/>
              <w:spacing w:line="264" w:lineRule="auto"/>
              <w:jc w:val="left"/>
              <w:rPr>
                <w:sz w:val="24"/>
                <w:szCs w:val="24"/>
              </w:rPr>
            </w:pPr>
            <w:r w:rsidRPr="000A40B9">
              <w:rPr>
                <w:sz w:val="24"/>
                <w:szCs w:val="24"/>
              </w:rPr>
              <w:t>ЗАТ</w:t>
            </w:r>
          </w:p>
        </w:tc>
        <w:tc>
          <w:tcPr>
            <w:tcW w:w="1843" w:type="dxa"/>
          </w:tcPr>
          <w:p w:rsidR="00AC666D" w:rsidRPr="000A40B9" w:rsidRDefault="00AC666D" w:rsidP="00250C72">
            <w:pPr>
              <w:pStyle w:val="ad"/>
              <w:spacing w:line="264" w:lineRule="auto"/>
              <w:rPr>
                <w:sz w:val="24"/>
                <w:szCs w:val="24"/>
              </w:rPr>
            </w:pPr>
            <w:r w:rsidRPr="000A40B9">
              <w:rPr>
                <w:sz w:val="24"/>
                <w:szCs w:val="24"/>
              </w:rPr>
              <w:t>3</w:t>
            </w:r>
          </w:p>
        </w:tc>
        <w:tc>
          <w:tcPr>
            <w:tcW w:w="1417" w:type="dxa"/>
          </w:tcPr>
          <w:p w:rsidR="00AC666D" w:rsidRPr="000A40B9" w:rsidRDefault="00AC666D" w:rsidP="00250C72">
            <w:pPr>
              <w:pStyle w:val="ad"/>
              <w:spacing w:line="264" w:lineRule="auto"/>
              <w:rPr>
                <w:color w:val="000000"/>
                <w:sz w:val="24"/>
                <w:szCs w:val="24"/>
              </w:rPr>
            </w:pPr>
            <w:r w:rsidRPr="000A40B9">
              <w:rPr>
                <w:color w:val="000000"/>
                <w:sz w:val="24"/>
                <w:szCs w:val="24"/>
              </w:rPr>
              <w:t>10,4</w:t>
            </w:r>
          </w:p>
        </w:tc>
      </w:tr>
      <w:tr w:rsidR="00AC666D" w:rsidRPr="000A40B9" w:rsidTr="00250C72">
        <w:trPr>
          <w:trHeight w:val="313"/>
          <w:jc w:val="center"/>
        </w:trPr>
        <w:tc>
          <w:tcPr>
            <w:tcW w:w="716" w:type="dxa"/>
          </w:tcPr>
          <w:p w:rsidR="00AC666D" w:rsidRPr="000A40B9" w:rsidRDefault="00AC666D" w:rsidP="00250C72">
            <w:pPr>
              <w:pStyle w:val="ad"/>
              <w:spacing w:line="264" w:lineRule="auto"/>
              <w:rPr>
                <w:sz w:val="24"/>
                <w:szCs w:val="24"/>
              </w:rPr>
            </w:pPr>
            <w:r w:rsidRPr="000A40B9">
              <w:rPr>
                <w:sz w:val="24"/>
                <w:szCs w:val="24"/>
              </w:rPr>
              <w:t>3</w:t>
            </w:r>
          </w:p>
        </w:tc>
        <w:tc>
          <w:tcPr>
            <w:tcW w:w="5380" w:type="dxa"/>
          </w:tcPr>
          <w:p w:rsidR="00AC666D" w:rsidRPr="000A40B9" w:rsidRDefault="00AC666D" w:rsidP="00250C72">
            <w:pPr>
              <w:pStyle w:val="ad"/>
              <w:spacing w:line="264" w:lineRule="auto"/>
              <w:jc w:val="left"/>
              <w:rPr>
                <w:sz w:val="24"/>
                <w:szCs w:val="24"/>
              </w:rPr>
            </w:pPr>
            <w:r w:rsidRPr="000A40B9">
              <w:rPr>
                <w:sz w:val="24"/>
                <w:szCs w:val="24"/>
              </w:rPr>
              <w:t>ТОВ</w:t>
            </w:r>
          </w:p>
        </w:tc>
        <w:tc>
          <w:tcPr>
            <w:tcW w:w="1843" w:type="dxa"/>
          </w:tcPr>
          <w:p w:rsidR="00AC666D" w:rsidRPr="000A40B9" w:rsidRDefault="00AC666D" w:rsidP="00250C72">
            <w:pPr>
              <w:pStyle w:val="ad"/>
              <w:spacing w:line="264" w:lineRule="auto"/>
              <w:rPr>
                <w:sz w:val="24"/>
                <w:szCs w:val="24"/>
              </w:rPr>
            </w:pPr>
            <w:r w:rsidRPr="000A40B9">
              <w:rPr>
                <w:sz w:val="24"/>
                <w:szCs w:val="24"/>
              </w:rPr>
              <w:t>4</w:t>
            </w:r>
          </w:p>
        </w:tc>
        <w:tc>
          <w:tcPr>
            <w:tcW w:w="1417" w:type="dxa"/>
          </w:tcPr>
          <w:p w:rsidR="00AC666D" w:rsidRPr="000A40B9" w:rsidRDefault="00AC666D" w:rsidP="00250C72">
            <w:pPr>
              <w:pStyle w:val="ad"/>
              <w:spacing w:line="264" w:lineRule="auto"/>
              <w:rPr>
                <w:color w:val="000000"/>
                <w:sz w:val="24"/>
                <w:szCs w:val="24"/>
              </w:rPr>
            </w:pPr>
            <w:r w:rsidRPr="000A40B9">
              <w:rPr>
                <w:color w:val="000000"/>
                <w:sz w:val="24"/>
                <w:szCs w:val="24"/>
              </w:rPr>
              <w:t>13,7</w:t>
            </w:r>
          </w:p>
        </w:tc>
      </w:tr>
      <w:tr w:rsidR="00AC666D" w:rsidRPr="000A40B9" w:rsidTr="00250C72">
        <w:trPr>
          <w:trHeight w:val="313"/>
          <w:jc w:val="center"/>
        </w:trPr>
        <w:tc>
          <w:tcPr>
            <w:tcW w:w="716" w:type="dxa"/>
          </w:tcPr>
          <w:p w:rsidR="00AC666D" w:rsidRPr="000A40B9" w:rsidRDefault="00AC666D" w:rsidP="00250C72">
            <w:pPr>
              <w:pStyle w:val="ad"/>
              <w:spacing w:line="264" w:lineRule="auto"/>
              <w:rPr>
                <w:sz w:val="24"/>
                <w:szCs w:val="24"/>
              </w:rPr>
            </w:pPr>
            <w:r w:rsidRPr="000A40B9">
              <w:rPr>
                <w:sz w:val="24"/>
                <w:szCs w:val="24"/>
              </w:rPr>
              <w:t>5</w:t>
            </w:r>
          </w:p>
        </w:tc>
        <w:tc>
          <w:tcPr>
            <w:tcW w:w="5380" w:type="dxa"/>
          </w:tcPr>
          <w:p w:rsidR="00AC666D" w:rsidRPr="000A40B9" w:rsidRDefault="00AC666D" w:rsidP="00250C72">
            <w:pPr>
              <w:pStyle w:val="ad"/>
              <w:spacing w:line="264" w:lineRule="auto"/>
              <w:jc w:val="left"/>
              <w:rPr>
                <w:sz w:val="24"/>
                <w:szCs w:val="24"/>
              </w:rPr>
            </w:pPr>
            <w:r w:rsidRPr="000A40B9">
              <w:rPr>
                <w:sz w:val="24"/>
                <w:szCs w:val="24"/>
              </w:rPr>
              <w:t>ДП</w:t>
            </w:r>
          </w:p>
        </w:tc>
        <w:tc>
          <w:tcPr>
            <w:tcW w:w="1843" w:type="dxa"/>
          </w:tcPr>
          <w:p w:rsidR="00AC666D" w:rsidRPr="000A40B9" w:rsidRDefault="00AC666D" w:rsidP="00250C72">
            <w:pPr>
              <w:pStyle w:val="ad"/>
              <w:spacing w:line="264" w:lineRule="auto"/>
              <w:rPr>
                <w:sz w:val="24"/>
                <w:szCs w:val="24"/>
              </w:rPr>
            </w:pPr>
            <w:r w:rsidRPr="000A40B9">
              <w:rPr>
                <w:sz w:val="24"/>
                <w:szCs w:val="24"/>
              </w:rPr>
              <w:t>4</w:t>
            </w:r>
          </w:p>
        </w:tc>
        <w:tc>
          <w:tcPr>
            <w:tcW w:w="1417" w:type="dxa"/>
          </w:tcPr>
          <w:p w:rsidR="00AC666D" w:rsidRPr="000A40B9" w:rsidRDefault="00AC666D" w:rsidP="00250C72">
            <w:pPr>
              <w:pStyle w:val="ad"/>
              <w:spacing w:line="264" w:lineRule="auto"/>
              <w:rPr>
                <w:color w:val="000000"/>
                <w:sz w:val="24"/>
                <w:szCs w:val="24"/>
              </w:rPr>
            </w:pPr>
            <w:r w:rsidRPr="000A40B9">
              <w:rPr>
                <w:color w:val="000000"/>
                <w:sz w:val="24"/>
                <w:szCs w:val="24"/>
              </w:rPr>
              <w:t>13,7</w:t>
            </w:r>
          </w:p>
        </w:tc>
      </w:tr>
    </w:tbl>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AC666D" w:rsidP="00AC666D">
      <w:pPr>
        <w:ind w:firstLine="709"/>
      </w:pPr>
    </w:p>
    <w:p w:rsidR="00AC666D" w:rsidRDefault="00AC666D" w:rsidP="00AC666D">
      <w:r>
        <w:t>Машинобудівні підприємства на відміну від підприємств інших галузей вітчизняної промисловості мають деякі специфічні особливості, які залишилися ще з радянських часів. При розподілі динаміки питомої ваги працюючих в машинобудівній галузі, спостерігаємо її різке зменшення порівняно з показниками колишньої економічної системи через навмисне скорочення керівниками підприємств кількості працівників, у зв’язку зі зменшенням випуску продукції та ефек</w:t>
      </w:r>
      <w:r w:rsidR="00AD42C5">
        <w:t xml:space="preserve">тивності виробництва (табл. </w:t>
      </w:r>
      <w:r w:rsidR="00D46F89">
        <w:t>1.</w:t>
      </w:r>
      <w:r>
        <w:t>3).</w:t>
      </w:r>
    </w:p>
    <w:p w:rsidR="00AC666D" w:rsidRPr="00055038" w:rsidRDefault="00AD42C5" w:rsidP="00AC666D">
      <w:pPr>
        <w:pStyle w:val="1"/>
        <w:rPr>
          <w:i/>
        </w:rPr>
      </w:pPr>
      <w:r>
        <w:rPr>
          <w:i/>
        </w:rPr>
        <w:t xml:space="preserve">Таблиця </w:t>
      </w:r>
      <w:r w:rsidR="00D46F89">
        <w:rPr>
          <w:i/>
        </w:rPr>
        <w:t>1.</w:t>
      </w:r>
      <w:r w:rsidR="00AC666D">
        <w:rPr>
          <w:i/>
        </w:rPr>
        <w:t>3</w:t>
      </w:r>
    </w:p>
    <w:p w:rsidR="00AC666D" w:rsidRPr="005A4441" w:rsidRDefault="00AC666D" w:rsidP="00AC666D">
      <w:pPr>
        <w:pStyle w:val="ab"/>
        <w:rPr>
          <w:b/>
        </w:rPr>
      </w:pPr>
      <w:r w:rsidRPr="005A4441">
        <w:rPr>
          <w:b/>
        </w:rPr>
        <w:t>Розподіл підприємств за чисельністю працюючих</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6"/>
        <w:gridCol w:w="5732"/>
        <w:gridCol w:w="1702"/>
        <w:gridCol w:w="1206"/>
      </w:tblGrid>
      <w:tr w:rsidR="00AC666D" w:rsidRPr="000A40B9" w:rsidTr="00250C72">
        <w:trPr>
          <w:jc w:val="center"/>
        </w:trPr>
        <w:tc>
          <w:tcPr>
            <w:tcW w:w="716" w:type="dxa"/>
          </w:tcPr>
          <w:p w:rsidR="00AC666D" w:rsidRPr="000A40B9" w:rsidRDefault="00AC666D" w:rsidP="00250C72">
            <w:pPr>
              <w:pStyle w:val="ad"/>
              <w:rPr>
                <w:sz w:val="24"/>
                <w:szCs w:val="24"/>
              </w:rPr>
            </w:pPr>
            <w:r w:rsidRPr="000A40B9">
              <w:rPr>
                <w:sz w:val="24"/>
                <w:szCs w:val="24"/>
              </w:rPr>
              <w:t>№</w:t>
            </w:r>
          </w:p>
          <w:p w:rsidR="00AC666D" w:rsidRPr="000A40B9" w:rsidRDefault="00AC666D" w:rsidP="00250C72">
            <w:pPr>
              <w:pStyle w:val="ad"/>
              <w:rPr>
                <w:sz w:val="24"/>
                <w:szCs w:val="24"/>
              </w:rPr>
            </w:pPr>
            <w:r w:rsidRPr="000A40B9">
              <w:rPr>
                <w:sz w:val="24"/>
                <w:szCs w:val="24"/>
              </w:rPr>
              <w:t>пор.</w:t>
            </w:r>
          </w:p>
        </w:tc>
        <w:tc>
          <w:tcPr>
            <w:tcW w:w="5732" w:type="dxa"/>
          </w:tcPr>
          <w:p w:rsidR="00AC666D" w:rsidRPr="000A40B9" w:rsidRDefault="00AC666D" w:rsidP="00250C72">
            <w:pPr>
              <w:pStyle w:val="ad"/>
              <w:rPr>
                <w:sz w:val="24"/>
                <w:szCs w:val="24"/>
              </w:rPr>
            </w:pPr>
            <w:r w:rsidRPr="000A40B9">
              <w:rPr>
                <w:sz w:val="24"/>
                <w:szCs w:val="24"/>
              </w:rPr>
              <w:t>Кількість працюючих</w:t>
            </w:r>
          </w:p>
        </w:tc>
        <w:tc>
          <w:tcPr>
            <w:tcW w:w="1702" w:type="dxa"/>
          </w:tcPr>
          <w:p w:rsidR="00AC666D" w:rsidRPr="000A40B9" w:rsidRDefault="00AC666D" w:rsidP="00250C72">
            <w:pPr>
              <w:pStyle w:val="ad"/>
              <w:rPr>
                <w:sz w:val="24"/>
                <w:szCs w:val="24"/>
              </w:rPr>
            </w:pPr>
            <w:r w:rsidRPr="000A40B9">
              <w:rPr>
                <w:sz w:val="24"/>
                <w:szCs w:val="24"/>
              </w:rPr>
              <w:t>Кількість</w:t>
            </w:r>
          </w:p>
          <w:p w:rsidR="00AC666D" w:rsidRPr="000A40B9" w:rsidRDefault="00AC666D" w:rsidP="00250C72">
            <w:pPr>
              <w:pStyle w:val="ad"/>
              <w:rPr>
                <w:sz w:val="24"/>
                <w:szCs w:val="24"/>
              </w:rPr>
            </w:pPr>
            <w:r w:rsidRPr="000A40B9">
              <w:rPr>
                <w:sz w:val="24"/>
                <w:szCs w:val="24"/>
              </w:rPr>
              <w:t>підприємств</w:t>
            </w:r>
          </w:p>
        </w:tc>
        <w:tc>
          <w:tcPr>
            <w:tcW w:w="1206" w:type="dxa"/>
          </w:tcPr>
          <w:p w:rsidR="00AC666D" w:rsidRPr="000A40B9" w:rsidRDefault="00AC666D" w:rsidP="00250C72">
            <w:pPr>
              <w:pStyle w:val="ad"/>
              <w:rPr>
                <w:sz w:val="24"/>
                <w:szCs w:val="24"/>
              </w:rPr>
            </w:pPr>
            <w:r w:rsidRPr="000A40B9">
              <w:rPr>
                <w:sz w:val="24"/>
                <w:szCs w:val="24"/>
              </w:rPr>
              <w:t>%</w:t>
            </w:r>
          </w:p>
        </w:tc>
      </w:tr>
      <w:tr w:rsidR="00AC666D" w:rsidRPr="000A40B9" w:rsidTr="00250C72">
        <w:trPr>
          <w:jc w:val="center"/>
        </w:trPr>
        <w:tc>
          <w:tcPr>
            <w:tcW w:w="716" w:type="dxa"/>
          </w:tcPr>
          <w:p w:rsidR="00AC666D" w:rsidRPr="000A40B9" w:rsidRDefault="00AC666D" w:rsidP="00250C72">
            <w:pPr>
              <w:pStyle w:val="ad"/>
              <w:rPr>
                <w:sz w:val="24"/>
                <w:szCs w:val="24"/>
              </w:rPr>
            </w:pPr>
            <w:r w:rsidRPr="000A40B9">
              <w:rPr>
                <w:sz w:val="24"/>
                <w:szCs w:val="24"/>
              </w:rPr>
              <w:t>1</w:t>
            </w:r>
          </w:p>
        </w:tc>
        <w:tc>
          <w:tcPr>
            <w:tcW w:w="5732" w:type="dxa"/>
          </w:tcPr>
          <w:p w:rsidR="00AC666D" w:rsidRPr="000A40B9" w:rsidRDefault="00AC666D" w:rsidP="00250C72">
            <w:pPr>
              <w:pStyle w:val="ad"/>
              <w:jc w:val="left"/>
              <w:rPr>
                <w:sz w:val="24"/>
                <w:szCs w:val="24"/>
              </w:rPr>
            </w:pPr>
            <w:r w:rsidRPr="000A40B9">
              <w:rPr>
                <w:sz w:val="24"/>
                <w:szCs w:val="24"/>
              </w:rPr>
              <w:t>До 100</w:t>
            </w:r>
          </w:p>
        </w:tc>
        <w:tc>
          <w:tcPr>
            <w:tcW w:w="1702" w:type="dxa"/>
            <w:vAlign w:val="bottom"/>
          </w:tcPr>
          <w:p w:rsidR="00AC666D" w:rsidRPr="000A40B9" w:rsidRDefault="00AC666D" w:rsidP="00250C72">
            <w:pPr>
              <w:pStyle w:val="ad"/>
              <w:rPr>
                <w:sz w:val="24"/>
                <w:szCs w:val="24"/>
                <w:lang w:val="en-US"/>
              </w:rPr>
            </w:pPr>
            <w:r w:rsidRPr="000A40B9">
              <w:rPr>
                <w:sz w:val="24"/>
                <w:szCs w:val="24"/>
                <w:lang w:val="en-US"/>
              </w:rPr>
              <w:t>11</w:t>
            </w:r>
          </w:p>
        </w:tc>
        <w:tc>
          <w:tcPr>
            <w:tcW w:w="1206" w:type="dxa"/>
            <w:vAlign w:val="bottom"/>
          </w:tcPr>
          <w:p w:rsidR="00AC666D" w:rsidRPr="000A40B9" w:rsidRDefault="00AC666D" w:rsidP="00250C72">
            <w:pPr>
              <w:pStyle w:val="ad"/>
              <w:rPr>
                <w:color w:val="000000"/>
                <w:sz w:val="24"/>
                <w:szCs w:val="24"/>
                <w:lang w:val="en-US"/>
              </w:rPr>
            </w:pPr>
            <w:r w:rsidRPr="000A40B9">
              <w:rPr>
                <w:color w:val="000000"/>
                <w:sz w:val="24"/>
                <w:szCs w:val="24"/>
                <w:lang w:val="en-US"/>
              </w:rPr>
              <w:t>37,9</w:t>
            </w:r>
          </w:p>
        </w:tc>
      </w:tr>
      <w:tr w:rsidR="00AC666D" w:rsidRPr="000A40B9" w:rsidTr="00250C72">
        <w:trPr>
          <w:trHeight w:val="268"/>
          <w:jc w:val="center"/>
        </w:trPr>
        <w:tc>
          <w:tcPr>
            <w:tcW w:w="716" w:type="dxa"/>
          </w:tcPr>
          <w:p w:rsidR="00AC666D" w:rsidRPr="000A40B9" w:rsidRDefault="00AC666D" w:rsidP="00250C72">
            <w:pPr>
              <w:pStyle w:val="ad"/>
              <w:rPr>
                <w:sz w:val="24"/>
                <w:szCs w:val="24"/>
              </w:rPr>
            </w:pPr>
            <w:r w:rsidRPr="000A40B9">
              <w:rPr>
                <w:sz w:val="24"/>
                <w:szCs w:val="24"/>
              </w:rPr>
              <w:t>2</w:t>
            </w:r>
          </w:p>
        </w:tc>
        <w:tc>
          <w:tcPr>
            <w:tcW w:w="5732" w:type="dxa"/>
          </w:tcPr>
          <w:p w:rsidR="00AC666D" w:rsidRPr="000A40B9" w:rsidRDefault="00AC666D" w:rsidP="00250C72">
            <w:pPr>
              <w:pStyle w:val="ad"/>
              <w:jc w:val="left"/>
              <w:rPr>
                <w:sz w:val="24"/>
                <w:szCs w:val="24"/>
              </w:rPr>
            </w:pPr>
            <w:r w:rsidRPr="000A40B9">
              <w:rPr>
                <w:sz w:val="24"/>
                <w:szCs w:val="24"/>
              </w:rPr>
              <w:t>101 - 200</w:t>
            </w:r>
          </w:p>
        </w:tc>
        <w:tc>
          <w:tcPr>
            <w:tcW w:w="1702" w:type="dxa"/>
            <w:vAlign w:val="bottom"/>
          </w:tcPr>
          <w:p w:rsidR="00AC666D" w:rsidRPr="000A40B9" w:rsidRDefault="00AC666D" w:rsidP="00250C72">
            <w:pPr>
              <w:pStyle w:val="ad"/>
              <w:rPr>
                <w:sz w:val="24"/>
                <w:szCs w:val="24"/>
                <w:lang w:val="en-US"/>
              </w:rPr>
            </w:pPr>
            <w:r w:rsidRPr="000A40B9">
              <w:rPr>
                <w:sz w:val="24"/>
                <w:szCs w:val="24"/>
                <w:lang w:val="en-US"/>
              </w:rPr>
              <w:t>5</w:t>
            </w:r>
          </w:p>
        </w:tc>
        <w:tc>
          <w:tcPr>
            <w:tcW w:w="1206" w:type="dxa"/>
            <w:vAlign w:val="bottom"/>
          </w:tcPr>
          <w:p w:rsidR="00AC666D" w:rsidRPr="000A40B9" w:rsidRDefault="00AC666D" w:rsidP="00250C72">
            <w:pPr>
              <w:pStyle w:val="ad"/>
              <w:rPr>
                <w:color w:val="000000"/>
                <w:sz w:val="24"/>
                <w:szCs w:val="24"/>
                <w:lang w:val="en-US"/>
              </w:rPr>
            </w:pPr>
            <w:r w:rsidRPr="000A40B9">
              <w:rPr>
                <w:color w:val="000000"/>
                <w:sz w:val="24"/>
                <w:szCs w:val="24"/>
                <w:lang w:val="en-US"/>
              </w:rPr>
              <w:t>17,2</w:t>
            </w:r>
          </w:p>
        </w:tc>
      </w:tr>
      <w:tr w:rsidR="00AC666D" w:rsidRPr="000A40B9" w:rsidTr="00250C72">
        <w:trPr>
          <w:jc w:val="center"/>
        </w:trPr>
        <w:tc>
          <w:tcPr>
            <w:tcW w:w="716" w:type="dxa"/>
          </w:tcPr>
          <w:p w:rsidR="00AC666D" w:rsidRPr="000A40B9" w:rsidRDefault="00AC666D" w:rsidP="00250C72">
            <w:pPr>
              <w:pStyle w:val="ad"/>
              <w:rPr>
                <w:sz w:val="24"/>
                <w:szCs w:val="24"/>
              </w:rPr>
            </w:pPr>
            <w:r w:rsidRPr="000A40B9">
              <w:rPr>
                <w:sz w:val="24"/>
                <w:szCs w:val="24"/>
              </w:rPr>
              <w:t>3</w:t>
            </w:r>
          </w:p>
        </w:tc>
        <w:tc>
          <w:tcPr>
            <w:tcW w:w="5732" w:type="dxa"/>
          </w:tcPr>
          <w:p w:rsidR="00AC666D" w:rsidRPr="000A40B9" w:rsidRDefault="00AC666D" w:rsidP="00250C72">
            <w:pPr>
              <w:pStyle w:val="ad"/>
              <w:jc w:val="left"/>
              <w:rPr>
                <w:sz w:val="24"/>
                <w:szCs w:val="24"/>
              </w:rPr>
            </w:pPr>
            <w:r w:rsidRPr="000A40B9">
              <w:rPr>
                <w:sz w:val="24"/>
                <w:szCs w:val="24"/>
              </w:rPr>
              <w:t>201 - 500</w:t>
            </w:r>
          </w:p>
        </w:tc>
        <w:tc>
          <w:tcPr>
            <w:tcW w:w="1702" w:type="dxa"/>
            <w:vAlign w:val="bottom"/>
          </w:tcPr>
          <w:p w:rsidR="00AC666D" w:rsidRPr="000A40B9" w:rsidRDefault="00AC666D" w:rsidP="00250C72">
            <w:pPr>
              <w:pStyle w:val="ad"/>
              <w:rPr>
                <w:sz w:val="24"/>
                <w:szCs w:val="24"/>
                <w:lang w:val="en-US"/>
              </w:rPr>
            </w:pPr>
            <w:r w:rsidRPr="000A40B9">
              <w:rPr>
                <w:sz w:val="24"/>
                <w:szCs w:val="24"/>
                <w:lang w:val="en-US"/>
              </w:rPr>
              <w:t>7</w:t>
            </w:r>
          </w:p>
        </w:tc>
        <w:tc>
          <w:tcPr>
            <w:tcW w:w="1206" w:type="dxa"/>
            <w:vAlign w:val="bottom"/>
          </w:tcPr>
          <w:p w:rsidR="00AC666D" w:rsidRPr="000A40B9" w:rsidRDefault="00AC666D" w:rsidP="00250C72">
            <w:pPr>
              <w:pStyle w:val="ad"/>
              <w:rPr>
                <w:color w:val="000000"/>
                <w:sz w:val="24"/>
                <w:szCs w:val="24"/>
                <w:lang w:val="en-US"/>
              </w:rPr>
            </w:pPr>
            <w:r w:rsidRPr="000A40B9">
              <w:rPr>
                <w:color w:val="000000"/>
                <w:sz w:val="24"/>
                <w:szCs w:val="24"/>
                <w:lang w:val="en-US"/>
              </w:rPr>
              <w:t>24,2</w:t>
            </w:r>
          </w:p>
        </w:tc>
      </w:tr>
      <w:tr w:rsidR="00AC666D" w:rsidRPr="000A40B9" w:rsidTr="00250C72">
        <w:trPr>
          <w:jc w:val="center"/>
        </w:trPr>
        <w:tc>
          <w:tcPr>
            <w:tcW w:w="716" w:type="dxa"/>
          </w:tcPr>
          <w:p w:rsidR="00AC666D" w:rsidRPr="000A40B9" w:rsidRDefault="00AC666D" w:rsidP="00250C72">
            <w:pPr>
              <w:pStyle w:val="ad"/>
              <w:rPr>
                <w:sz w:val="24"/>
                <w:szCs w:val="24"/>
              </w:rPr>
            </w:pPr>
            <w:r w:rsidRPr="000A40B9">
              <w:rPr>
                <w:sz w:val="24"/>
                <w:szCs w:val="24"/>
              </w:rPr>
              <w:t>4</w:t>
            </w:r>
          </w:p>
        </w:tc>
        <w:tc>
          <w:tcPr>
            <w:tcW w:w="5732" w:type="dxa"/>
          </w:tcPr>
          <w:p w:rsidR="00AC666D" w:rsidRPr="000A40B9" w:rsidRDefault="00AC666D" w:rsidP="00250C72">
            <w:pPr>
              <w:pStyle w:val="ad"/>
              <w:jc w:val="left"/>
              <w:rPr>
                <w:sz w:val="24"/>
                <w:szCs w:val="24"/>
              </w:rPr>
            </w:pPr>
            <w:r w:rsidRPr="000A40B9">
              <w:rPr>
                <w:sz w:val="24"/>
                <w:szCs w:val="24"/>
              </w:rPr>
              <w:t>501 - 1000</w:t>
            </w:r>
          </w:p>
        </w:tc>
        <w:tc>
          <w:tcPr>
            <w:tcW w:w="1702" w:type="dxa"/>
            <w:vAlign w:val="bottom"/>
          </w:tcPr>
          <w:p w:rsidR="00AC666D" w:rsidRPr="000A40B9" w:rsidRDefault="00AC666D" w:rsidP="00250C72">
            <w:pPr>
              <w:pStyle w:val="ad"/>
              <w:rPr>
                <w:sz w:val="24"/>
                <w:szCs w:val="24"/>
                <w:lang w:val="en-US"/>
              </w:rPr>
            </w:pPr>
            <w:r w:rsidRPr="000A40B9">
              <w:rPr>
                <w:sz w:val="24"/>
                <w:szCs w:val="24"/>
                <w:lang w:val="en-US"/>
              </w:rPr>
              <w:t>2</w:t>
            </w:r>
          </w:p>
        </w:tc>
        <w:tc>
          <w:tcPr>
            <w:tcW w:w="1206" w:type="dxa"/>
            <w:vAlign w:val="bottom"/>
          </w:tcPr>
          <w:p w:rsidR="00AC666D" w:rsidRPr="000A40B9" w:rsidRDefault="00AC666D" w:rsidP="00250C72">
            <w:pPr>
              <w:pStyle w:val="ad"/>
              <w:rPr>
                <w:color w:val="000000"/>
                <w:sz w:val="24"/>
                <w:szCs w:val="24"/>
                <w:lang w:val="en-US"/>
              </w:rPr>
            </w:pPr>
            <w:r w:rsidRPr="000A40B9">
              <w:rPr>
                <w:color w:val="000000"/>
                <w:sz w:val="24"/>
                <w:szCs w:val="24"/>
                <w:lang w:val="en-US"/>
              </w:rPr>
              <w:t>6,9</w:t>
            </w:r>
          </w:p>
        </w:tc>
      </w:tr>
      <w:tr w:rsidR="00AC666D" w:rsidRPr="000A40B9" w:rsidTr="00250C72">
        <w:trPr>
          <w:jc w:val="center"/>
        </w:trPr>
        <w:tc>
          <w:tcPr>
            <w:tcW w:w="716" w:type="dxa"/>
          </w:tcPr>
          <w:p w:rsidR="00AC666D" w:rsidRPr="000A40B9" w:rsidRDefault="00AC666D" w:rsidP="00250C72">
            <w:pPr>
              <w:pStyle w:val="ad"/>
              <w:rPr>
                <w:sz w:val="24"/>
                <w:szCs w:val="24"/>
              </w:rPr>
            </w:pPr>
            <w:r w:rsidRPr="000A40B9">
              <w:rPr>
                <w:sz w:val="24"/>
                <w:szCs w:val="24"/>
              </w:rPr>
              <w:t>5</w:t>
            </w:r>
          </w:p>
        </w:tc>
        <w:tc>
          <w:tcPr>
            <w:tcW w:w="5732" w:type="dxa"/>
          </w:tcPr>
          <w:p w:rsidR="00AC666D" w:rsidRPr="000A40B9" w:rsidRDefault="00AC666D" w:rsidP="00250C72">
            <w:pPr>
              <w:pStyle w:val="ad"/>
              <w:jc w:val="left"/>
              <w:rPr>
                <w:sz w:val="24"/>
                <w:szCs w:val="24"/>
              </w:rPr>
            </w:pPr>
            <w:r w:rsidRPr="000A40B9">
              <w:rPr>
                <w:sz w:val="24"/>
                <w:szCs w:val="24"/>
              </w:rPr>
              <w:t>1001 - 2000</w:t>
            </w:r>
          </w:p>
        </w:tc>
        <w:tc>
          <w:tcPr>
            <w:tcW w:w="1702" w:type="dxa"/>
            <w:vAlign w:val="bottom"/>
          </w:tcPr>
          <w:p w:rsidR="00AC666D" w:rsidRPr="000A40B9" w:rsidRDefault="00AC666D" w:rsidP="00250C72">
            <w:pPr>
              <w:pStyle w:val="ad"/>
              <w:rPr>
                <w:sz w:val="24"/>
                <w:szCs w:val="24"/>
              </w:rPr>
            </w:pPr>
            <w:r w:rsidRPr="000A40B9">
              <w:rPr>
                <w:sz w:val="24"/>
                <w:szCs w:val="24"/>
              </w:rPr>
              <w:t>3</w:t>
            </w:r>
          </w:p>
        </w:tc>
        <w:tc>
          <w:tcPr>
            <w:tcW w:w="1206" w:type="dxa"/>
            <w:vAlign w:val="bottom"/>
          </w:tcPr>
          <w:p w:rsidR="00AC666D" w:rsidRPr="000A40B9" w:rsidRDefault="00AC666D" w:rsidP="00250C72">
            <w:pPr>
              <w:pStyle w:val="ad"/>
              <w:rPr>
                <w:color w:val="000000"/>
                <w:sz w:val="24"/>
                <w:szCs w:val="24"/>
                <w:lang w:val="en-US"/>
              </w:rPr>
            </w:pPr>
            <w:r w:rsidRPr="000A40B9">
              <w:rPr>
                <w:color w:val="000000"/>
                <w:sz w:val="24"/>
                <w:szCs w:val="24"/>
                <w:lang w:val="en-US"/>
              </w:rPr>
              <w:t>10,3</w:t>
            </w:r>
          </w:p>
        </w:tc>
      </w:tr>
      <w:tr w:rsidR="00AC666D" w:rsidRPr="000A40B9" w:rsidTr="00250C72">
        <w:trPr>
          <w:jc w:val="center"/>
        </w:trPr>
        <w:tc>
          <w:tcPr>
            <w:tcW w:w="716" w:type="dxa"/>
          </w:tcPr>
          <w:p w:rsidR="00AC666D" w:rsidRPr="000A40B9" w:rsidRDefault="00AC666D" w:rsidP="00250C72">
            <w:pPr>
              <w:pStyle w:val="ad"/>
              <w:rPr>
                <w:sz w:val="24"/>
                <w:szCs w:val="24"/>
              </w:rPr>
            </w:pPr>
            <w:r w:rsidRPr="000A40B9">
              <w:rPr>
                <w:sz w:val="24"/>
                <w:szCs w:val="24"/>
              </w:rPr>
              <w:t>6</w:t>
            </w:r>
          </w:p>
        </w:tc>
        <w:tc>
          <w:tcPr>
            <w:tcW w:w="5732" w:type="dxa"/>
          </w:tcPr>
          <w:p w:rsidR="00AC666D" w:rsidRPr="000A40B9" w:rsidRDefault="00AC666D" w:rsidP="00250C72">
            <w:pPr>
              <w:pStyle w:val="ad"/>
              <w:jc w:val="left"/>
              <w:rPr>
                <w:sz w:val="24"/>
                <w:szCs w:val="24"/>
              </w:rPr>
            </w:pPr>
            <w:r w:rsidRPr="000A40B9">
              <w:rPr>
                <w:sz w:val="24"/>
                <w:szCs w:val="24"/>
              </w:rPr>
              <w:t>Більше 2000</w:t>
            </w:r>
          </w:p>
        </w:tc>
        <w:tc>
          <w:tcPr>
            <w:tcW w:w="1702" w:type="dxa"/>
            <w:vAlign w:val="bottom"/>
          </w:tcPr>
          <w:p w:rsidR="00AC666D" w:rsidRPr="000A40B9" w:rsidRDefault="00AC666D" w:rsidP="00250C72">
            <w:pPr>
              <w:pStyle w:val="ad"/>
              <w:rPr>
                <w:sz w:val="24"/>
                <w:szCs w:val="24"/>
              </w:rPr>
            </w:pPr>
            <w:r w:rsidRPr="000A40B9">
              <w:rPr>
                <w:sz w:val="24"/>
                <w:szCs w:val="24"/>
              </w:rPr>
              <w:t>1</w:t>
            </w:r>
          </w:p>
        </w:tc>
        <w:tc>
          <w:tcPr>
            <w:tcW w:w="1206" w:type="dxa"/>
            <w:vAlign w:val="bottom"/>
          </w:tcPr>
          <w:p w:rsidR="00AC666D" w:rsidRPr="000A40B9" w:rsidRDefault="00AC666D" w:rsidP="00250C72">
            <w:pPr>
              <w:pStyle w:val="ad"/>
              <w:rPr>
                <w:color w:val="000000"/>
                <w:sz w:val="24"/>
                <w:szCs w:val="24"/>
              </w:rPr>
            </w:pPr>
            <w:r w:rsidRPr="000A40B9">
              <w:rPr>
                <w:color w:val="000000"/>
                <w:sz w:val="24"/>
                <w:szCs w:val="24"/>
              </w:rPr>
              <w:t>3,</w:t>
            </w:r>
            <w:r w:rsidRPr="000A40B9">
              <w:rPr>
                <w:color w:val="000000"/>
                <w:sz w:val="24"/>
                <w:szCs w:val="24"/>
                <w:lang w:val="en-US"/>
              </w:rPr>
              <w:t>5</w:t>
            </w:r>
          </w:p>
        </w:tc>
      </w:tr>
    </w:tbl>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Pr="00D46F89" w:rsidRDefault="00AC666D" w:rsidP="00AC666D">
      <w:pPr>
        <w:rPr>
          <w:lang w:val="ru-RU"/>
        </w:rPr>
      </w:pPr>
      <w:r>
        <w:t xml:space="preserve">На основі результатів проведеного обстеження можна зазначити, що сучасні трансформаційні процеси в економіці, </w:t>
      </w:r>
      <w:r>
        <w:rPr>
          <w:color w:val="000000"/>
        </w:rPr>
        <w:t>дозволили покращити</w:t>
      </w:r>
      <w:r>
        <w:t xml:space="preserve"> </w:t>
      </w:r>
      <w:r>
        <w:lastRenderedPageBreak/>
        <w:t>фінансово-економічний стан на підприємствах, що досліджувались. На запитання: “Яким чином змінився економічний ста</w:t>
      </w:r>
      <w:r w:rsidR="00AD42C5">
        <w:t>н на Вашому підприємстві за 2019-2021</w:t>
      </w:r>
      <w:r>
        <w:t xml:space="preserve"> рр.?” – 44,8% респондентів вказують на його покращання; 10,4% </w:t>
      </w:r>
      <w:r>
        <w:sym w:font="Times New Roman CYR" w:char="2013"/>
      </w:r>
      <w:r>
        <w:t xml:space="preserve"> зазначають, що він не змінився; 17,2% </w:t>
      </w:r>
      <w:r w:rsidR="00AD42C5">
        <w:t xml:space="preserve">вказують на погіршання (рис. </w:t>
      </w:r>
      <w:r w:rsidR="00D46F89">
        <w:t>1.</w:t>
      </w:r>
      <w:r w:rsidR="00AD42C5">
        <w:t>2</w:t>
      </w:r>
      <w:r>
        <w:t>).</w:t>
      </w:r>
    </w:p>
    <w:p w:rsidR="00EA4344" w:rsidRPr="00D46F89" w:rsidRDefault="00EA4344" w:rsidP="00AC666D">
      <w:pPr>
        <w:rPr>
          <w:lang w:val="ru-RU"/>
        </w:rPr>
      </w:pPr>
    </w:p>
    <w:p w:rsidR="00AC666D" w:rsidRDefault="00AC666D" w:rsidP="00AC666D">
      <w:pPr>
        <w:ind w:firstLine="0"/>
        <w:jc w:val="center"/>
      </w:pPr>
      <w:r>
        <w:rPr>
          <w:noProof/>
          <w:lang w:val="ru-RU"/>
        </w:rPr>
        <w:drawing>
          <wp:inline distT="0" distB="0" distL="0" distR="0">
            <wp:extent cx="5857240" cy="2493010"/>
            <wp:effectExtent l="0" t="0" r="0" b="0"/>
            <wp:docPr id="7"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AD42C5" w:rsidP="00AC666D">
      <w:pPr>
        <w:pStyle w:val="af1"/>
        <w:ind w:firstLine="900"/>
        <w:jc w:val="both"/>
      </w:pPr>
      <w:r>
        <w:t xml:space="preserve">Рис. </w:t>
      </w:r>
      <w:r w:rsidR="00D46F89">
        <w:t>1.</w:t>
      </w:r>
      <w:r>
        <w:t>2</w:t>
      </w:r>
      <w:r w:rsidR="00AC666D">
        <w:t>. Зміни фінансово-економічного стану машинобудівних підприєм</w:t>
      </w:r>
      <w:r>
        <w:t>ств Хмельницької області за 2019-2021</w:t>
      </w:r>
      <w:r w:rsidR="00AC666D">
        <w:t xml:space="preserve"> рр.</w:t>
      </w:r>
    </w:p>
    <w:p w:rsidR="00EA4344" w:rsidRPr="00250C72" w:rsidRDefault="00EA4344" w:rsidP="00AC666D">
      <w:pPr>
        <w:rPr>
          <w:color w:val="000000"/>
          <w:lang w:val="ru-RU"/>
        </w:rPr>
      </w:pPr>
    </w:p>
    <w:p w:rsidR="00AC666D" w:rsidRDefault="00AC666D" w:rsidP="00AC666D">
      <w:pPr>
        <w:rPr>
          <w:color w:val="000000"/>
        </w:rPr>
      </w:pPr>
      <w:r>
        <w:rPr>
          <w:color w:val="000000"/>
        </w:rPr>
        <w:t>За висновками проведеного анкетування можна зазначити, що 31% підприємств розширили поточну діяльність, 13,8% - оновили виробництво, 27,6% - мають стабільний розвиток, 10,4% - знаходяться на стадії банкрутства.</w:t>
      </w:r>
    </w:p>
    <w:p w:rsidR="00AC666D" w:rsidRDefault="00AC666D" w:rsidP="00AC666D">
      <w:pPr>
        <w:ind w:firstLine="709"/>
        <w:rPr>
          <w:color w:val="000000"/>
        </w:rPr>
      </w:pPr>
      <w:r>
        <w:rPr>
          <w:color w:val="000000"/>
        </w:rPr>
        <w:t>Незважаючи на те, що більшість підприємств формувались за часів командно-адміністративної системи без урахування сучасних ринкових важелів впливу, провівши деякі організаційні заходи щодо покращання умов виробництва та ринків збуту, більшість з них змогли адаптуватися до нових умов господарювання. Так, під</w:t>
      </w:r>
      <w:r w:rsidR="00AD42C5">
        <w:rPr>
          <w:color w:val="000000"/>
        </w:rPr>
        <w:t>приємства машинобудування у 2021</w:t>
      </w:r>
      <w:r>
        <w:rPr>
          <w:color w:val="000000"/>
        </w:rPr>
        <w:t xml:space="preserve"> році збільшили обсяги виробництва на 21,6%. Наполовину зросли обсяги продукції на підприємствах з виробництва ізольованого проводу та кабелю, на 17,0-28,3% - механічного устаткування, електродвигунів, генераторів і трансформаторів, транспортних засобів т</w:t>
      </w:r>
      <w:r w:rsidR="004957C3">
        <w:rPr>
          <w:color w:val="000000"/>
        </w:rPr>
        <w:t>а устаткування [2</w:t>
      </w:r>
      <w:r>
        <w:rPr>
          <w:color w:val="000000"/>
        </w:rPr>
        <w:t>].</w:t>
      </w:r>
    </w:p>
    <w:p w:rsidR="00AC666D" w:rsidRPr="00250C72" w:rsidRDefault="00AC666D" w:rsidP="00AC666D">
      <w:pPr>
        <w:rPr>
          <w:color w:val="000000"/>
        </w:rPr>
      </w:pPr>
      <w:r>
        <w:rPr>
          <w:color w:val="000000"/>
        </w:rPr>
        <w:lastRenderedPageBreak/>
        <w:t>Згідно з даними опитування, 34,6 % опитаних машинобудівних підприємств в Хмельницькій області здійснюють зовнішньоекономічну діяльність, тобто достатньо велика кількість підприємств не мають можливості виходу на зовнішні ринки, а саме 65,4 %</w:t>
      </w:r>
      <w:r w:rsidR="00AD42C5">
        <w:t xml:space="preserve"> (рис. </w:t>
      </w:r>
      <w:r w:rsidR="00D46F89">
        <w:t>1.</w:t>
      </w:r>
      <w:r w:rsidR="00AD42C5">
        <w:t>3</w:t>
      </w:r>
      <w:r>
        <w:t>)</w:t>
      </w:r>
      <w:r>
        <w:rPr>
          <w:color w:val="000000"/>
        </w:rPr>
        <w:t xml:space="preserve">. Через те слід проаналізувати головні перешкоди та перспективи розвитку ЗЕД машинобудівних підприємств в області та розробити шляхи активізації їх розвитку. </w:t>
      </w:r>
    </w:p>
    <w:p w:rsidR="00310D66" w:rsidRPr="00250C72" w:rsidRDefault="00310D66" w:rsidP="00AC666D">
      <w:pPr>
        <w:rPr>
          <w:color w:val="000000"/>
        </w:rPr>
      </w:pPr>
    </w:p>
    <w:p w:rsidR="00AC666D" w:rsidRDefault="00AC666D" w:rsidP="00AC666D">
      <w:pPr>
        <w:ind w:firstLine="0"/>
        <w:jc w:val="center"/>
      </w:pPr>
      <w:r>
        <w:rPr>
          <w:noProof/>
          <w:lang w:val="ru-RU"/>
        </w:rPr>
        <w:drawing>
          <wp:inline distT="0" distB="0" distL="0" distR="0">
            <wp:extent cx="6159500" cy="1371600"/>
            <wp:effectExtent l="0" t="0" r="0" b="0"/>
            <wp:docPr id="6" name="Диаграмма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AD42C5" w:rsidP="00AC666D">
      <w:pPr>
        <w:ind w:firstLine="900"/>
      </w:pPr>
      <w:r>
        <w:t xml:space="preserve">Рис. </w:t>
      </w:r>
      <w:r w:rsidR="00D46F89">
        <w:t>1.</w:t>
      </w:r>
      <w:r>
        <w:t>3</w:t>
      </w:r>
      <w:r w:rsidR="00AC666D">
        <w:t>. Частка підприємств машинобудівної галузі, зайнятих зовнішньоекономічною діяльністю</w:t>
      </w:r>
    </w:p>
    <w:p w:rsidR="00310D66" w:rsidRDefault="00310D66" w:rsidP="00AC666D">
      <w:pPr>
        <w:pStyle w:val="a5"/>
        <w:rPr>
          <w:lang w:val="en-US"/>
        </w:rPr>
      </w:pPr>
    </w:p>
    <w:p w:rsidR="00AC666D" w:rsidRDefault="00AC666D" w:rsidP="00AC666D">
      <w:pPr>
        <w:pStyle w:val="a5"/>
      </w:pPr>
      <w:r>
        <w:t>Галузь машинобудування в Україні розвивається випереджальними темпами, що, насамперед, визначається зростанням як внутрішнього, так і зовнішнього попиту на продукцію вітчизняних виробників. Пріоритетний розвиток машинобудівних підприємств, які є основою для економічного зростання країни, визначає жорсткі вимоги до якості управлінської стратегії, наслідки якої можуть мати велике значення як для підприємств, так і для економіки в цілому. Таким чином, виникає потреба в аналізі проблем, пов’язаних з управлінням всіх процесів ефективного функціонування з метою покращення економічного потенціалу як окремих машинобудівних підприємств, так і держави в цілому.</w:t>
      </w:r>
    </w:p>
    <w:p w:rsidR="00AC666D" w:rsidRDefault="00AC666D" w:rsidP="00AC666D">
      <w:pPr>
        <w:pStyle w:val="a5"/>
        <w:rPr>
          <w:color w:val="000000"/>
        </w:rPr>
      </w:pPr>
      <w:r>
        <w:t xml:space="preserve">Відомо, що на розвиток ЗЕД промислових підприємств мають вплив чинники, які носять як зовнішній, так і внутрішній характер. До складних умов функціонування підприємств машинобудівної галузі призвели об’єктивні причини, пов’язані з існуванням чинників, на які підприємство немає </w:t>
      </w:r>
      <w:r>
        <w:lastRenderedPageBreak/>
        <w:t>можливості вплинути, а може тільки спрогнозувати їх безпосередній вплив на свою діяльність</w:t>
      </w:r>
      <w:r w:rsidRPr="005044C5">
        <w:t xml:space="preserve"> </w:t>
      </w:r>
      <w:r w:rsidR="00AD42C5">
        <w:t xml:space="preserve">(рис. </w:t>
      </w:r>
      <w:r w:rsidR="00D46F89">
        <w:t>1.</w:t>
      </w:r>
      <w:r w:rsidR="00AD42C5">
        <w:t>4</w:t>
      </w:r>
      <w:r>
        <w:t xml:space="preserve">). </w:t>
      </w:r>
    </w:p>
    <w:p w:rsidR="00AC666D" w:rsidRDefault="00AC666D" w:rsidP="00AC666D">
      <w:pPr>
        <w:pStyle w:val="a5"/>
        <w:ind w:firstLine="0"/>
        <w:jc w:val="center"/>
      </w:pPr>
      <w:r>
        <w:rPr>
          <w:noProof/>
          <w:lang w:val="ru-RU"/>
        </w:rPr>
        <w:drawing>
          <wp:inline distT="0" distB="0" distL="0" distR="0">
            <wp:extent cx="6012815" cy="4312920"/>
            <wp:effectExtent l="0" t="0" r="0" b="0"/>
            <wp:docPr id="5" name="Диаграмма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AD42C5" w:rsidP="00AC666D">
      <w:pPr>
        <w:pStyle w:val="ab"/>
        <w:ind w:firstLine="900"/>
        <w:jc w:val="both"/>
      </w:pPr>
      <w:r>
        <w:t xml:space="preserve">Рис. </w:t>
      </w:r>
      <w:r w:rsidR="00D46F89">
        <w:t>1.</w:t>
      </w:r>
      <w:r>
        <w:t>4</w:t>
      </w:r>
      <w:r w:rsidR="00AC666D">
        <w:t>. Динаміка впливу основних чинників на розвиток машинобудівних підприємств Хмельницької області</w:t>
      </w:r>
    </w:p>
    <w:p w:rsidR="00310D66" w:rsidRPr="00250C72" w:rsidRDefault="00310D66" w:rsidP="00AC666D">
      <w:pPr>
        <w:pStyle w:val="a5"/>
        <w:rPr>
          <w:lang w:val="ru-RU"/>
        </w:rPr>
      </w:pPr>
    </w:p>
    <w:p w:rsidR="00AC666D" w:rsidRDefault="00AC666D" w:rsidP="00AC666D">
      <w:pPr>
        <w:pStyle w:val="a5"/>
        <w:rPr>
          <w:color w:val="000000"/>
        </w:rPr>
      </w:pPr>
      <w:r>
        <w:t>В проведеному анкетуванні автор досліджує ці чинники та визначає ступінь їх впливу. За результатами дослідження визначимо, що негативно</w:t>
      </w:r>
      <w:r>
        <w:rPr>
          <w:color w:val="000000"/>
        </w:rPr>
        <w:t xml:space="preserve"> на розвиток машинобудівних підприємств Хмельниччини впливають такі зовнішні фактори як</w:t>
      </w:r>
      <w:r>
        <w:t>: кредитна політика комерційних банків, політична ситуація в країні</w:t>
      </w:r>
      <w:r>
        <w:rPr>
          <w:color w:val="000000"/>
        </w:rPr>
        <w:t xml:space="preserve">, часта зміна законодавства, </w:t>
      </w:r>
      <w:r>
        <w:t>рівень та зміни тарифів на енергоносії. Рішення органів місцевого самоврядування та облдержадміністрації в більшості випадків не мають особливого впливу на розвиток ЗЕД галузі області. Найбільший позитивний вплив на розвиток машинобудівних підприємств має зміна форм зовнішньої діяльності</w:t>
      </w:r>
      <w:r>
        <w:rPr>
          <w:color w:val="000000"/>
        </w:rPr>
        <w:t>.</w:t>
      </w:r>
    </w:p>
    <w:p w:rsidR="00AC666D" w:rsidRDefault="00AC666D" w:rsidP="00AC666D">
      <w:r>
        <w:lastRenderedPageBreak/>
        <w:t>Наше дослідження також торкнулося основних чинників, які безпосередньо пов’язані з підприємством і носять внутрішній ха</w:t>
      </w:r>
      <w:r w:rsidR="00AD42C5">
        <w:t xml:space="preserve">рактер (рис. </w:t>
      </w:r>
      <w:r w:rsidR="00D46F89">
        <w:t>1.</w:t>
      </w:r>
      <w:r w:rsidR="00AD42C5">
        <w:t>5</w:t>
      </w:r>
      <w:r>
        <w:t xml:space="preserve">). </w:t>
      </w:r>
    </w:p>
    <w:p w:rsidR="00AC666D" w:rsidRDefault="00AC666D" w:rsidP="00AC666D">
      <w:pPr>
        <w:pStyle w:val="af3"/>
        <w:spacing w:line="360" w:lineRule="auto"/>
      </w:pPr>
      <w:r>
        <w:rPr>
          <w:noProof/>
          <w:lang w:val="ru-RU"/>
        </w:rPr>
        <w:drawing>
          <wp:inline distT="0" distB="0" distL="0" distR="0">
            <wp:extent cx="5917565" cy="2182495"/>
            <wp:effectExtent l="0" t="0" r="0" b="0"/>
            <wp:docPr id="4" name="Диаграмма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C666D" w:rsidRPr="003B6C5D" w:rsidRDefault="00AC666D" w:rsidP="00AC666D">
      <w:pPr>
        <w:pStyle w:val="af3"/>
        <w:spacing w:line="360" w:lineRule="auto"/>
        <w:ind w:firstLine="900"/>
        <w:jc w:val="both"/>
        <w:rPr>
          <w:sz w:val="10"/>
          <w:szCs w:val="10"/>
        </w:rPr>
      </w:pPr>
    </w:p>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AD42C5" w:rsidP="00AC666D">
      <w:pPr>
        <w:pStyle w:val="af3"/>
        <w:spacing w:line="360" w:lineRule="auto"/>
        <w:ind w:firstLine="900"/>
        <w:jc w:val="both"/>
      </w:pPr>
      <w:r>
        <w:t xml:space="preserve">Рис. </w:t>
      </w:r>
      <w:r w:rsidR="00D46F89">
        <w:t>1.</w:t>
      </w:r>
      <w:r>
        <w:t>5</w:t>
      </w:r>
      <w:r w:rsidR="00AC666D">
        <w:t>. Основні перешкоди для здійснення зовнішньоекономічної діяльності машинобудівних підприємств Хмельницької області</w:t>
      </w:r>
    </w:p>
    <w:p w:rsidR="00AC666D" w:rsidRDefault="00AC666D" w:rsidP="00AC666D">
      <w:pPr>
        <w:pStyle w:val="af3"/>
        <w:spacing w:line="360" w:lineRule="auto"/>
        <w:ind w:firstLine="900"/>
        <w:jc w:val="both"/>
      </w:pPr>
    </w:p>
    <w:p w:rsidR="00AC666D" w:rsidRDefault="00AC666D" w:rsidP="00AC666D">
      <w:r>
        <w:t xml:space="preserve">Серед найважливіших перешкод для здійснення зовнішньоекономічної діяльності машинобудівної галузі Хмельниччини були визначені дві групи за питомою вагою, а саме: </w:t>
      </w:r>
    </w:p>
    <w:p w:rsidR="00AC666D" w:rsidRDefault="00AC666D" w:rsidP="00AC666D">
      <w:r>
        <w:t>1. Відсутність інформації про потенційні ринки збуту (16,9 %), складність процедури ЗЕД (19,8%), відсутність досвіду на підприємстві (12,8 %), відсутність інформації про потенційних конкурентів на ринку (12,8 %), відсутність ефективного механізму управління ЗЕД на підприємстві (11,4 %).</w:t>
      </w:r>
    </w:p>
    <w:p w:rsidR="00AC666D" w:rsidRDefault="00AC666D" w:rsidP="00AC666D">
      <w:r>
        <w:t>2. Сумніви у реальності здійснення ЗЕД (8,9 %), відсутність зацікавленості з боку держави (1,5 %), складність процедури відшкодування ПДВ (1,5 %), вимога змінити структуру управління.</w:t>
      </w:r>
    </w:p>
    <w:p w:rsidR="00AC666D" w:rsidRDefault="00AC666D" w:rsidP="00AC666D">
      <w:pPr>
        <w:rPr>
          <w:color w:val="000000"/>
        </w:rPr>
      </w:pPr>
      <w:r>
        <w:rPr>
          <w:color w:val="000000"/>
        </w:rPr>
        <w:t xml:space="preserve">Найбільшою перешкодою для збільшення обсягів виробництва машинобудівних підприємств є: неплатоспроможність споживачів, нестача кваліфікованих працівників та виробничих </w:t>
      </w:r>
      <w:proofErr w:type="spellStart"/>
      <w:r>
        <w:rPr>
          <w:color w:val="000000"/>
        </w:rPr>
        <w:t>потужностей</w:t>
      </w:r>
      <w:proofErr w:type="spellEnd"/>
      <w:r>
        <w:rPr>
          <w:color w:val="000000"/>
        </w:rPr>
        <w:t xml:space="preserve">, високі тарифи природних монополій. Найвагомішою перешкодою повноцінній роботі машинобудівного підприємства є, за оцінкою більшості фахівців, нестача </w:t>
      </w:r>
      <w:r>
        <w:rPr>
          <w:color w:val="000000"/>
        </w:rPr>
        <w:lastRenderedPageBreak/>
        <w:t xml:space="preserve">оборотних коштів, у тому числі вільних грошових коштів, що заважає провести реконструкцію і модернізацію основних фондів, придбати необхідну сировину, матеріали, досягнути високого рівня конкурентоспроможності продукції. </w:t>
      </w:r>
    </w:p>
    <w:p w:rsidR="00AC666D" w:rsidRDefault="00AC666D" w:rsidP="00AC666D">
      <w:pPr>
        <w:ind w:firstLine="709"/>
      </w:pPr>
      <w:r>
        <w:t xml:space="preserve">У нашому опитуванні ми намагалися визначити, які із перерахованих нами заходів найбільше застосовувались керівниками підприємств для підвищення ефективності виробництва, що графічно зображено на рис. </w:t>
      </w:r>
      <w:r w:rsidR="00D46F89">
        <w:t>1.</w:t>
      </w:r>
      <w:r w:rsidR="00121E83">
        <w:t>6</w:t>
      </w:r>
      <w:r>
        <w:t xml:space="preserve">. </w:t>
      </w:r>
    </w:p>
    <w:p w:rsidR="00AC666D" w:rsidRPr="003B6C5D" w:rsidRDefault="00AC666D" w:rsidP="00AC666D">
      <w:pPr>
        <w:ind w:firstLine="709"/>
        <w:rPr>
          <w:sz w:val="10"/>
          <w:szCs w:val="10"/>
        </w:rPr>
      </w:pPr>
    </w:p>
    <w:p w:rsidR="00AC666D" w:rsidRDefault="00AC666D" w:rsidP="00AC666D">
      <w:pPr>
        <w:ind w:firstLine="0"/>
        <w:jc w:val="center"/>
        <w:rPr>
          <w:color w:val="000000"/>
        </w:rPr>
      </w:pPr>
      <w:r>
        <w:rPr>
          <w:noProof/>
          <w:lang w:val="ru-RU"/>
        </w:rPr>
        <w:drawing>
          <wp:inline distT="0" distB="0" distL="0" distR="0">
            <wp:extent cx="5857240" cy="3631565"/>
            <wp:effectExtent l="0" t="0" r="0" b="0"/>
            <wp:docPr id="3"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121E83" w:rsidP="00AC666D">
      <w:pPr>
        <w:pStyle w:val="af1"/>
        <w:ind w:firstLine="720"/>
        <w:jc w:val="both"/>
        <w:rPr>
          <w:color w:val="000000"/>
        </w:rPr>
      </w:pPr>
      <w:r>
        <w:t xml:space="preserve">Рис. </w:t>
      </w:r>
      <w:r w:rsidR="00D46F89">
        <w:t>1.</w:t>
      </w:r>
      <w:r>
        <w:t>6</w:t>
      </w:r>
      <w:r w:rsidR="00AC666D">
        <w:t xml:space="preserve">. Розподіл заходів </w:t>
      </w:r>
      <w:r w:rsidR="00AC666D">
        <w:rPr>
          <w:color w:val="000000"/>
        </w:rPr>
        <w:t>покращання ефективності виробництва на машинобудівних підприємствах Хмельницької області</w:t>
      </w:r>
    </w:p>
    <w:p w:rsidR="00AC666D" w:rsidRPr="00250C72" w:rsidRDefault="00AC666D" w:rsidP="00AC666D">
      <w:pPr>
        <w:pStyle w:val="af1"/>
        <w:ind w:firstLine="720"/>
        <w:jc w:val="both"/>
        <w:rPr>
          <w:color w:val="000000"/>
          <w:sz w:val="10"/>
          <w:szCs w:val="10"/>
          <w:lang w:val="ru-RU"/>
        </w:rPr>
      </w:pPr>
    </w:p>
    <w:p w:rsidR="00310D66" w:rsidRPr="00250C72" w:rsidRDefault="00310D66" w:rsidP="00AC666D">
      <w:pPr>
        <w:pStyle w:val="af1"/>
        <w:ind w:firstLine="720"/>
        <w:jc w:val="both"/>
        <w:rPr>
          <w:color w:val="000000"/>
          <w:sz w:val="10"/>
          <w:szCs w:val="10"/>
          <w:lang w:val="ru-RU"/>
        </w:rPr>
      </w:pPr>
    </w:p>
    <w:p w:rsidR="00AC666D" w:rsidRDefault="00AC666D" w:rsidP="00AC666D">
      <w:pPr>
        <w:ind w:firstLine="709"/>
      </w:pPr>
      <w:r>
        <w:t>Серед заходів покращання процесу виробництва керівники підприємств застосовують такі: реструктуризація (9,4 %</w:t>
      </w:r>
      <w:r>
        <w:rPr>
          <w:color w:val="000000"/>
        </w:rPr>
        <w:t xml:space="preserve"> опитаних</w:t>
      </w:r>
      <w:r>
        <w:t>), реорганізація управлінської діяльності (18,7 %</w:t>
      </w:r>
      <w:r>
        <w:rPr>
          <w:color w:val="000000"/>
        </w:rPr>
        <w:t xml:space="preserve"> респондентів</w:t>
      </w:r>
      <w:r>
        <w:t>); оптимізація виробничого процесу (26,6 %</w:t>
      </w:r>
      <w:r>
        <w:rPr>
          <w:color w:val="000000"/>
        </w:rPr>
        <w:t xml:space="preserve"> опитаних</w:t>
      </w:r>
      <w:r>
        <w:t>); введення інновацій (7,8 %</w:t>
      </w:r>
      <w:r>
        <w:rPr>
          <w:color w:val="000000"/>
        </w:rPr>
        <w:t xml:space="preserve"> респондентів</w:t>
      </w:r>
      <w:r>
        <w:t>); залучення інвестицій (7,8 %</w:t>
      </w:r>
      <w:r>
        <w:rPr>
          <w:color w:val="000000"/>
        </w:rPr>
        <w:t xml:space="preserve"> опитаних</w:t>
      </w:r>
      <w:r>
        <w:t>); санація (6,3 %</w:t>
      </w:r>
      <w:r>
        <w:rPr>
          <w:color w:val="000000"/>
        </w:rPr>
        <w:t xml:space="preserve"> опитаних респондентів</w:t>
      </w:r>
      <w:r>
        <w:t>); скорочення працівників (12,5 %</w:t>
      </w:r>
      <w:r>
        <w:rPr>
          <w:color w:val="000000"/>
        </w:rPr>
        <w:t xml:space="preserve"> респондентів</w:t>
      </w:r>
      <w:r>
        <w:t>); передача місцевим органам влади соціальної інфраструктури підприємства (10,9 %</w:t>
      </w:r>
      <w:r>
        <w:rPr>
          <w:color w:val="000000"/>
        </w:rPr>
        <w:t xml:space="preserve"> респондентів</w:t>
      </w:r>
      <w:r>
        <w:t xml:space="preserve">). </w:t>
      </w:r>
    </w:p>
    <w:p w:rsidR="00AC666D" w:rsidRPr="00250C72" w:rsidRDefault="00AC666D" w:rsidP="00AC666D">
      <w:pPr>
        <w:rPr>
          <w:lang w:val="ru-RU"/>
        </w:rPr>
      </w:pPr>
      <w:r>
        <w:lastRenderedPageBreak/>
        <w:t>Для того, щоб зрозуміти, на якому етапі розвитку знаходиться зовнішньоекономічна діяльність машинобудівної галузі області, необхідно проаналізувати, яку частку свого прибутку підприємці направляють на розвиток цієї діяльності. На це запитання, були отримані наступні відповіді: до 10 % (46,2 %</w:t>
      </w:r>
      <w:r>
        <w:rPr>
          <w:color w:val="000000"/>
        </w:rPr>
        <w:t xml:space="preserve"> опитаних</w:t>
      </w:r>
      <w:r>
        <w:t>)</w:t>
      </w:r>
      <w:r>
        <w:rPr>
          <w:color w:val="000000"/>
        </w:rPr>
        <w:t>,</w:t>
      </w:r>
      <w:r>
        <w:t xml:space="preserve"> 10-49 % (30,8 %</w:t>
      </w:r>
      <w:r>
        <w:rPr>
          <w:color w:val="000000"/>
        </w:rPr>
        <w:t xml:space="preserve"> опитаних</w:t>
      </w:r>
      <w:r>
        <w:t>)</w:t>
      </w:r>
      <w:r>
        <w:rPr>
          <w:color w:val="000000"/>
        </w:rPr>
        <w:t>,</w:t>
      </w:r>
      <w:r>
        <w:t xml:space="preserve"> 50-75 % (23,0 %</w:t>
      </w:r>
      <w:r>
        <w:rPr>
          <w:color w:val="000000"/>
        </w:rPr>
        <w:t xml:space="preserve"> опитаних</w:t>
      </w:r>
      <w:r w:rsidR="00121E83">
        <w:t xml:space="preserve">) (рис. </w:t>
      </w:r>
      <w:r w:rsidR="00D46F89">
        <w:t>1.</w:t>
      </w:r>
      <w:r w:rsidR="00121E83">
        <w:t>7</w:t>
      </w:r>
      <w:r>
        <w:t>). На окремих підприємствах частка прибутку, що направляється на зовнішньоекономічну діяльність залежить від обсягу виготовленої продукції. Як бачимо, більше 75% від отриманих прибутків не направило жодне підприємство, основною причиною такої ситуації є те, що підприємства працюють зі збитками або наближаються до збитковості.</w:t>
      </w:r>
    </w:p>
    <w:p w:rsidR="00310D66" w:rsidRPr="00250C72" w:rsidRDefault="00310D66" w:rsidP="00AC666D">
      <w:pPr>
        <w:rPr>
          <w:lang w:val="ru-RU"/>
        </w:rPr>
      </w:pPr>
    </w:p>
    <w:p w:rsidR="00AC666D" w:rsidRDefault="00AC666D" w:rsidP="00AC666D">
      <w:pPr>
        <w:pStyle w:val="af1"/>
      </w:pPr>
      <w:r>
        <w:rPr>
          <w:noProof/>
          <w:lang w:val="ru-RU"/>
        </w:rPr>
        <w:drawing>
          <wp:inline distT="0" distB="0" distL="0" distR="0">
            <wp:extent cx="5986780" cy="1630680"/>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C666D" w:rsidRPr="003B6C5D" w:rsidRDefault="00AC666D" w:rsidP="00AC666D">
      <w:pPr>
        <w:pStyle w:val="af1"/>
        <w:ind w:firstLine="900"/>
        <w:jc w:val="both"/>
        <w:rPr>
          <w:iCs w:val="0"/>
          <w:sz w:val="10"/>
          <w:szCs w:val="10"/>
        </w:rPr>
      </w:pPr>
    </w:p>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121E83" w:rsidP="00AC666D">
      <w:pPr>
        <w:pStyle w:val="af1"/>
        <w:ind w:firstLine="900"/>
        <w:jc w:val="both"/>
        <w:rPr>
          <w:iCs w:val="0"/>
        </w:rPr>
      </w:pPr>
      <w:r>
        <w:rPr>
          <w:iCs w:val="0"/>
        </w:rPr>
        <w:t xml:space="preserve">Рис. </w:t>
      </w:r>
      <w:r w:rsidR="00D46F89">
        <w:rPr>
          <w:iCs w:val="0"/>
        </w:rPr>
        <w:t>1.</w:t>
      </w:r>
      <w:r>
        <w:rPr>
          <w:iCs w:val="0"/>
        </w:rPr>
        <w:t>7</w:t>
      </w:r>
      <w:r w:rsidR="00AC666D">
        <w:rPr>
          <w:iCs w:val="0"/>
        </w:rPr>
        <w:t xml:space="preserve">. Динаміка розподілу прибутку для розвитку зовнішньоекономічної діяльності </w:t>
      </w:r>
    </w:p>
    <w:p w:rsidR="00AC666D" w:rsidRPr="003B6C5D" w:rsidRDefault="00AC666D" w:rsidP="00AC666D">
      <w:pPr>
        <w:pStyle w:val="af1"/>
        <w:ind w:firstLine="900"/>
        <w:jc w:val="both"/>
        <w:rPr>
          <w:sz w:val="10"/>
          <w:szCs w:val="10"/>
        </w:rPr>
      </w:pPr>
    </w:p>
    <w:p w:rsidR="00310D66" w:rsidRPr="00250C72" w:rsidRDefault="00310D66" w:rsidP="00AC666D">
      <w:pPr>
        <w:rPr>
          <w:color w:val="000000"/>
          <w:lang w:val="ru-RU"/>
        </w:rPr>
      </w:pPr>
    </w:p>
    <w:p w:rsidR="00AC666D" w:rsidRDefault="00AC666D" w:rsidP="00AC666D">
      <w:pPr>
        <w:rPr>
          <w:color w:val="000000"/>
          <w:lang w:val="en-US"/>
        </w:rPr>
      </w:pPr>
      <w:r>
        <w:rPr>
          <w:color w:val="000000"/>
        </w:rPr>
        <w:t>Однією з найбільших проблем для машинобудівних підприємств регіону є нестача власних ресурсів для повного забезпечення своєї діяльності, що у свою чергу стримує розвиток зовнішньое</w:t>
      </w:r>
      <w:r w:rsidR="00121E83">
        <w:rPr>
          <w:color w:val="000000"/>
        </w:rPr>
        <w:t xml:space="preserve">кономічної діяльності (рис. </w:t>
      </w:r>
      <w:r w:rsidR="00D46F89">
        <w:rPr>
          <w:color w:val="000000"/>
        </w:rPr>
        <w:t>1.</w:t>
      </w:r>
      <w:r w:rsidR="00121E83">
        <w:rPr>
          <w:color w:val="000000"/>
        </w:rPr>
        <w:t>8</w:t>
      </w:r>
      <w:r>
        <w:rPr>
          <w:color w:val="000000"/>
        </w:rPr>
        <w:t xml:space="preserve">). Майже половина (41,4 % опитаних) респондентів відповіли, що їм потрібно більше 500 тис. </w:t>
      </w:r>
      <w:proofErr w:type="spellStart"/>
      <w:r>
        <w:rPr>
          <w:color w:val="000000"/>
        </w:rPr>
        <w:t>дол</w:t>
      </w:r>
      <w:proofErr w:type="spellEnd"/>
      <w:r>
        <w:rPr>
          <w:color w:val="000000"/>
        </w:rPr>
        <w:t>. США для покращення своєї ділової активності.</w:t>
      </w:r>
    </w:p>
    <w:p w:rsidR="00AC666D" w:rsidRPr="003B6C5D" w:rsidRDefault="00AC666D" w:rsidP="00AC666D">
      <w:pPr>
        <w:rPr>
          <w:color w:val="000000"/>
          <w:sz w:val="10"/>
          <w:szCs w:val="10"/>
        </w:rPr>
      </w:pPr>
    </w:p>
    <w:p w:rsidR="00AC666D" w:rsidRDefault="00AC666D" w:rsidP="00AC666D">
      <w:pPr>
        <w:ind w:firstLine="0"/>
        <w:jc w:val="center"/>
        <w:rPr>
          <w:color w:val="000000"/>
        </w:rPr>
      </w:pPr>
      <w:r>
        <w:rPr>
          <w:noProof/>
          <w:lang w:val="ru-RU"/>
        </w:rPr>
        <w:lastRenderedPageBreak/>
        <w:drawing>
          <wp:inline distT="0" distB="0" distL="0" distR="0">
            <wp:extent cx="5909310" cy="1449070"/>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121E83" w:rsidP="00AC666D">
      <w:pPr>
        <w:pStyle w:val="af1"/>
        <w:ind w:firstLine="720"/>
        <w:jc w:val="both"/>
      </w:pPr>
      <w:r>
        <w:rPr>
          <w:color w:val="000000"/>
        </w:rPr>
        <w:t xml:space="preserve">Рис. </w:t>
      </w:r>
      <w:r w:rsidR="00D46F89">
        <w:rPr>
          <w:color w:val="000000"/>
        </w:rPr>
        <w:t>1.</w:t>
      </w:r>
      <w:r>
        <w:rPr>
          <w:color w:val="000000"/>
        </w:rPr>
        <w:t>8</w:t>
      </w:r>
      <w:r w:rsidR="00AC666D">
        <w:rPr>
          <w:color w:val="000000"/>
        </w:rPr>
        <w:t xml:space="preserve">. Розподіл відповідей респондентів щодо </w:t>
      </w:r>
      <w:r w:rsidR="00AC666D">
        <w:t>необхідної величини ресурсів для розвитку ЗЕД машинобудівних підприємств регіону</w:t>
      </w:r>
    </w:p>
    <w:p w:rsidR="00AC666D" w:rsidRPr="003B6C5D" w:rsidRDefault="00AC666D" w:rsidP="00AC666D">
      <w:pPr>
        <w:ind w:firstLine="709"/>
        <w:rPr>
          <w:color w:val="000000"/>
          <w:sz w:val="10"/>
          <w:szCs w:val="10"/>
        </w:rPr>
      </w:pPr>
    </w:p>
    <w:p w:rsidR="000A40B9" w:rsidRDefault="000A40B9" w:rsidP="00AC666D">
      <w:pPr>
        <w:ind w:firstLine="709"/>
        <w:rPr>
          <w:color w:val="000000"/>
        </w:rPr>
      </w:pPr>
    </w:p>
    <w:p w:rsidR="00AC666D" w:rsidRDefault="00AC666D" w:rsidP="00AC666D">
      <w:pPr>
        <w:ind w:firstLine="709"/>
        <w:rPr>
          <w:color w:val="000000"/>
        </w:rPr>
      </w:pPr>
      <w:r>
        <w:rPr>
          <w:color w:val="000000"/>
        </w:rPr>
        <w:t>Факторами, що обмежують розвиток зовнішньоекономічної діяльності в області, виступили: нестача власних коштів, високі ставки по кредитах</w:t>
      </w:r>
      <w:r w:rsidR="00310D66">
        <w:rPr>
          <w:color w:val="000000"/>
        </w:rPr>
        <w:t>, труднощі в отриманні кредиту</w:t>
      </w:r>
      <w:r w:rsidR="00310D66" w:rsidRPr="00310D66">
        <w:rPr>
          <w:color w:val="000000"/>
          <w:lang w:val="ru-RU"/>
        </w:rPr>
        <w:t xml:space="preserve"> </w:t>
      </w:r>
      <w:r>
        <w:rPr>
          <w:color w:val="000000"/>
        </w:rPr>
        <w:t>та високі ризики.</w:t>
      </w:r>
    </w:p>
    <w:p w:rsidR="00AC666D" w:rsidRDefault="00AC666D" w:rsidP="00AC666D">
      <w:pPr>
        <w:rPr>
          <w:color w:val="000000"/>
        </w:rPr>
      </w:pPr>
      <w:r>
        <w:rPr>
          <w:color w:val="000000"/>
        </w:rPr>
        <w:t>За результатами проведеного дослідження на машинобудівних підприємствах Хмельниччини, було визначено, що більше половини опитаних респондентів разом з використанням власних коштів підприємства не залучали зовнішні інвестиції (58,5%),</w:t>
      </w:r>
      <w:r>
        <w:t xml:space="preserve"> щодо іншої частки респондентів, то вони отримали державні інвестиції</w:t>
      </w:r>
      <w:r>
        <w:rPr>
          <w:color w:val="000000"/>
        </w:rPr>
        <w:t xml:space="preserve"> (10,4 % опитаних)</w:t>
      </w:r>
      <w:r>
        <w:t>; недержавні</w:t>
      </w:r>
      <w:r>
        <w:rPr>
          <w:color w:val="000000"/>
        </w:rPr>
        <w:t xml:space="preserve"> (20,7 % опитаних)</w:t>
      </w:r>
      <w:r>
        <w:t>; іноземні</w:t>
      </w:r>
      <w:r>
        <w:rPr>
          <w:color w:val="000000"/>
        </w:rPr>
        <w:t xml:space="preserve"> (10,4 % опитаних)</w:t>
      </w:r>
      <w:r>
        <w:t>.</w:t>
      </w:r>
    </w:p>
    <w:p w:rsidR="00AC666D" w:rsidRDefault="00AC666D" w:rsidP="00AC666D">
      <w:r>
        <w:rPr>
          <w:color w:val="000000"/>
        </w:rPr>
        <w:t xml:space="preserve">Значна частка керівників (69,6 % опитаних) взагалі не робила спроб щодо залучення інвестицій. Більшість респондентів вважають, що головний інтерес для іноземних інвесторів </w:t>
      </w:r>
      <w:r>
        <w:t>становить</w:t>
      </w:r>
      <w:r>
        <w:rPr>
          <w:color w:val="000000"/>
        </w:rPr>
        <w:t xml:space="preserve"> завоювання нових ринків. </w:t>
      </w:r>
      <w:r>
        <w:t>На думку респондентів привабливою формою залучення іноземних інвестицій є створення спільних підприємств у виробничій сфері (57,7 %).</w:t>
      </w:r>
    </w:p>
    <w:p w:rsidR="00AC666D" w:rsidRDefault="00AC666D" w:rsidP="00AC666D">
      <w:r>
        <w:t>Оптимальними джерелами для фінансування зовнішньоекономічної діяльності машинобудівних підприємств Хмельниччини, на думку респондентів, можуть бути: 29,7 % опитаних - довгострокові кредити під низькі відсотки за кредит; 23,4 % опитаних - іноземні інвестори; 14,1 % опитаних - державне фінансування; 12,5 % опитаних - міжнародні фінансово-кредитні інститути та інвестиційні фонди; 10,9% опитаних - національні фінансово-кредитні установи; 9,4% опи</w:t>
      </w:r>
      <w:r w:rsidR="00121E83">
        <w:t xml:space="preserve">таних - приватні особи (рис. </w:t>
      </w:r>
      <w:r w:rsidR="00D46F89">
        <w:t>1.</w:t>
      </w:r>
      <w:r w:rsidR="00121E83">
        <w:t>9</w:t>
      </w:r>
      <w:r>
        <w:t>).</w:t>
      </w:r>
    </w:p>
    <w:p w:rsidR="00AC666D" w:rsidRDefault="00AC666D" w:rsidP="00AC666D">
      <w:r>
        <w:rPr>
          <w:noProof/>
          <w:lang w:val="ru-RU"/>
        </w:rPr>
        <w:lastRenderedPageBreak/>
        <w:drawing>
          <wp:anchor distT="0" distB="0" distL="114300" distR="114300" simplePos="0" relativeHeight="251668480" behindDoc="0" locked="0" layoutInCell="1" allowOverlap="1">
            <wp:simplePos x="0" y="0"/>
            <wp:positionH relativeFrom="column">
              <wp:posOffset>114300</wp:posOffset>
            </wp:positionH>
            <wp:positionV relativeFrom="paragraph">
              <wp:posOffset>-13335</wp:posOffset>
            </wp:positionV>
            <wp:extent cx="5943600" cy="2056765"/>
            <wp:effectExtent l="3810" t="0" r="0" b="1270"/>
            <wp:wrapNone/>
            <wp:docPr id="11" name="Диаграмма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rsidR="00AC666D" w:rsidRDefault="00AC666D" w:rsidP="00AC666D"/>
    <w:p w:rsidR="00AC666D" w:rsidRDefault="00AC666D" w:rsidP="00AC666D"/>
    <w:p w:rsidR="00AC666D" w:rsidRDefault="00AC666D" w:rsidP="00AC666D"/>
    <w:p w:rsidR="00AC666D" w:rsidRDefault="00AC666D" w:rsidP="00AC666D"/>
    <w:p w:rsidR="00AC666D" w:rsidRDefault="00AC666D" w:rsidP="00AC666D"/>
    <w:p w:rsidR="00AC666D" w:rsidRDefault="00AC666D" w:rsidP="00AC666D">
      <w:pPr>
        <w:tabs>
          <w:tab w:val="left" w:pos="1350"/>
        </w:tabs>
        <w:jc w:val="center"/>
      </w:pPr>
    </w:p>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121E83" w:rsidP="00AC666D">
      <w:pPr>
        <w:tabs>
          <w:tab w:val="left" w:pos="1350"/>
        </w:tabs>
      </w:pPr>
      <w:r>
        <w:t xml:space="preserve">Рис. </w:t>
      </w:r>
      <w:r w:rsidR="00D46F89">
        <w:t>1.</w:t>
      </w:r>
      <w:r>
        <w:t>9</w:t>
      </w:r>
      <w:r w:rsidR="00AC666D">
        <w:t>. Джерела фінансування зовнішньоекономічної діяльності машинобудівної галузі Хмельниччини</w:t>
      </w:r>
    </w:p>
    <w:p w:rsidR="00AC666D" w:rsidRPr="00D46F89" w:rsidRDefault="00AC666D" w:rsidP="00AC666D">
      <w:pPr>
        <w:rPr>
          <w:lang w:val="ru-RU"/>
        </w:rPr>
      </w:pPr>
      <w:r>
        <w:t>Дослідження, яке було проведен</w:t>
      </w:r>
      <w:r w:rsidR="00121E83">
        <w:t>о нами у грудні 2021</w:t>
      </w:r>
      <w:r>
        <w:t xml:space="preserve"> року, показало, що всі підприємства машинобудівної галузі в області відчувають гостру потребу у висококваліфікованих кадрах та виробничому персоналі (100% опитаних). Така ситуація пояснюється тим, що сучасний ринок пропонує споживачам вдосконалену, постійно оновлену продукцію, на виготовлення якої необхідно великі грошові та інтелектуальні ресурси, яких у вітчизняних підприємств майже немає. У нашому досліджені ми намагалися визначити чи конкурентоспроможна продукція хмельницьких машинобудівних підприємств на світовому ринку</w:t>
      </w:r>
      <w:r>
        <w:rPr>
          <w:lang w:val="ru-RU"/>
        </w:rPr>
        <w:t xml:space="preserve">. </w:t>
      </w:r>
      <w:r>
        <w:t xml:space="preserve">Проаналізувавши відповіді керівників окремих підприємств, можна зазначити, що майже 70% респондентів вважають продукцію свого підприємства конкурентоспроможною </w:t>
      </w:r>
      <w:r w:rsidR="00121E83">
        <w:t xml:space="preserve">на зовнішньому ринку (рис. </w:t>
      </w:r>
      <w:r w:rsidR="00D46F89">
        <w:t>1.</w:t>
      </w:r>
      <w:r w:rsidR="00121E83">
        <w:t>10</w:t>
      </w:r>
      <w:r>
        <w:t>).</w:t>
      </w:r>
      <w:r>
        <w:rPr>
          <w:lang w:val="ru-RU"/>
        </w:rPr>
        <w:t xml:space="preserve"> </w:t>
      </w:r>
    </w:p>
    <w:p w:rsidR="00AC666D" w:rsidRDefault="00AC666D" w:rsidP="00AC666D">
      <w:pPr>
        <w:rPr>
          <w:lang w:val="ru-RU"/>
        </w:rPr>
      </w:pPr>
      <w:r>
        <w:rPr>
          <w:noProof/>
          <w:lang w:val="ru-RU"/>
        </w:rPr>
        <w:drawing>
          <wp:anchor distT="0" distB="0" distL="114300" distR="114300" simplePos="0" relativeHeight="251669504" behindDoc="0" locked="0" layoutInCell="1" allowOverlap="1">
            <wp:simplePos x="0" y="0"/>
            <wp:positionH relativeFrom="column">
              <wp:posOffset>342900</wp:posOffset>
            </wp:positionH>
            <wp:positionV relativeFrom="paragraph">
              <wp:posOffset>48260</wp:posOffset>
            </wp:positionV>
            <wp:extent cx="5715635" cy="1371600"/>
            <wp:effectExtent l="3810" t="0" r="0" b="1905"/>
            <wp:wrapNone/>
            <wp:docPr id="10" name="Диаграмма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rsidR="00AC666D" w:rsidRDefault="00AC666D" w:rsidP="00AC666D">
      <w:pPr>
        <w:rPr>
          <w:lang w:val="ru-RU"/>
        </w:rPr>
      </w:pPr>
    </w:p>
    <w:p w:rsidR="00AC666D" w:rsidRDefault="00AC666D" w:rsidP="00AC666D"/>
    <w:p w:rsidR="00AC666D" w:rsidRDefault="00AC666D" w:rsidP="00AC666D"/>
    <w:p w:rsidR="00AC666D" w:rsidRDefault="00AC666D" w:rsidP="00AC666D">
      <w:pPr>
        <w:jc w:val="center"/>
      </w:pPr>
    </w:p>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121E83" w:rsidP="00AC666D">
      <w:r>
        <w:t xml:space="preserve">Рис. </w:t>
      </w:r>
      <w:r w:rsidR="00D46F89">
        <w:t>1.</w:t>
      </w:r>
      <w:r>
        <w:t>10</w:t>
      </w:r>
      <w:r w:rsidR="00AC666D">
        <w:t>. Питома вага конкурентоспроможної продукції окремих підприємств Хмельниччини на світовому ринку</w:t>
      </w:r>
    </w:p>
    <w:p w:rsidR="00AC666D" w:rsidRPr="003B6C5D" w:rsidRDefault="00AC666D" w:rsidP="00AC666D">
      <w:pPr>
        <w:rPr>
          <w:sz w:val="10"/>
          <w:szCs w:val="10"/>
        </w:rPr>
      </w:pPr>
    </w:p>
    <w:p w:rsidR="00AC666D" w:rsidRDefault="00AC666D" w:rsidP="00AC666D">
      <w:r>
        <w:t>За результатами проведеного опитування було визначено, що основними шляхами активізації зовнішньоекономічної діяльності підприємств регіону є: розробка моделі зовнішньоекономічного розвитку області, створення сприятливих економічних умов, створення системи пільг та гарантій закордонним інвесторам, формування інвестиційного іміджу регіону, формування ефективної ринкової інфраструктури, розробка цільових проектів, що передбачають розвиток зовнішньоекономічної діяльності в пріоритетних галузях економіки, соціальній сфері та науці, на основі балансу інтересів учасників зовнішнього ринку та регіону, проведення зовнішньоекономічних конференцій, для доведення інформації про зовнішньоекономічні можливості</w:t>
      </w:r>
      <w:r w:rsidR="00121E83">
        <w:t xml:space="preserve"> області</w:t>
      </w:r>
      <w:r w:rsidR="00310D66">
        <w:t xml:space="preserve"> (табл. </w:t>
      </w:r>
      <w:r w:rsidR="00D46F89">
        <w:t>1.</w:t>
      </w:r>
      <w:r w:rsidR="00310D66">
        <w:t>4)</w:t>
      </w:r>
      <w:r w:rsidR="00121E83">
        <w:t xml:space="preserve">. </w:t>
      </w:r>
    </w:p>
    <w:p w:rsidR="00AC666D" w:rsidRPr="000D28AE" w:rsidRDefault="00121E83" w:rsidP="00AC666D">
      <w:pPr>
        <w:pStyle w:val="1"/>
        <w:rPr>
          <w:i/>
        </w:rPr>
      </w:pPr>
      <w:r>
        <w:rPr>
          <w:i/>
        </w:rPr>
        <w:t xml:space="preserve">Таблиця </w:t>
      </w:r>
      <w:r w:rsidR="00D46F89">
        <w:rPr>
          <w:i/>
        </w:rPr>
        <w:t>1.</w:t>
      </w:r>
      <w:r>
        <w:rPr>
          <w:i/>
        </w:rPr>
        <w:t>4</w:t>
      </w:r>
    </w:p>
    <w:p w:rsidR="00AC666D" w:rsidRPr="005A4441" w:rsidRDefault="00AC666D" w:rsidP="00AC666D">
      <w:pPr>
        <w:pStyle w:val="ab"/>
        <w:rPr>
          <w:b/>
        </w:rPr>
      </w:pPr>
      <w:r w:rsidRPr="005A4441">
        <w:rPr>
          <w:b/>
        </w:rPr>
        <w:t xml:space="preserve">Шляхи активізації </w:t>
      </w:r>
      <w:r>
        <w:rPr>
          <w:b/>
        </w:rPr>
        <w:t>зовнішньоекономічної діяльності</w:t>
      </w:r>
      <w:r w:rsidRPr="005A4441">
        <w:rPr>
          <w:b/>
        </w:rPr>
        <w:t xml:space="preserve"> машинобудівних підприємств регіону</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6"/>
        <w:gridCol w:w="6797"/>
        <w:gridCol w:w="1843"/>
      </w:tblGrid>
      <w:tr w:rsidR="00AC666D" w:rsidRPr="006D3C65" w:rsidTr="00250C72">
        <w:trPr>
          <w:jc w:val="center"/>
        </w:trPr>
        <w:tc>
          <w:tcPr>
            <w:tcW w:w="716" w:type="dxa"/>
          </w:tcPr>
          <w:p w:rsidR="00AC666D" w:rsidRPr="006D3C65" w:rsidRDefault="00AC666D" w:rsidP="00250C72">
            <w:pPr>
              <w:pStyle w:val="ac"/>
              <w:rPr>
                <w:sz w:val="26"/>
                <w:szCs w:val="26"/>
              </w:rPr>
            </w:pPr>
            <w:r w:rsidRPr="006D3C65">
              <w:rPr>
                <w:sz w:val="26"/>
                <w:szCs w:val="26"/>
              </w:rPr>
              <w:t>№</w:t>
            </w:r>
          </w:p>
          <w:p w:rsidR="00AC666D" w:rsidRPr="006D3C65" w:rsidRDefault="00AC666D" w:rsidP="00250C72">
            <w:pPr>
              <w:pStyle w:val="ac"/>
              <w:rPr>
                <w:sz w:val="26"/>
                <w:szCs w:val="26"/>
              </w:rPr>
            </w:pPr>
            <w:r w:rsidRPr="006D3C65">
              <w:rPr>
                <w:sz w:val="26"/>
                <w:szCs w:val="26"/>
              </w:rPr>
              <w:t>пор.</w:t>
            </w:r>
          </w:p>
        </w:tc>
        <w:tc>
          <w:tcPr>
            <w:tcW w:w="6797" w:type="dxa"/>
          </w:tcPr>
          <w:p w:rsidR="00AC666D" w:rsidRPr="006D3C65" w:rsidRDefault="00AC666D" w:rsidP="00250C72">
            <w:pPr>
              <w:pStyle w:val="ae"/>
              <w:rPr>
                <w:sz w:val="26"/>
                <w:szCs w:val="26"/>
              </w:rPr>
            </w:pPr>
          </w:p>
          <w:p w:rsidR="00AC666D" w:rsidRPr="006D3C65" w:rsidRDefault="00AC666D" w:rsidP="00250C72">
            <w:pPr>
              <w:pStyle w:val="ae"/>
              <w:rPr>
                <w:sz w:val="26"/>
                <w:szCs w:val="26"/>
              </w:rPr>
            </w:pPr>
            <w:r w:rsidRPr="006D3C65">
              <w:rPr>
                <w:sz w:val="26"/>
                <w:szCs w:val="26"/>
              </w:rPr>
              <w:t>Варіанти відповідей</w:t>
            </w:r>
          </w:p>
        </w:tc>
        <w:tc>
          <w:tcPr>
            <w:tcW w:w="1843" w:type="dxa"/>
          </w:tcPr>
          <w:p w:rsidR="00AC666D" w:rsidRPr="006D3C65" w:rsidRDefault="00AC666D" w:rsidP="00250C72">
            <w:pPr>
              <w:pStyle w:val="ac"/>
              <w:rPr>
                <w:sz w:val="26"/>
                <w:szCs w:val="26"/>
              </w:rPr>
            </w:pPr>
            <w:r w:rsidRPr="006D3C65">
              <w:rPr>
                <w:sz w:val="26"/>
                <w:szCs w:val="26"/>
              </w:rPr>
              <w:t>Ступінь значимості</w:t>
            </w:r>
          </w:p>
        </w:tc>
      </w:tr>
      <w:tr w:rsidR="00AC666D" w:rsidRPr="006D3C65" w:rsidTr="00250C72">
        <w:trPr>
          <w:trHeight w:val="341"/>
          <w:jc w:val="center"/>
        </w:trPr>
        <w:tc>
          <w:tcPr>
            <w:tcW w:w="716" w:type="dxa"/>
          </w:tcPr>
          <w:p w:rsidR="00AC666D" w:rsidRPr="006D3C65" w:rsidRDefault="00AC666D" w:rsidP="00250C72">
            <w:pPr>
              <w:pStyle w:val="14"/>
              <w:jc w:val="center"/>
              <w:rPr>
                <w:sz w:val="26"/>
                <w:szCs w:val="26"/>
              </w:rPr>
            </w:pPr>
            <w:r w:rsidRPr="006D3C65">
              <w:rPr>
                <w:sz w:val="26"/>
                <w:szCs w:val="26"/>
              </w:rPr>
              <w:t>1</w:t>
            </w:r>
          </w:p>
        </w:tc>
        <w:tc>
          <w:tcPr>
            <w:tcW w:w="6797" w:type="dxa"/>
          </w:tcPr>
          <w:p w:rsidR="00AC666D" w:rsidRPr="006D3C65" w:rsidRDefault="00AC666D" w:rsidP="00250C72">
            <w:pPr>
              <w:pStyle w:val="14"/>
              <w:jc w:val="both"/>
              <w:rPr>
                <w:sz w:val="26"/>
                <w:szCs w:val="26"/>
              </w:rPr>
            </w:pPr>
            <w:r w:rsidRPr="006D3C65">
              <w:rPr>
                <w:sz w:val="26"/>
                <w:szCs w:val="26"/>
              </w:rPr>
              <w:t>Створення сприятливих економічних умов</w:t>
            </w:r>
          </w:p>
        </w:tc>
        <w:tc>
          <w:tcPr>
            <w:tcW w:w="1843" w:type="dxa"/>
          </w:tcPr>
          <w:p w:rsidR="00AC666D" w:rsidRPr="006D3C65" w:rsidRDefault="00AC666D" w:rsidP="00250C72">
            <w:pPr>
              <w:pStyle w:val="ac"/>
              <w:rPr>
                <w:sz w:val="26"/>
                <w:szCs w:val="26"/>
              </w:rPr>
            </w:pPr>
            <w:r w:rsidRPr="006D3C65">
              <w:rPr>
                <w:sz w:val="26"/>
                <w:szCs w:val="26"/>
              </w:rPr>
              <w:t>1</w:t>
            </w:r>
          </w:p>
        </w:tc>
      </w:tr>
      <w:tr w:rsidR="00AC666D" w:rsidRPr="006D3C65" w:rsidTr="00250C72">
        <w:trPr>
          <w:trHeight w:val="405"/>
          <w:jc w:val="center"/>
        </w:trPr>
        <w:tc>
          <w:tcPr>
            <w:tcW w:w="716" w:type="dxa"/>
          </w:tcPr>
          <w:p w:rsidR="00AC666D" w:rsidRPr="006D3C65" w:rsidRDefault="00AC666D" w:rsidP="00250C72">
            <w:pPr>
              <w:pStyle w:val="14"/>
              <w:jc w:val="center"/>
              <w:rPr>
                <w:sz w:val="26"/>
                <w:szCs w:val="26"/>
              </w:rPr>
            </w:pPr>
            <w:r w:rsidRPr="006D3C65">
              <w:rPr>
                <w:sz w:val="26"/>
                <w:szCs w:val="26"/>
              </w:rPr>
              <w:t>2</w:t>
            </w:r>
          </w:p>
        </w:tc>
        <w:tc>
          <w:tcPr>
            <w:tcW w:w="6797" w:type="dxa"/>
          </w:tcPr>
          <w:p w:rsidR="00AC666D" w:rsidRPr="006D3C65" w:rsidRDefault="00AC666D" w:rsidP="00250C72">
            <w:pPr>
              <w:pStyle w:val="14"/>
              <w:jc w:val="both"/>
              <w:rPr>
                <w:sz w:val="26"/>
                <w:szCs w:val="26"/>
              </w:rPr>
            </w:pPr>
            <w:r w:rsidRPr="006D3C65">
              <w:rPr>
                <w:color w:val="000000"/>
                <w:sz w:val="26"/>
                <w:szCs w:val="26"/>
              </w:rPr>
              <w:t>Формування ефективної ринкової інфраструктури</w:t>
            </w:r>
          </w:p>
        </w:tc>
        <w:tc>
          <w:tcPr>
            <w:tcW w:w="1843" w:type="dxa"/>
          </w:tcPr>
          <w:p w:rsidR="00AC666D" w:rsidRPr="006D3C65" w:rsidRDefault="00AC666D" w:rsidP="00250C72">
            <w:pPr>
              <w:pStyle w:val="ac"/>
              <w:rPr>
                <w:sz w:val="26"/>
                <w:szCs w:val="26"/>
              </w:rPr>
            </w:pPr>
            <w:r w:rsidRPr="006D3C65">
              <w:rPr>
                <w:sz w:val="26"/>
                <w:szCs w:val="26"/>
              </w:rPr>
              <w:t>2</w:t>
            </w:r>
          </w:p>
        </w:tc>
      </w:tr>
      <w:tr w:rsidR="00AC666D" w:rsidRPr="006D3C65" w:rsidTr="00250C72">
        <w:trPr>
          <w:trHeight w:val="345"/>
          <w:jc w:val="center"/>
        </w:trPr>
        <w:tc>
          <w:tcPr>
            <w:tcW w:w="716" w:type="dxa"/>
          </w:tcPr>
          <w:p w:rsidR="00AC666D" w:rsidRPr="006D3C65" w:rsidRDefault="00AC666D" w:rsidP="00250C72">
            <w:pPr>
              <w:pStyle w:val="14"/>
              <w:jc w:val="center"/>
              <w:rPr>
                <w:sz w:val="26"/>
                <w:szCs w:val="26"/>
              </w:rPr>
            </w:pPr>
            <w:r w:rsidRPr="006D3C65">
              <w:rPr>
                <w:sz w:val="26"/>
                <w:szCs w:val="26"/>
              </w:rPr>
              <w:t>3</w:t>
            </w:r>
          </w:p>
        </w:tc>
        <w:tc>
          <w:tcPr>
            <w:tcW w:w="6797" w:type="dxa"/>
          </w:tcPr>
          <w:p w:rsidR="00AC666D" w:rsidRPr="006D3C65" w:rsidRDefault="00AC666D" w:rsidP="00250C72">
            <w:pPr>
              <w:pStyle w:val="14"/>
              <w:jc w:val="both"/>
              <w:rPr>
                <w:sz w:val="26"/>
                <w:szCs w:val="26"/>
              </w:rPr>
            </w:pPr>
            <w:r w:rsidRPr="006D3C65">
              <w:rPr>
                <w:sz w:val="26"/>
                <w:szCs w:val="26"/>
              </w:rPr>
              <w:t>Формування інвестиційного іміджу регіону</w:t>
            </w:r>
          </w:p>
        </w:tc>
        <w:tc>
          <w:tcPr>
            <w:tcW w:w="1843" w:type="dxa"/>
          </w:tcPr>
          <w:p w:rsidR="00AC666D" w:rsidRPr="006D3C65" w:rsidRDefault="00AC666D" w:rsidP="00250C72">
            <w:pPr>
              <w:pStyle w:val="ac"/>
              <w:rPr>
                <w:sz w:val="26"/>
                <w:szCs w:val="26"/>
              </w:rPr>
            </w:pPr>
            <w:r w:rsidRPr="006D3C65">
              <w:rPr>
                <w:sz w:val="26"/>
                <w:szCs w:val="26"/>
              </w:rPr>
              <w:t>3</w:t>
            </w:r>
          </w:p>
        </w:tc>
      </w:tr>
      <w:tr w:rsidR="00AC666D" w:rsidRPr="006D3C65" w:rsidTr="00250C72">
        <w:trPr>
          <w:trHeight w:val="423"/>
          <w:jc w:val="center"/>
        </w:trPr>
        <w:tc>
          <w:tcPr>
            <w:tcW w:w="716" w:type="dxa"/>
          </w:tcPr>
          <w:p w:rsidR="00AC666D" w:rsidRPr="006D3C65" w:rsidRDefault="00AC666D" w:rsidP="00250C72">
            <w:pPr>
              <w:pStyle w:val="14"/>
              <w:jc w:val="center"/>
              <w:rPr>
                <w:sz w:val="26"/>
                <w:szCs w:val="26"/>
              </w:rPr>
            </w:pPr>
            <w:r w:rsidRPr="006D3C65">
              <w:rPr>
                <w:sz w:val="26"/>
                <w:szCs w:val="26"/>
              </w:rPr>
              <w:t>4</w:t>
            </w:r>
          </w:p>
        </w:tc>
        <w:tc>
          <w:tcPr>
            <w:tcW w:w="6797" w:type="dxa"/>
          </w:tcPr>
          <w:p w:rsidR="00AC666D" w:rsidRPr="006D3C65" w:rsidRDefault="00AC666D" w:rsidP="00250C72">
            <w:pPr>
              <w:pStyle w:val="14"/>
              <w:jc w:val="both"/>
              <w:rPr>
                <w:sz w:val="26"/>
                <w:szCs w:val="26"/>
              </w:rPr>
            </w:pPr>
            <w:r w:rsidRPr="006D3C65">
              <w:rPr>
                <w:sz w:val="26"/>
                <w:szCs w:val="26"/>
              </w:rPr>
              <w:t>Розроблення цільових проектів, що передбачають розвиток ЗЕД в пріоритетних галузях економіки</w:t>
            </w:r>
          </w:p>
        </w:tc>
        <w:tc>
          <w:tcPr>
            <w:tcW w:w="1843" w:type="dxa"/>
          </w:tcPr>
          <w:p w:rsidR="00AC666D" w:rsidRPr="006D3C65" w:rsidRDefault="00AC666D" w:rsidP="00250C72">
            <w:pPr>
              <w:pStyle w:val="ac"/>
              <w:rPr>
                <w:sz w:val="26"/>
                <w:szCs w:val="26"/>
              </w:rPr>
            </w:pPr>
            <w:r w:rsidRPr="006D3C65">
              <w:rPr>
                <w:sz w:val="26"/>
                <w:szCs w:val="26"/>
              </w:rPr>
              <w:t>4</w:t>
            </w:r>
          </w:p>
        </w:tc>
      </w:tr>
      <w:tr w:rsidR="00AC666D" w:rsidRPr="006D3C65" w:rsidTr="00250C72">
        <w:trPr>
          <w:trHeight w:val="403"/>
          <w:jc w:val="center"/>
        </w:trPr>
        <w:tc>
          <w:tcPr>
            <w:tcW w:w="716" w:type="dxa"/>
          </w:tcPr>
          <w:p w:rsidR="00AC666D" w:rsidRPr="006D3C65" w:rsidRDefault="00AC666D" w:rsidP="00250C72">
            <w:pPr>
              <w:pStyle w:val="14"/>
              <w:jc w:val="center"/>
              <w:rPr>
                <w:sz w:val="26"/>
                <w:szCs w:val="26"/>
              </w:rPr>
            </w:pPr>
            <w:r w:rsidRPr="006D3C65">
              <w:rPr>
                <w:sz w:val="26"/>
                <w:szCs w:val="26"/>
              </w:rPr>
              <w:t>5</w:t>
            </w:r>
          </w:p>
        </w:tc>
        <w:tc>
          <w:tcPr>
            <w:tcW w:w="6797" w:type="dxa"/>
          </w:tcPr>
          <w:p w:rsidR="00AC666D" w:rsidRPr="006D3C65" w:rsidRDefault="00AC666D" w:rsidP="00250C72">
            <w:pPr>
              <w:pStyle w:val="14"/>
              <w:jc w:val="both"/>
              <w:rPr>
                <w:sz w:val="26"/>
                <w:szCs w:val="26"/>
              </w:rPr>
            </w:pPr>
            <w:r w:rsidRPr="006D3C65">
              <w:rPr>
                <w:sz w:val="26"/>
                <w:szCs w:val="26"/>
              </w:rPr>
              <w:t>Розроблення моделі зовнішньоекономічного розвитку Хмельницької області</w:t>
            </w:r>
          </w:p>
        </w:tc>
        <w:tc>
          <w:tcPr>
            <w:tcW w:w="1843" w:type="dxa"/>
          </w:tcPr>
          <w:p w:rsidR="00AC666D" w:rsidRPr="006D3C65" w:rsidRDefault="00AC666D" w:rsidP="00250C72">
            <w:pPr>
              <w:pStyle w:val="ac"/>
              <w:rPr>
                <w:sz w:val="26"/>
                <w:szCs w:val="26"/>
              </w:rPr>
            </w:pPr>
            <w:r w:rsidRPr="006D3C65">
              <w:rPr>
                <w:sz w:val="26"/>
                <w:szCs w:val="26"/>
              </w:rPr>
              <w:t>5</w:t>
            </w:r>
          </w:p>
        </w:tc>
      </w:tr>
      <w:tr w:rsidR="00AC666D" w:rsidRPr="006D3C65" w:rsidTr="00250C72">
        <w:trPr>
          <w:trHeight w:val="657"/>
          <w:jc w:val="center"/>
        </w:trPr>
        <w:tc>
          <w:tcPr>
            <w:tcW w:w="716" w:type="dxa"/>
          </w:tcPr>
          <w:p w:rsidR="00AC666D" w:rsidRPr="006D3C65" w:rsidRDefault="00AC666D" w:rsidP="00250C72">
            <w:pPr>
              <w:pStyle w:val="14"/>
              <w:jc w:val="center"/>
              <w:rPr>
                <w:sz w:val="26"/>
                <w:szCs w:val="26"/>
              </w:rPr>
            </w:pPr>
            <w:r w:rsidRPr="006D3C65">
              <w:rPr>
                <w:sz w:val="26"/>
                <w:szCs w:val="26"/>
              </w:rPr>
              <w:t>6</w:t>
            </w:r>
          </w:p>
        </w:tc>
        <w:tc>
          <w:tcPr>
            <w:tcW w:w="6797" w:type="dxa"/>
          </w:tcPr>
          <w:p w:rsidR="00AC666D" w:rsidRPr="006D3C65" w:rsidRDefault="00AC666D" w:rsidP="00250C72">
            <w:pPr>
              <w:pStyle w:val="14"/>
              <w:jc w:val="both"/>
              <w:rPr>
                <w:sz w:val="26"/>
                <w:szCs w:val="26"/>
              </w:rPr>
            </w:pPr>
            <w:r w:rsidRPr="006D3C65">
              <w:rPr>
                <w:sz w:val="26"/>
                <w:szCs w:val="26"/>
              </w:rPr>
              <w:t>Створення системи пільг та гарантій закордонним інвесторам</w:t>
            </w:r>
          </w:p>
        </w:tc>
        <w:tc>
          <w:tcPr>
            <w:tcW w:w="1843" w:type="dxa"/>
          </w:tcPr>
          <w:p w:rsidR="00AC666D" w:rsidRPr="006D3C65" w:rsidRDefault="00AC666D" w:rsidP="00250C72">
            <w:pPr>
              <w:pStyle w:val="ac"/>
              <w:rPr>
                <w:sz w:val="26"/>
                <w:szCs w:val="26"/>
              </w:rPr>
            </w:pPr>
          </w:p>
          <w:p w:rsidR="00AC666D" w:rsidRPr="006D3C65" w:rsidRDefault="00AC666D" w:rsidP="00250C72">
            <w:pPr>
              <w:pStyle w:val="ac"/>
              <w:rPr>
                <w:sz w:val="26"/>
                <w:szCs w:val="26"/>
              </w:rPr>
            </w:pPr>
            <w:r w:rsidRPr="006D3C65">
              <w:rPr>
                <w:sz w:val="26"/>
                <w:szCs w:val="26"/>
              </w:rPr>
              <w:t>6</w:t>
            </w:r>
          </w:p>
        </w:tc>
      </w:tr>
      <w:tr w:rsidR="00AC666D" w:rsidRPr="006D3C65" w:rsidTr="00250C72">
        <w:trPr>
          <w:jc w:val="center"/>
        </w:trPr>
        <w:tc>
          <w:tcPr>
            <w:tcW w:w="716" w:type="dxa"/>
          </w:tcPr>
          <w:p w:rsidR="00AC666D" w:rsidRPr="006D3C65" w:rsidRDefault="00AC666D" w:rsidP="00250C72">
            <w:pPr>
              <w:pStyle w:val="14"/>
              <w:jc w:val="center"/>
              <w:rPr>
                <w:sz w:val="26"/>
                <w:szCs w:val="26"/>
              </w:rPr>
            </w:pPr>
            <w:r w:rsidRPr="006D3C65">
              <w:rPr>
                <w:sz w:val="26"/>
                <w:szCs w:val="26"/>
              </w:rPr>
              <w:t>7</w:t>
            </w:r>
          </w:p>
        </w:tc>
        <w:tc>
          <w:tcPr>
            <w:tcW w:w="6797" w:type="dxa"/>
          </w:tcPr>
          <w:p w:rsidR="00AC666D" w:rsidRPr="006D3C65" w:rsidRDefault="00AC666D" w:rsidP="00250C72">
            <w:pPr>
              <w:pStyle w:val="14"/>
              <w:jc w:val="both"/>
              <w:rPr>
                <w:sz w:val="26"/>
                <w:szCs w:val="26"/>
              </w:rPr>
            </w:pPr>
            <w:r w:rsidRPr="006D3C65">
              <w:rPr>
                <w:sz w:val="26"/>
                <w:szCs w:val="26"/>
              </w:rPr>
              <w:t>Проведення зовнішньоекономічних конференцій, для доведення інформації про зовнішньоекономічні можливості області</w:t>
            </w:r>
          </w:p>
        </w:tc>
        <w:tc>
          <w:tcPr>
            <w:tcW w:w="1843" w:type="dxa"/>
          </w:tcPr>
          <w:p w:rsidR="00AC666D" w:rsidRPr="006D3C65" w:rsidRDefault="00AC666D" w:rsidP="00250C72">
            <w:pPr>
              <w:pStyle w:val="ac"/>
              <w:rPr>
                <w:sz w:val="26"/>
                <w:szCs w:val="26"/>
              </w:rPr>
            </w:pPr>
            <w:r w:rsidRPr="006D3C65">
              <w:rPr>
                <w:sz w:val="26"/>
                <w:szCs w:val="26"/>
              </w:rPr>
              <w:t>7</w:t>
            </w:r>
          </w:p>
        </w:tc>
      </w:tr>
    </w:tbl>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0A40B9" w:rsidRDefault="000A40B9" w:rsidP="00AC666D">
      <w:pPr>
        <w:pStyle w:val="a5"/>
      </w:pPr>
    </w:p>
    <w:p w:rsidR="00310D66" w:rsidRPr="00250C72" w:rsidRDefault="00AC666D" w:rsidP="00AC666D">
      <w:pPr>
        <w:pStyle w:val="a5"/>
      </w:pPr>
      <w:r>
        <w:t xml:space="preserve">Однією з проблем у здійсненні зовнішньоекономічної діяльності є відсутність на підприємствах механізму управління зовнішньоекономічною діяльністю (59,8 % опитаних) та стратегії управління  </w:t>
      </w:r>
      <w:r w:rsidR="00310D66">
        <w:t>зовнішньоекономічною діяльністю</w:t>
      </w:r>
      <w:r w:rsidR="00310D66" w:rsidRPr="00310D66">
        <w:t xml:space="preserve"> (</w:t>
      </w:r>
      <w:r w:rsidR="00310D66">
        <w:t>рис.</w:t>
      </w:r>
      <w:r w:rsidR="00310D66" w:rsidRPr="00310D66">
        <w:t xml:space="preserve"> </w:t>
      </w:r>
      <w:r w:rsidR="00D46F89">
        <w:t>1.</w:t>
      </w:r>
      <w:r w:rsidR="00310D66" w:rsidRPr="00310D66">
        <w:t>11)</w:t>
      </w:r>
      <w:r w:rsidR="00310D66">
        <w:t>.</w:t>
      </w:r>
      <w:r>
        <w:t xml:space="preserve"> </w:t>
      </w:r>
    </w:p>
    <w:p w:rsidR="00AC666D" w:rsidRDefault="00AC666D" w:rsidP="00AC666D">
      <w:pPr>
        <w:ind w:firstLine="0"/>
      </w:pPr>
      <w:r>
        <w:rPr>
          <w:noProof/>
          <w:lang w:val="ru-RU"/>
        </w:rPr>
        <w:lastRenderedPageBreak/>
        <w:drawing>
          <wp:anchor distT="0" distB="0" distL="114300" distR="114300" simplePos="0" relativeHeight="251670528" behindDoc="0" locked="0" layoutInCell="1" allowOverlap="1">
            <wp:simplePos x="0" y="0"/>
            <wp:positionH relativeFrom="column">
              <wp:posOffset>331412</wp:posOffset>
            </wp:positionH>
            <wp:positionV relativeFrom="paragraph">
              <wp:posOffset>57557</wp:posOffset>
            </wp:positionV>
            <wp:extent cx="5608090" cy="2432649"/>
            <wp:effectExtent l="0" t="0" r="12065" b="25400"/>
            <wp:wrapNone/>
            <wp:docPr id="9" name="Диаграмма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p w:rsidR="00AC666D" w:rsidRDefault="00AC666D" w:rsidP="00AC666D"/>
    <w:p w:rsidR="00AC666D" w:rsidRDefault="00AC666D" w:rsidP="00AC666D"/>
    <w:p w:rsidR="00AC666D" w:rsidRDefault="00AC666D" w:rsidP="00AC666D"/>
    <w:p w:rsidR="00AC666D" w:rsidRDefault="00AC666D" w:rsidP="00AC666D"/>
    <w:p w:rsidR="00AC666D" w:rsidRDefault="00AC666D" w:rsidP="00AC666D"/>
    <w:p w:rsidR="00AC666D" w:rsidRDefault="00AC666D" w:rsidP="00AC666D"/>
    <w:p w:rsidR="00AC666D" w:rsidRDefault="00AC666D" w:rsidP="00AC666D"/>
    <w:p w:rsidR="00AC666D" w:rsidRDefault="00AC666D" w:rsidP="00AC666D"/>
    <w:p w:rsidR="000A40B9" w:rsidRPr="000A40B9" w:rsidRDefault="000A40B9" w:rsidP="000A40B9">
      <w:pPr>
        <w:pStyle w:val="af1"/>
        <w:ind w:firstLine="900"/>
        <w:jc w:val="both"/>
      </w:pPr>
      <w:r>
        <w:rPr>
          <w:szCs w:val="28"/>
          <w:lang w:eastAsia="en-US"/>
        </w:rPr>
        <w:t>Джерело:</w:t>
      </w:r>
      <w:r w:rsidRPr="000A40B9">
        <w:rPr>
          <w:szCs w:val="28"/>
          <w:lang w:val="ru-RU" w:eastAsia="en-US"/>
        </w:rPr>
        <w:t xml:space="preserve"> </w:t>
      </w:r>
      <w:r>
        <w:rPr>
          <w:szCs w:val="28"/>
          <w:lang w:eastAsia="en-US"/>
        </w:rPr>
        <w:t>автор</w:t>
      </w:r>
    </w:p>
    <w:p w:rsidR="00AC666D" w:rsidRDefault="00121E83" w:rsidP="00AC666D">
      <w:r>
        <w:t xml:space="preserve">Рис. </w:t>
      </w:r>
      <w:r w:rsidR="00D46F89">
        <w:t>1.</w:t>
      </w:r>
      <w:r>
        <w:t>11</w:t>
      </w:r>
      <w:r w:rsidR="00AC666D">
        <w:t>. Заходи підвищення ефективності просування продукції машинобудування Хмельниччини на зовнішній ринок</w:t>
      </w:r>
    </w:p>
    <w:p w:rsidR="00310D66" w:rsidRDefault="00310D66" w:rsidP="00AC666D">
      <w:pPr>
        <w:tabs>
          <w:tab w:val="left" w:pos="1080"/>
        </w:tabs>
        <w:ind w:firstLine="720"/>
      </w:pPr>
      <w:r w:rsidRPr="00310D66">
        <w:t>Більше 83 % керівників підприємств відмітили актуальність стратегії управління зовнішньоекономічною діяльністю, як чинника успіху за нестабільних умов господарювання. Але активізація цього процесу має значні перешкоди, а саме: відсутність кваліфікованих фахівців та методичних розробок щодо розробки зовнішньоекономічної стратегії та механізму управління зовнішньоекономічною діяльністю машинобудівних підприємств регіону. Саме тому, у нашому анкетуванні поставлені питання, за допомогою яких можна визначити основні заходи для ефективного просування вітчизняної продукції машинобудування на міжнаро</w:t>
      </w:r>
      <w:r>
        <w:t>дний ринок</w:t>
      </w:r>
      <w:r w:rsidRPr="00310D66">
        <w:t>.</w:t>
      </w:r>
    </w:p>
    <w:p w:rsidR="00310D66" w:rsidRDefault="00310D66" w:rsidP="00AC666D">
      <w:pPr>
        <w:tabs>
          <w:tab w:val="left" w:pos="1080"/>
        </w:tabs>
        <w:ind w:firstLine="720"/>
      </w:pPr>
    </w:p>
    <w:p w:rsidR="00310D66" w:rsidRDefault="00310D66" w:rsidP="00AC666D">
      <w:pPr>
        <w:tabs>
          <w:tab w:val="left" w:pos="1080"/>
        </w:tabs>
        <w:ind w:firstLine="720"/>
      </w:pPr>
    </w:p>
    <w:p w:rsidR="00310D66" w:rsidRPr="00310D66" w:rsidRDefault="00310D66" w:rsidP="00310D66">
      <w:pPr>
        <w:pStyle w:val="af9"/>
        <w:numPr>
          <w:ilvl w:val="0"/>
          <w:numId w:val="10"/>
        </w:numPr>
        <w:tabs>
          <w:tab w:val="left" w:pos="0"/>
        </w:tabs>
        <w:ind w:left="0" w:firstLine="709"/>
        <w:rPr>
          <w:b/>
        </w:rPr>
      </w:pPr>
      <w:r w:rsidRPr="00310D66">
        <w:rPr>
          <w:b/>
        </w:rPr>
        <w:t xml:space="preserve"> Факторний аналіз зовнішньоекономічної діяльності підприємств Хмельниччини</w:t>
      </w:r>
    </w:p>
    <w:p w:rsidR="00310D66" w:rsidRDefault="00310D66" w:rsidP="00AC666D">
      <w:pPr>
        <w:tabs>
          <w:tab w:val="left" w:pos="1080"/>
        </w:tabs>
        <w:ind w:firstLine="720"/>
      </w:pPr>
    </w:p>
    <w:p w:rsidR="00AC666D" w:rsidRPr="001A2559" w:rsidRDefault="00AC666D" w:rsidP="00AC666D">
      <w:pPr>
        <w:tabs>
          <w:tab w:val="left" w:pos="1080"/>
        </w:tabs>
        <w:ind w:firstLine="720"/>
      </w:pPr>
      <w:r>
        <w:t>З метою оцінки ступеня впливу факторів на зовнішньоекономічну діяльність підприємств Хмельниччини, було здійснено факторний аналіз за стан</w:t>
      </w:r>
      <w:r w:rsidR="00D46F89">
        <w:t>дартизованими рангами</w:t>
      </w:r>
      <w:r>
        <w:t>, оскільки, проведене дослідження допоможе в</w:t>
      </w:r>
      <w:r w:rsidRPr="00444E04">
        <w:t>изначити</w:t>
      </w:r>
      <w:r>
        <w:t>:</w:t>
      </w:r>
      <w:r w:rsidRPr="00444E04">
        <w:t xml:space="preserve"> </w:t>
      </w:r>
      <w:r>
        <w:t xml:space="preserve">по-перше, </w:t>
      </w:r>
      <w:r w:rsidRPr="00444E04">
        <w:t xml:space="preserve">чи можна на підставі оцінок експертів зробити висновок </w:t>
      </w:r>
      <w:r w:rsidRPr="00444E04">
        <w:lastRenderedPageBreak/>
        <w:t xml:space="preserve">про значимість впливу перерахованих факторів на розвиток зовнішньоекономічної діяльності </w:t>
      </w:r>
      <w:r>
        <w:t xml:space="preserve">машинобудівних підприємств </w:t>
      </w:r>
      <w:r w:rsidRPr="00444E04">
        <w:t>Хмельниччини</w:t>
      </w:r>
      <w:r>
        <w:t>; п</w:t>
      </w:r>
      <w:r w:rsidRPr="00444E04">
        <w:t>о-друге, визначити, чи погоджені рейтинги між експертами і, таким чином, чи можна довіряти їх експертній</w:t>
      </w:r>
      <w:r w:rsidR="004957C3">
        <w:t xml:space="preserve"> оцінці [3</w:t>
      </w:r>
      <w:r>
        <w:t>]</w:t>
      </w:r>
      <w:r w:rsidRPr="001A2559">
        <w:t>.</w:t>
      </w:r>
    </w:p>
    <w:p w:rsidR="00AC666D" w:rsidRDefault="00AC666D" w:rsidP="00AC666D">
      <w:pPr>
        <w:ind w:firstLine="709"/>
        <w:rPr>
          <w:szCs w:val="28"/>
        </w:rPr>
      </w:pPr>
      <w:r>
        <w:rPr>
          <w:szCs w:val="28"/>
        </w:rPr>
        <w:t xml:space="preserve">Щоб виділити найбільш значимі і відсіяти неістотні фактори, які впливають на зовнішньоекономічну діяльність, проводять апріорне ранжування факторів, для якого базою стали 10 найбільших підприємств з вибірки, керівники яких виступили в ролі експертів нашого дослідження (табл. 2.1). </w:t>
      </w:r>
    </w:p>
    <w:p w:rsidR="00AC666D" w:rsidRPr="000D28AE" w:rsidRDefault="00AC666D" w:rsidP="00AC666D">
      <w:pPr>
        <w:ind w:firstLine="709"/>
        <w:jc w:val="right"/>
        <w:rPr>
          <w:i/>
          <w:szCs w:val="28"/>
        </w:rPr>
      </w:pPr>
      <w:r w:rsidRPr="000D28AE">
        <w:rPr>
          <w:i/>
          <w:szCs w:val="28"/>
        </w:rPr>
        <w:t>Таблиця 2.1</w:t>
      </w:r>
    </w:p>
    <w:p w:rsidR="00AC666D" w:rsidRPr="002640D7" w:rsidRDefault="00AC666D" w:rsidP="00AC666D">
      <w:pPr>
        <w:tabs>
          <w:tab w:val="left" w:pos="1080"/>
        </w:tabs>
        <w:ind w:firstLine="720"/>
        <w:jc w:val="center"/>
        <w:rPr>
          <w:b/>
          <w:szCs w:val="28"/>
        </w:rPr>
      </w:pPr>
      <w:r w:rsidRPr="002640D7">
        <w:rPr>
          <w:b/>
          <w:szCs w:val="28"/>
        </w:rPr>
        <w:t>Вихідні дані для факторного аналізу</w:t>
      </w:r>
    </w:p>
    <w:tbl>
      <w:tblPr>
        <w:tblW w:w="44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5"/>
        <w:gridCol w:w="8066"/>
      </w:tblGrid>
      <w:tr w:rsidR="00AC666D" w:rsidRPr="000A40B9" w:rsidTr="00250C72">
        <w:trPr>
          <w:trHeight w:val="427"/>
          <w:jc w:val="center"/>
        </w:trPr>
        <w:tc>
          <w:tcPr>
            <w:tcW w:w="5000" w:type="pct"/>
            <w:gridSpan w:val="2"/>
          </w:tcPr>
          <w:p w:rsidR="00AC666D" w:rsidRPr="000A40B9" w:rsidRDefault="00AC666D" w:rsidP="000A40B9">
            <w:pPr>
              <w:pStyle w:val="af2"/>
              <w:rPr>
                <w:szCs w:val="24"/>
              </w:rPr>
            </w:pPr>
            <w:r w:rsidRPr="000A40B9">
              <w:rPr>
                <w:szCs w:val="24"/>
              </w:rPr>
              <w:t>Назва підприємства</w:t>
            </w:r>
          </w:p>
        </w:tc>
      </w:tr>
      <w:tr w:rsidR="00AC666D" w:rsidRPr="000A40B9" w:rsidTr="00250C72">
        <w:trPr>
          <w:jc w:val="center"/>
        </w:trPr>
        <w:tc>
          <w:tcPr>
            <w:tcW w:w="428" w:type="pct"/>
          </w:tcPr>
          <w:p w:rsidR="00AC666D" w:rsidRPr="000A40B9" w:rsidRDefault="00AC666D" w:rsidP="000A40B9">
            <w:pPr>
              <w:pStyle w:val="ac"/>
              <w:rPr>
                <w:sz w:val="24"/>
                <w:szCs w:val="24"/>
                <w:lang w:val="en-US"/>
              </w:rPr>
            </w:pPr>
            <w:r w:rsidRPr="000A40B9">
              <w:rPr>
                <w:sz w:val="24"/>
                <w:szCs w:val="24"/>
                <w:lang w:val="en-US"/>
              </w:rPr>
              <w:t>1</w:t>
            </w:r>
          </w:p>
        </w:tc>
        <w:tc>
          <w:tcPr>
            <w:tcW w:w="4572" w:type="pct"/>
          </w:tcPr>
          <w:p w:rsidR="00AC666D" w:rsidRPr="000A40B9" w:rsidRDefault="00AC666D" w:rsidP="000A40B9">
            <w:pPr>
              <w:pStyle w:val="ac"/>
              <w:jc w:val="left"/>
              <w:rPr>
                <w:sz w:val="24"/>
                <w:szCs w:val="24"/>
              </w:rPr>
            </w:pPr>
            <w:r w:rsidRPr="000A40B9">
              <w:rPr>
                <w:sz w:val="24"/>
                <w:szCs w:val="24"/>
              </w:rPr>
              <w:t>ВАТ “Катіон”</w:t>
            </w:r>
          </w:p>
        </w:tc>
      </w:tr>
      <w:tr w:rsidR="00AC666D" w:rsidRPr="000A40B9" w:rsidTr="00250C72">
        <w:trPr>
          <w:jc w:val="center"/>
        </w:trPr>
        <w:tc>
          <w:tcPr>
            <w:tcW w:w="428" w:type="pct"/>
          </w:tcPr>
          <w:p w:rsidR="00AC666D" w:rsidRPr="000A40B9" w:rsidRDefault="00AC666D" w:rsidP="000A40B9">
            <w:pPr>
              <w:pStyle w:val="ac"/>
              <w:rPr>
                <w:sz w:val="24"/>
                <w:szCs w:val="24"/>
                <w:lang w:val="en-US"/>
              </w:rPr>
            </w:pPr>
            <w:r w:rsidRPr="000A40B9">
              <w:rPr>
                <w:sz w:val="24"/>
                <w:szCs w:val="24"/>
                <w:lang w:val="en-US"/>
              </w:rPr>
              <w:t>2</w:t>
            </w:r>
          </w:p>
        </w:tc>
        <w:tc>
          <w:tcPr>
            <w:tcW w:w="4572" w:type="pct"/>
          </w:tcPr>
          <w:p w:rsidR="00AC666D" w:rsidRPr="000A40B9" w:rsidRDefault="00AC666D" w:rsidP="000A40B9">
            <w:pPr>
              <w:pStyle w:val="ac"/>
              <w:jc w:val="left"/>
              <w:rPr>
                <w:sz w:val="24"/>
                <w:szCs w:val="24"/>
              </w:rPr>
            </w:pPr>
            <w:r w:rsidRPr="000A40B9">
              <w:rPr>
                <w:sz w:val="24"/>
                <w:szCs w:val="24"/>
              </w:rPr>
              <w:t>ДП “Новатор”</w:t>
            </w:r>
          </w:p>
        </w:tc>
      </w:tr>
      <w:tr w:rsidR="00AC666D" w:rsidRPr="000A40B9" w:rsidTr="00250C72">
        <w:trPr>
          <w:jc w:val="center"/>
        </w:trPr>
        <w:tc>
          <w:tcPr>
            <w:tcW w:w="428" w:type="pct"/>
          </w:tcPr>
          <w:p w:rsidR="00AC666D" w:rsidRPr="000A40B9" w:rsidRDefault="00AC666D" w:rsidP="000A40B9">
            <w:pPr>
              <w:pStyle w:val="ac"/>
              <w:rPr>
                <w:sz w:val="24"/>
                <w:szCs w:val="24"/>
                <w:lang w:val="en-US"/>
              </w:rPr>
            </w:pPr>
            <w:r w:rsidRPr="000A40B9">
              <w:rPr>
                <w:sz w:val="24"/>
                <w:szCs w:val="24"/>
                <w:lang w:val="en-US"/>
              </w:rPr>
              <w:t>3</w:t>
            </w:r>
          </w:p>
        </w:tc>
        <w:tc>
          <w:tcPr>
            <w:tcW w:w="4572" w:type="pct"/>
          </w:tcPr>
          <w:p w:rsidR="00AC666D" w:rsidRPr="000A40B9" w:rsidRDefault="00AC666D" w:rsidP="000A40B9">
            <w:pPr>
              <w:pStyle w:val="ac"/>
              <w:jc w:val="left"/>
              <w:rPr>
                <w:sz w:val="24"/>
                <w:szCs w:val="24"/>
              </w:rPr>
            </w:pPr>
            <w:r w:rsidRPr="000A40B9">
              <w:rPr>
                <w:sz w:val="24"/>
                <w:szCs w:val="24"/>
              </w:rPr>
              <w:t>ВАТ “</w:t>
            </w:r>
            <w:proofErr w:type="spellStart"/>
            <w:r w:rsidRPr="000A40B9">
              <w:rPr>
                <w:sz w:val="24"/>
                <w:szCs w:val="24"/>
              </w:rPr>
              <w:t>Укрелектроапарат</w:t>
            </w:r>
            <w:proofErr w:type="spellEnd"/>
            <w:r w:rsidRPr="000A40B9">
              <w:rPr>
                <w:sz w:val="24"/>
                <w:szCs w:val="24"/>
              </w:rPr>
              <w:t>”</w:t>
            </w:r>
          </w:p>
        </w:tc>
      </w:tr>
      <w:tr w:rsidR="00AC666D" w:rsidRPr="000A40B9" w:rsidTr="00250C72">
        <w:trPr>
          <w:jc w:val="center"/>
        </w:trPr>
        <w:tc>
          <w:tcPr>
            <w:tcW w:w="428" w:type="pct"/>
          </w:tcPr>
          <w:p w:rsidR="00AC666D" w:rsidRPr="000A40B9" w:rsidRDefault="00AC666D" w:rsidP="000A40B9">
            <w:pPr>
              <w:pStyle w:val="ac"/>
              <w:rPr>
                <w:sz w:val="24"/>
                <w:szCs w:val="24"/>
                <w:lang w:val="en-US"/>
              </w:rPr>
            </w:pPr>
            <w:r w:rsidRPr="000A40B9">
              <w:rPr>
                <w:sz w:val="24"/>
                <w:szCs w:val="24"/>
                <w:lang w:val="en-US"/>
              </w:rPr>
              <w:t>4</w:t>
            </w:r>
          </w:p>
        </w:tc>
        <w:tc>
          <w:tcPr>
            <w:tcW w:w="4572" w:type="pct"/>
          </w:tcPr>
          <w:p w:rsidR="00AC666D" w:rsidRPr="000A40B9" w:rsidRDefault="00AC666D" w:rsidP="000A40B9">
            <w:pPr>
              <w:pStyle w:val="ac"/>
              <w:jc w:val="left"/>
              <w:rPr>
                <w:sz w:val="24"/>
                <w:szCs w:val="24"/>
              </w:rPr>
            </w:pPr>
            <w:r w:rsidRPr="000A40B9">
              <w:rPr>
                <w:sz w:val="24"/>
                <w:szCs w:val="24"/>
              </w:rPr>
              <w:t>ВАТ “</w:t>
            </w:r>
            <w:proofErr w:type="spellStart"/>
            <w:r w:rsidRPr="000A40B9">
              <w:rPr>
                <w:sz w:val="24"/>
                <w:szCs w:val="24"/>
              </w:rPr>
              <w:t>Термопластавтомат</w:t>
            </w:r>
            <w:proofErr w:type="spellEnd"/>
            <w:r w:rsidRPr="000A40B9">
              <w:rPr>
                <w:sz w:val="24"/>
                <w:szCs w:val="24"/>
              </w:rPr>
              <w:t>”</w:t>
            </w:r>
          </w:p>
        </w:tc>
      </w:tr>
      <w:tr w:rsidR="00AC666D" w:rsidRPr="000A40B9" w:rsidTr="00250C72">
        <w:trPr>
          <w:jc w:val="center"/>
        </w:trPr>
        <w:tc>
          <w:tcPr>
            <w:tcW w:w="428" w:type="pct"/>
          </w:tcPr>
          <w:p w:rsidR="00AC666D" w:rsidRPr="000A40B9" w:rsidRDefault="00AC666D" w:rsidP="000A40B9">
            <w:pPr>
              <w:pStyle w:val="ac"/>
              <w:rPr>
                <w:sz w:val="24"/>
                <w:szCs w:val="24"/>
                <w:lang w:val="en-US"/>
              </w:rPr>
            </w:pPr>
            <w:r w:rsidRPr="000A40B9">
              <w:rPr>
                <w:sz w:val="24"/>
                <w:szCs w:val="24"/>
                <w:lang w:val="en-US"/>
              </w:rPr>
              <w:t>5</w:t>
            </w:r>
          </w:p>
        </w:tc>
        <w:tc>
          <w:tcPr>
            <w:tcW w:w="4572" w:type="pct"/>
          </w:tcPr>
          <w:p w:rsidR="00AC666D" w:rsidRPr="000A40B9" w:rsidRDefault="00AC666D" w:rsidP="000A40B9">
            <w:pPr>
              <w:pStyle w:val="ac"/>
              <w:jc w:val="left"/>
              <w:rPr>
                <w:sz w:val="24"/>
                <w:szCs w:val="24"/>
              </w:rPr>
            </w:pPr>
            <w:r w:rsidRPr="000A40B9">
              <w:rPr>
                <w:sz w:val="24"/>
                <w:szCs w:val="24"/>
              </w:rPr>
              <w:t>ВАТ АК “</w:t>
            </w:r>
            <w:proofErr w:type="spellStart"/>
            <w:r w:rsidRPr="000A40B9">
              <w:rPr>
                <w:sz w:val="24"/>
                <w:szCs w:val="24"/>
              </w:rPr>
              <w:t>Адвіс</w:t>
            </w:r>
            <w:proofErr w:type="spellEnd"/>
            <w:r w:rsidRPr="000A40B9">
              <w:rPr>
                <w:sz w:val="24"/>
                <w:szCs w:val="24"/>
              </w:rPr>
              <w:t>”</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lang w:val="en-US"/>
              </w:rPr>
            </w:pPr>
            <w:r w:rsidRPr="000A40B9">
              <w:rPr>
                <w:sz w:val="24"/>
                <w:szCs w:val="24"/>
                <w:lang w:val="en-US"/>
              </w:rPr>
              <w:t>6</w: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ВАТ “Мотор Січ”</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lang w:val="en-US"/>
              </w:rPr>
            </w:pPr>
            <w:r w:rsidRPr="000A40B9">
              <w:rPr>
                <w:sz w:val="24"/>
                <w:szCs w:val="24"/>
                <w:lang w:val="en-US"/>
              </w:rPr>
              <w:t>7</w: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ДП “</w:t>
            </w:r>
            <w:proofErr w:type="spellStart"/>
            <w:r w:rsidRPr="000A40B9">
              <w:rPr>
                <w:sz w:val="24"/>
                <w:szCs w:val="24"/>
              </w:rPr>
              <w:t>Красилівський</w:t>
            </w:r>
            <w:proofErr w:type="spellEnd"/>
            <w:r w:rsidRPr="000A40B9">
              <w:rPr>
                <w:sz w:val="24"/>
                <w:szCs w:val="24"/>
              </w:rPr>
              <w:t xml:space="preserve"> агрегатний завод”</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lang w:val="en-US"/>
              </w:rPr>
            </w:pPr>
            <w:r w:rsidRPr="000A40B9">
              <w:rPr>
                <w:sz w:val="24"/>
                <w:szCs w:val="24"/>
                <w:lang w:val="en-US"/>
              </w:rPr>
              <w:t>8</w: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ВАТ “Шепетівський завод культиваторів”</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lang w:val="en-US"/>
              </w:rPr>
            </w:pPr>
            <w:r w:rsidRPr="000A40B9">
              <w:rPr>
                <w:sz w:val="24"/>
                <w:szCs w:val="24"/>
                <w:lang w:val="en-US"/>
              </w:rPr>
              <w:t>9</w: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ВАТ “</w:t>
            </w:r>
            <w:proofErr w:type="spellStart"/>
            <w:r w:rsidRPr="000A40B9">
              <w:rPr>
                <w:sz w:val="24"/>
                <w:szCs w:val="24"/>
              </w:rPr>
              <w:t>Красилівський</w:t>
            </w:r>
            <w:proofErr w:type="spellEnd"/>
            <w:r w:rsidRPr="000A40B9">
              <w:rPr>
                <w:sz w:val="24"/>
                <w:szCs w:val="24"/>
              </w:rPr>
              <w:t xml:space="preserve"> </w:t>
            </w:r>
            <w:proofErr w:type="spellStart"/>
            <w:r w:rsidRPr="000A40B9">
              <w:rPr>
                <w:sz w:val="24"/>
                <w:szCs w:val="24"/>
              </w:rPr>
              <w:t>машзавод</w:t>
            </w:r>
            <w:proofErr w:type="spellEnd"/>
            <w:r w:rsidRPr="000A40B9">
              <w:rPr>
                <w:sz w:val="24"/>
                <w:szCs w:val="24"/>
              </w:rPr>
              <w:t>”</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lang w:val="en-US"/>
              </w:rPr>
            </w:pPr>
            <w:r w:rsidRPr="000A40B9">
              <w:rPr>
                <w:sz w:val="24"/>
                <w:szCs w:val="24"/>
                <w:lang w:val="en-US"/>
              </w:rPr>
              <w:t>10</w: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ХЗ КПУ ВАТ “</w:t>
            </w:r>
            <w:proofErr w:type="spellStart"/>
            <w:r w:rsidRPr="000A40B9">
              <w:rPr>
                <w:sz w:val="24"/>
                <w:szCs w:val="24"/>
              </w:rPr>
              <w:t>Пригма</w:t>
            </w:r>
            <w:proofErr w:type="spellEnd"/>
            <w:r w:rsidRPr="000A40B9">
              <w:rPr>
                <w:sz w:val="24"/>
                <w:szCs w:val="24"/>
              </w:rPr>
              <w:t>-Прес”</w:t>
            </w:r>
          </w:p>
        </w:tc>
      </w:tr>
      <w:tr w:rsidR="00AC666D" w:rsidRPr="000A40B9" w:rsidTr="00250C72">
        <w:trPr>
          <w:trHeight w:val="529"/>
          <w:jc w:val="center"/>
        </w:trPr>
        <w:tc>
          <w:tcPr>
            <w:tcW w:w="5000" w:type="pct"/>
            <w:gridSpan w:val="2"/>
          </w:tcPr>
          <w:p w:rsidR="00AC666D" w:rsidRPr="000A40B9" w:rsidRDefault="00AC666D" w:rsidP="000A40B9">
            <w:pPr>
              <w:pStyle w:val="af2"/>
              <w:rPr>
                <w:szCs w:val="24"/>
              </w:rPr>
            </w:pPr>
            <w:r w:rsidRPr="000A40B9">
              <w:rPr>
                <w:szCs w:val="24"/>
              </w:rPr>
              <w:t>Фактори впливу на зовнішньоекономічну діяльність машинобудівних підприємств Хмельниччини</w:t>
            </w:r>
          </w:p>
        </w:tc>
      </w:tr>
      <w:tr w:rsidR="00AC666D" w:rsidRPr="000A40B9" w:rsidTr="00250C72">
        <w:trPr>
          <w:jc w:val="center"/>
        </w:trPr>
        <w:tc>
          <w:tcPr>
            <w:tcW w:w="428" w:type="pct"/>
          </w:tcPr>
          <w:p w:rsidR="00AC666D" w:rsidRPr="000A40B9" w:rsidRDefault="00250C72" w:rsidP="000A40B9">
            <w:pPr>
              <w:pStyle w:val="ac"/>
              <w:rPr>
                <w:sz w:val="24"/>
                <w:szCs w:val="24"/>
              </w:rPr>
            </w:pPr>
            <w:r w:rsidRPr="000A40B9">
              <w:rPr>
                <w:position w:val="-10"/>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25pt;height:17pt">
                  <v:imagedata r:id="rId17" o:title=""/>
                </v:shape>
              </w:pict>
            </w:r>
          </w:p>
        </w:tc>
        <w:tc>
          <w:tcPr>
            <w:tcW w:w="4572" w:type="pct"/>
          </w:tcPr>
          <w:p w:rsidR="00AC666D" w:rsidRPr="000A40B9" w:rsidRDefault="00AC666D" w:rsidP="000A40B9">
            <w:pPr>
              <w:pStyle w:val="ac"/>
              <w:jc w:val="left"/>
              <w:rPr>
                <w:sz w:val="24"/>
                <w:szCs w:val="24"/>
              </w:rPr>
            </w:pPr>
            <w:r w:rsidRPr="000A40B9">
              <w:rPr>
                <w:sz w:val="24"/>
                <w:szCs w:val="24"/>
              </w:rPr>
              <w:t xml:space="preserve">Залучення інвестиційних ресурсів на підприємство та в країну </w:t>
            </w:r>
          </w:p>
        </w:tc>
      </w:tr>
      <w:tr w:rsidR="00AC666D" w:rsidRPr="000A40B9" w:rsidTr="00250C72">
        <w:trPr>
          <w:jc w:val="center"/>
        </w:trPr>
        <w:tc>
          <w:tcPr>
            <w:tcW w:w="428" w:type="pct"/>
          </w:tcPr>
          <w:p w:rsidR="00AC666D" w:rsidRPr="000A40B9" w:rsidRDefault="00AC666D" w:rsidP="000A40B9">
            <w:pPr>
              <w:pStyle w:val="ac"/>
              <w:rPr>
                <w:sz w:val="24"/>
                <w:szCs w:val="24"/>
              </w:rPr>
            </w:pPr>
            <w:r w:rsidRPr="000A40B9">
              <w:rPr>
                <w:position w:val="-10"/>
                <w:sz w:val="24"/>
                <w:szCs w:val="24"/>
              </w:rPr>
              <w:object w:dxaOrig="279" w:dyaOrig="340">
                <v:shape id="_x0000_i1026" type="#_x0000_t75" style="width:14.25pt;height:17pt" o:ole="">
                  <v:imagedata r:id="rId18" o:title=""/>
                </v:shape>
                <o:OLEObject Type="Embed" ProgID="Equation.3" ShapeID="_x0000_i1026" DrawAspect="Content" ObjectID="_1761998461" r:id="rId19"/>
              </w:object>
            </w:r>
          </w:p>
        </w:tc>
        <w:tc>
          <w:tcPr>
            <w:tcW w:w="4572" w:type="pct"/>
          </w:tcPr>
          <w:p w:rsidR="00AC666D" w:rsidRPr="000A40B9" w:rsidRDefault="00AC666D" w:rsidP="000A40B9">
            <w:pPr>
              <w:pStyle w:val="ac"/>
              <w:jc w:val="left"/>
              <w:rPr>
                <w:sz w:val="24"/>
                <w:szCs w:val="24"/>
              </w:rPr>
            </w:pPr>
            <w:r w:rsidRPr="000A40B9">
              <w:rPr>
                <w:sz w:val="24"/>
                <w:szCs w:val="24"/>
              </w:rPr>
              <w:t>Прийняті рішення облдержадміністрації та обласної ради</w:t>
            </w:r>
          </w:p>
        </w:tc>
      </w:tr>
      <w:tr w:rsidR="00AC666D" w:rsidRPr="000A40B9" w:rsidTr="00250C72">
        <w:trPr>
          <w:jc w:val="center"/>
        </w:trPr>
        <w:tc>
          <w:tcPr>
            <w:tcW w:w="428" w:type="pct"/>
          </w:tcPr>
          <w:p w:rsidR="00AC666D" w:rsidRPr="000A40B9" w:rsidRDefault="00AC666D" w:rsidP="000A40B9">
            <w:pPr>
              <w:pStyle w:val="ac"/>
              <w:rPr>
                <w:sz w:val="24"/>
                <w:szCs w:val="24"/>
              </w:rPr>
            </w:pPr>
            <w:r w:rsidRPr="000A40B9">
              <w:rPr>
                <w:position w:val="-12"/>
                <w:sz w:val="24"/>
                <w:szCs w:val="24"/>
              </w:rPr>
              <w:object w:dxaOrig="260" w:dyaOrig="360">
                <v:shape id="_x0000_i1027" type="#_x0000_t75" style="width:12.9pt;height:18.35pt" o:ole="">
                  <v:imagedata r:id="rId20" o:title=""/>
                </v:shape>
                <o:OLEObject Type="Embed" ProgID="Equation.3" ShapeID="_x0000_i1027" DrawAspect="Content" ObjectID="_1761998462" r:id="rId21"/>
              </w:object>
            </w:r>
          </w:p>
        </w:tc>
        <w:tc>
          <w:tcPr>
            <w:tcW w:w="4572" w:type="pct"/>
          </w:tcPr>
          <w:p w:rsidR="00AC666D" w:rsidRPr="000A40B9" w:rsidRDefault="00AC666D" w:rsidP="000A40B9">
            <w:pPr>
              <w:pStyle w:val="ac"/>
              <w:jc w:val="left"/>
              <w:rPr>
                <w:sz w:val="24"/>
                <w:szCs w:val="24"/>
              </w:rPr>
            </w:pPr>
            <w:r w:rsidRPr="000A40B9">
              <w:rPr>
                <w:sz w:val="24"/>
                <w:szCs w:val="24"/>
              </w:rPr>
              <w:t>Недостатня поінформованість про потенційні ринки збуту та закордонного партнера тощо</w:t>
            </w:r>
          </w:p>
        </w:tc>
      </w:tr>
      <w:tr w:rsidR="00AC666D" w:rsidRPr="000A40B9" w:rsidTr="00250C72">
        <w:trPr>
          <w:jc w:val="center"/>
        </w:trPr>
        <w:tc>
          <w:tcPr>
            <w:tcW w:w="428" w:type="pct"/>
          </w:tcPr>
          <w:p w:rsidR="00AC666D" w:rsidRPr="000A40B9" w:rsidRDefault="00AC666D" w:rsidP="000A40B9">
            <w:pPr>
              <w:pStyle w:val="ac"/>
              <w:rPr>
                <w:sz w:val="24"/>
                <w:szCs w:val="24"/>
              </w:rPr>
            </w:pPr>
            <w:r w:rsidRPr="000A40B9">
              <w:rPr>
                <w:position w:val="-10"/>
                <w:sz w:val="24"/>
                <w:szCs w:val="24"/>
              </w:rPr>
              <w:object w:dxaOrig="279" w:dyaOrig="340">
                <v:shape id="_x0000_i1028" type="#_x0000_t75" style="width:14.25pt;height:17pt" o:ole="">
                  <v:imagedata r:id="rId22" o:title=""/>
                </v:shape>
                <o:OLEObject Type="Embed" ProgID="Equation.3" ShapeID="_x0000_i1028" DrawAspect="Content" ObjectID="_1761998463" r:id="rId23"/>
              </w:object>
            </w:r>
          </w:p>
        </w:tc>
        <w:tc>
          <w:tcPr>
            <w:tcW w:w="4572" w:type="pct"/>
          </w:tcPr>
          <w:p w:rsidR="00AC666D" w:rsidRPr="000A40B9" w:rsidRDefault="00AC666D" w:rsidP="000A40B9">
            <w:pPr>
              <w:pStyle w:val="ac"/>
              <w:jc w:val="left"/>
              <w:rPr>
                <w:sz w:val="24"/>
                <w:szCs w:val="24"/>
              </w:rPr>
            </w:pPr>
            <w:r w:rsidRPr="000A40B9">
              <w:rPr>
                <w:sz w:val="24"/>
                <w:szCs w:val="24"/>
              </w:rPr>
              <w:t>Рівень конкурентоспроможності товару, що виготовляється</w:t>
            </w:r>
          </w:p>
        </w:tc>
      </w:tr>
      <w:tr w:rsidR="00AC666D" w:rsidRPr="000A40B9" w:rsidTr="00250C72">
        <w:trPr>
          <w:jc w:val="center"/>
        </w:trPr>
        <w:tc>
          <w:tcPr>
            <w:tcW w:w="428" w:type="pct"/>
          </w:tcPr>
          <w:p w:rsidR="00AC666D" w:rsidRPr="000A40B9" w:rsidRDefault="00AC666D" w:rsidP="000A40B9">
            <w:pPr>
              <w:pStyle w:val="ac"/>
              <w:rPr>
                <w:sz w:val="24"/>
                <w:szCs w:val="24"/>
              </w:rPr>
            </w:pPr>
            <w:r w:rsidRPr="000A40B9">
              <w:rPr>
                <w:position w:val="-12"/>
                <w:sz w:val="24"/>
                <w:szCs w:val="24"/>
              </w:rPr>
              <w:object w:dxaOrig="260" w:dyaOrig="360">
                <v:shape id="_x0000_i1029" type="#_x0000_t75" style="width:12.9pt;height:18.35pt" o:ole="">
                  <v:imagedata r:id="rId24" o:title=""/>
                </v:shape>
                <o:OLEObject Type="Embed" ProgID="Equation.3" ShapeID="_x0000_i1029" DrawAspect="Content" ObjectID="_1761998464" r:id="rId25"/>
              </w:object>
            </w:r>
          </w:p>
        </w:tc>
        <w:tc>
          <w:tcPr>
            <w:tcW w:w="4572" w:type="pct"/>
          </w:tcPr>
          <w:p w:rsidR="00AC666D" w:rsidRPr="000A40B9" w:rsidRDefault="00AC666D" w:rsidP="000A40B9">
            <w:pPr>
              <w:pStyle w:val="ac"/>
              <w:jc w:val="left"/>
              <w:rPr>
                <w:sz w:val="24"/>
                <w:szCs w:val="24"/>
              </w:rPr>
            </w:pPr>
            <w:r w:rsidRPr="000A40B9">
              <w:rPr>
                <w:sz w:val="24"/>
                <w:szCs w:val="24"/>
              </w:rPr>
              <w:t>Відсутність ефективного механізму управління зовнішньоекономічної діяльністю на підприємстві та в країні</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rPr>
            </w:pPr>
            <w:r w:rsidRPr="000A40B9">
              <w:rPr>
                <w:position w:val="-12"/>
                <w:sz w:val="24"/>
                <w:szCs w:val="24"/>
              </w:rPr>
              <w:object w:dxaOrig="279" w:dyaOrig="360">
                <v:shape id="_x0000_i1030" type="#_x0000_t75" style="width:14.25pt;height:18.35pt" o:ole="">
                  <v:imagedata r:id="rId26" o:title=""/>
                </v:shape>
                <o:OLEObject Type="Embed" ProgID="Equation.3" ShapeID="_x0000_i1030" DrawAspect="Content" ObjectID="_1761998465" r:id="rId27"/>
              </w:objec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Наслідки вступу України в СОТ</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lang w:val="en-US"/>
              </w:rPr>
            </w:pPr>
            <w:r w:rsidRPr="000A40B9">
              <w:rPr>
                <w:position w:val="-12"/>
                <w:sz w:val="24"/>
                <w:szCs w:val="24"/>
                <w:lang w:val="en-US"/>
              </w:rPr>
              <w:object w:dxaOrig="279" w:dyaOrig="360">
                <v:shape id="_x0000_i1031" type="#_x0000_t75" style="width:14.25pt;height:18.35pt" o:ole="">
                  <v:imagedata r:id="rId28" o:title=""/>
                </v:shape>
                <o:OLEObject Type="Embed" ProgID="Equation.3" ShapeID="_x0000_i1031" DrawAspect="Content" ObjectID="_1761998466" r:id="rId29"/>
              </w:objec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Складність процедури зовнішньоекономічної діяльності</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rPr>
            </w:pPr>
            <w:r w:rsidRPr="000A40B9">
              <w:rPr>
                <w:position w:val="-12"/>
                <w:sz w:val="24"/>
                <w:szCs w:val="24"/>
              </w:rPr>
              <w:object w:dxaOrig="260" w:dyaOrig="360">
                <v:shape id="_x0000_i1032" type="#_x0000_t75" style="width:12.9pt;height:18.35pt" o:ole="">
                  <v:imagedata r:id="rId30" o:title=""/>
                </v:shape>
                <o:OLEObject Type="Embed" ProgID="Equation.3" ShapeID="_x0000_i1032" DrawAspect="Content" ObjectID="_1761998467" r:id="rId31"/>
              </w:objec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Рівень тарифів на енергоносії</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rPr>
            </w:pPr>
            <w:r w:rsidRPr="000A40B9">
              <w:rPr>
                <w:position w:val="-12"/>
                <w:sz w:val="24"/>
                <w:szCs w:val="24"/>
              </w:rPr>
              <w:object w:dxaOrig="279" w:dyaOrig="360">
                <v:shape id="_x0000_i1033" type="#_x0000_t75" style="width:14.25pt;height:18.35pt" o:ole="">
                  <v:imagedata r:id="rId32" o:title=""/>
                </v:shape>
                <o:OLEObject Type="Embed" ProgID="Equation.3" ShapeID="_x0000_i1033" DrawAspect="Content" ObjectID="_1761998468" r:id="rId33"/>
              </w:objec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Часта зміна законодавства</w:t>
            </w:r>
          </w:p>
        </w:tc>
      </w:tr>
      <w:tr w:rsidR="00AC666D" w:rsidRPr="000A40B9" w:rsidTr="00250C72">
        <w:trPr>
          <w:trHeight w:val="375"/>
          <w:jc w:val="center"/>
        </w:trPr>
        <w:tc>
          <w:tcPr>
            <w:tcW w:w="428"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rPr>
                <w:sz w:val="24"/>
                <w:szCs w:val="24"/>
              </w:rPr>
            </w:pPr>
            <w:r w:rsidRPr="000A40B9">
              <w:rPr>
                <w:position w:val="-12"/>
                <w:sz w:val="24"/>
                <w:szCs w:val="24"/>
              </w:rPr>
              <w:object w:dxaOrig="340" w:dyaOrig="360">
                <v:shape id="_x0000_i1034" type="#_x0000_t75" style="width:17pt;height:18.35pt" o:ole="">
                  <v:imagedata r:id="rId34" o:title=""/>
                </v:shape>
                <o:OLEObject Type="Embed" ProgID="Equation.3" ShapeID="_x0000_i1034" DrawAspect="Content" ObjectID="_1761998469" r:id="rId35"/>
              </w:object>
            </w:r>
          </w:p>
        </w:tc>
        <w:tc>
          <w:tcPr>
            <w:tcW w:w="4572" w:type="pct"/>
            <w:tcBorders>
              <w:top w:val="single" w:sz="4" w:space="0" w:color="auto"/>
              <w:left w:val="single" w:sz="4" w:space="0" w:color="auto"/>
              <w:bottom w:val="single" w:sz="4" w:space="0" w:color="auto"/>
              <w:right w:val="single" w:sz="4" w:space="0" w:color="auto"/>
            </w:tcBorders>
          </w:tcPr>
          <w:p w:rsidR="00AC666D" w:rsidRPr="000A40B9" w:rsidRDefault="00AC666D" w:rsidP="000A40B9">
            <w:pPr>
              <w:pStyle w:val="af4"/>
              <w:spacing w:line="240" w:lineRule="auto"/>
              <w:jc w:val="left"/>
              <w:rPr>
                <w:sz w:val="24"/>
                <w:szCs w:val="24"/>
              </w:rPr>
            </w:pPr>
            <w:r w:rsidRPr="000A40B9">
              <w:rPr>
                <w:sz w:val="24"/>
                <w:szCs w:val="24"/>
              </w:rPr>
              <w:t>Політична ситуація в країні</w:t>
            </w:r>
          </w:p>
        </w:tc>
      </w:tr>
    </w:tbl>
    <w:p w:rsidR="000A40B9" w:rsidRPr="000A40B9" w:rsidRDefault="000A40B9" w:rsidP="000A40B9">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0A40B9" w:rsidRDefault="000A40B9" w:rsidP="00AC666D">
      <w:pPr>
        <w:pStyle w:val="a8"/>
        <w:spacing w:line="360" w:lineRule="auto"/>
        <w:ind w:firstLine="680"/>
        <w:rPr>
          <w:sz w:val="28"/>
          <w:szCs w:val="28"/>
        </w:rPr>
      </w:pPr>
    </w:p>
    <w:p w:rsidR="000A40B9" w:rsidRDefault="000A40B9" w:rsidP="00AC666D">
      <w:pPr>
        <w:pStyle w:val="a8"/>
        <w:spacing w:line="360" w:lineRule="auto"/>
        <w:ind w:firstLine="680"/>
        <w:rPr>
          <w:sz w:val="28"/>
          <w:szCs w:val="28"/>
        </w:rPr>
      </w:pPr>
      <w:r w:rsidRPr="000A40B9">
        <w:rPr>
          <w:sz w:val="28"/>
          <w:szCs w:val="28"/>
        </w:rPr>
        <w:lastRenderedPageBreak/>
        <w:t>Експертам було запропоновано проаналізувати 10 факторів за ступенем значимості і розташувати їх в порядку важливості від 1 до 10, де 1- найбільш впливовий фактор, а, відповідно, 10 – найменш впливовий. Вибір факторів, що здійснюють суттєвий вплив на зовнішньоекономічну діяльність вітчизняних підприємств [15],  був зумовлений попереднім аналізом зовнішньої діяльності машинобудівних підприємств, що функціонують у сучасних ринкових умовах.</w:t>
      </w:r>
    </w:p>
    <w:p w:rsidR="00AC666D" w:rsidRDefault="00AC666D" w:rsidP="00AC666D">
      <w:pPr>
        <w:pStyle w:val="a8"/>
        <w:spacing w:line="360" w:lineRule="auto"/>
        <w:ind w:firstLine="680"/>
        <w:rPr>
          <w:sz w:val="28"/>
          <w:szCs w:val="28"/>
        </w:rPr>
      </w:pPr>
      <w:r w:rsidRPr="00565DCD">
        <w:rPr>
          <w:sz w:val="28"/>
          <w:szCs w:val="28"/>
        </w:rPr>
        <w:t xml:space="preserve">На основі </w:t>
      </w:r>
      <w:r>
        <w:rPr>
          <w:sz w:val="28"/>
          <w:szCs w:val="28"/>
        </w:rPr>
        <w:t>вихідних даних побудуємо</w:t>
      </w:r>
      <w:r w:rsidRPr="00565DCD">
        <w:rPr>
          <w:sz w:val="28"/>
          <w:szCs w:val="28"/>
        </w:rPr>
        <w:t xml:space="preserve"> таблицю із стандартизованими рангами</w:t>
      </w:r>
      <w:r>
        <w:rPr>
          <w:sz w:val="28"/>
          <w:szCs w:val="28"/>
        </w:rPr>
        <w:t xml:space="preserve"> (табл. 2.</w:t>
      </w:r>
      <w:r w:rsidR="00D46F89">
        <w:rPr>
          <w:sz w:val="28"/>
          <w:szCs w:val="28"/>
        </w:rPr>
        <w:t>2</w:t>
      </w:r>
      <w:r>
        <w:rPr>
          <w:sz w:val="28"/>
          <w:szCs w:val="28"/>
        </w:rPr>
        <w:t>). Стандартизований ранг – це середнє арифметичне зайнятих місць однакових рангів.</w:t>
      </w:r>
    </w:p>
    <w:p w:rsidR="00AC666D" w:rsidRPr="000D28AE" w:rsidRDefault="00AC666D" w:rsidP="00AC666D">
      <w:pPr>
        <w:pStyle w:val="a8"/>
        <w:spacing w:line="360" w:lineRule="auto"/>
        <w:ind w:firstLine="680"/>
        <w:jc w:val="right"/>
        <w:rPr>
          <w:i/>
          <w:sz w:val="28"/>
          <w:szCs w:val="28"/>
        </w:rPr>
      </w:pPr>
      <w:r w:rsidRPr="000D28AE">
        <w:rPr>
          <w:i/>
          <w:sz w:val="28"/>
          <w:szCs w:val="28"/>
        </w:rPr>
        <w:t>Таблиця 2.</w:t>
      </w:r>
      <w:r w:rsidR="00D46F89">
        <w:rPr>
          <w:i/>
          <w:sz w:val="28"/>
          <w:szCs w:val="28"/>
        </w:rPr>
        <w:t>2</w:t>
      </w:r>
    </w:p>
    <w:p w:rsidR="00AC666D" w:rsidRPr="002640D7" w:rsidRDefault="00AC666D" w:rsidP="00AC666D">
      <w:pPr>
        <w:pStyle w:val="a8"/>
        <w:jc w:val="center"/>
        <w:rPr>
          <w:b/>
          <w:bCs/>
          <w:sz w:val="28"/>
          <w:szCs w:val="28"/>
        </w:rPr>
      </w:pPr>
      <w:r w:rsidRPr="002640D7">
        <w:rPr>
          <w:b/>
          <w:bCs/>
          <w:sz w:val="28"/>
          <w:szCs w:val="28"/>
        </w:rPr>
        <w:t>Обчислення результуючих рангів</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911"/>
        <w:gridCol w:w="720"/>
        <w:gridCol w:w="720"/>
        <w:gridCol w:w="900"/>
        <w:gridCol w:w="900"/>
        <w:gridCol w:w="900"/>
        <w:gridCol w:w="720"/>
        <w:gridCol w:w="900"/>
        <w:gridCol w:w="900"/>
        <w:gridCol w:w="720"/>
        <w:gridCol w:w="781"/>
      </w:tblGrid>
      <w:tr w:rsidR="00AC666D" w:rsidRPr="00D46F89" w:rsidTr="00D46F89">
        <w:trPr>
          <w:cantSplit/>
          <w:trHeight w:val="142"/>
        </w:trPr>
        <w:tc>
          <w:tcPr>
            <w:tcW w:w="993" w:type="dxa"/>
            <w:vMerge w:val="restart"/>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108" w:firstLine="0"/>
              <w:jc w:val="center"/>
            </w:pPr>
            <w:r w:rsidRPr="00D46F89">
              <w:t>Експерти</w:t>
            </w:r>
          </w:p>
        </w:tc>
        <w:tc>
          <w:tcPr>
            <w:tcW w:w="8291" w:type="dxa"/>
            <w:gridSpan w:val="10"/>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jc w:val="center"/>
            </w:pPr>
            <w:r w:rsidRPr="00D46F89">
              <w:t>Фактори</w:t>
            </w:r>
          </w:p>
        </w:tc>
        <w:tc>
          <w:tcPr>
            <w:tcW w:w="781" w:type="dxa"/>
            <w:vMerge w:val="restart"/>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152"/>
              <w:jc w:val="center"/>
            </w:pPr>
            <w:r w:rsidRPr="00D46F89">
              <w:rPr>
                <w:position w:val="-30"/>
              </w:rPr>
              <w:object w:dxaOrig="1080" w:dyaOrig="700">
                <v:shape id="_x0000_i1035" type="#_x0000_t75" style="width:30.55pt;height:29.9pt" o:ole="">
                  <v:imagedata r:id="rId36" o:title=""/>
                </v:shape>
                <o:OLEObject Type="Embed" ProgID="Equation.3" ShapeID="_x0000_i1035" DrawAspect="Content" ObjectID="_1761998470" r:id="rId37"/>
              </w:object>
            </w:r>
          </w:p>
        </w:tc>
      </w:tr>
      <w:tr w:rsidR="00AC666D" w:rsidRPr="00D46F89" w:rsidTr="00D46F89">
        <w:trPr>
          <w:cantSplit/>
          <w:trHeight w:val="491"/>
        </w:trPr>
        <w:tc>
          <w:tcPr>
            <w:tcW w:w="993" w:type="dxa"/>
            <w:vMerge/>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pP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position w:val="-10"/>
              </w:rPr>
              <w:object w:dxaOrig="279" w:dyaOrig="340">
                <v:shape id="_x0000_i1036" type="#_x0000_t75" style="width:14.25pt;height:17pt" o:ole="">
                  <v:imagedata r:id="rId38" o:title=""/>
                </v:shape>
                <o:OLEObject Type="Embed" ProgID="Equation.3" ShapeID="_x0000_i1036" DrawAspect="Content" ObjectID="_1761998471" r:id="rId39"/>
              </w:objec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position w:val="-10"/>
              </w:rPr>
              <w:object w:dxaOrig="300" w:dyaOrig="340">
                <v:shape id="_x0000_i1037" type="#_x0000_t75" style="width:14.95pt;height:17pt" o:ole="">
                  <v:imagedata r:id="rId40" o:title=""/>
                </v:shape>
                <o:OLEObject Type="Embed" ProgID="Equation.3" ShapeID="_x0000_i1037" DrawAspect="Content" ObjectID="_1761998472" r:id="rId41"/>
              </w:objec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position w:val="-12"/>
              </w:rPr>
              <w:object w:dxaOrig="300" w:dyaOrig="360">
                <v:shape id="_x0000_i1038" type="#_x0000_t75" style="width:14.95pt;height:18.35pt" o:ole="">
                  <v:imagedata r:id="rId42" o:title=""/>
                </v:shape>
                <o:OLEObject Type="Embed" ProgID="Equation.3" ShapeID="_x0000_i1038" DrawAspect="Content" ObjectID="_1761998473" r:id="rId43"/>
              </w:objec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position w:val="-10"/>
              </w:rPr>
              <w:object w:dxaOrig="300" w:dyaOrig="340">
                <v:shape id="_x0000_i1039" type="#_x0000_t75" style="width:14.95pt;height:17pt" o:ole="">
                  <v:imagedata r:id="rId44" o:title=""/>
                </v:shape>
                <o:OLEObject Type="Embed" ProgID="Equation.3" ShapeID="_x0000_i1039" DrawAspect="Content" ObjectID="_1761998474" r:id="rId45"/>
              </w:objec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position w:val="-12"/>
              </w:rPr>
              <w:object w:dxaOrig="300" w:dyaOrig="360">
                <v:shape id="_x0000_i1040" type="#_x0000_t75" style="width:14.95pt;height:18.35pt" o:ole="">
                  <v:imagedata r:id="rId46" o:title=""/>
                </v:shape>
                <o:OLEObject Type="Embed" ProgID="Equation.3" ShapeID="_x0000_i1040" DrawAspect="Content" ObjectID="_1761998475" r:id="rId47"/>
              </w:objec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position w:val="-12"/>
              </w:rPr>
              <w:object w:dxaOrig="300" w:dyaOrig="360">
                <v:shape id="_x0000_i1041" type="#_x0000_t75" style="width:14.95pt;height:18.35pt" o:ole="">
                  <v:imagedata r:id="rId48" o:title=""/>
                </v:shape>
                <o:OLEObject Type="Embed" ProgID="Equation.3" ShapeID="_x0000_i1041" DrawAspect="Content" ObjectID="_1761998476" r:id="rId49"/>
              </w:objec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position w:val="-12"/>
              </w:rPr>
              <w:object w:dxaOrig="300" w:dyaOrig="360">
                <v:shape id="_x0000_i1042" type="#_x0000_t75" style="width:14.95pt;height:18.35pt" o:ole="">
                  <v:imagedata r:id="rId50" o:title=""/>
                </v:shape>
                <o:OLEObject Type="Embed" ProgID="Equation.3" ShapeID="_x0000_i1042" DrawAspect="Content" ObjectID="_1761998477" r:id="rId51"/>
              </w:objec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position w:val="-12"/>
              </w:rPr>
              <w:object w:dxaOrig="300" w:dyaOrig="360">
                <v:shape id="_x0000_i1043" type="#_x0000_t75" style="width:14.95pt;height:18.35pt" o:ole="">
                  <v:imagedata r:id="rId52" o:title=""/>
                </v:shape>
                <o:OLEObject Type="Embed" ProgID="Equation.3" ShapeID="_x0000_i1043" DrawAspect="Content" ObjectID="_1761998478" r:id="rId53"/>
              </w:objec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r w:rsidRPr="00D46F89">
              <w:rPr>
                <w:position w:val="-12"/>
              </w:rPr>
              <w:object w:dxaOrig="300" w:dyaOrig="360">
                <v:shape id="_x0000_i1044" type="#_x0000_t75" style="width:14.95pt;height:18.35pt" o:ole="">
                  <v:imagedata r:id="rId54" o:title=""/>
                </v:shape>
                <o:OLEObject Type="Embed" ProgID="Equation.3" ShapeID="_x0000_i1044" DrawAspect="Content" ObjectID="_1761998479" r:id="rId55"/>
              </w:objec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position w:val="-10"/>
              </w:rPr>
              <w:object w:dxaOrig="360" w:dyaOrig="300">
                <v:shape id="_x0000_i1045" type="#_x0000_t75" style="width:18.35pt;height:14.95pt" o:ole="">
                  <v:imagedata r:id="rId56" o:title=""/>
                </v:shape>
                <o:OLEObject Type="Embed" ProgID="Equation.3" ShapeID="_x0000_i1045" DrawAspect="Content" ObjectID="_1761998480" r:id="rId57"/>
              </w:object>
            </w:r>
          </w:p>
        </w:tc>
        <w:tc>
          <w:tcPr>
            <w:tcW w:w="781" w:type="dxa"/>
            <w:vMerge/>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p>
        </w:tc>
      </w:tr>
      <w:tr w:rsidR="00AC666D" w:rsidRPr="00D46F89" w:rsidTr="00D46F89">
        <w:trPr>
          <w:trHeight w:val="142"/>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pPr>
            <w:r w:rsidRPr="00D46F89">
              <w:t>1</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2</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4</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8</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6,5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2</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6,5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2</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5</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r w:rsidRPr="00D46F89">
              <w:rPr>
                <w:lang w:val="en-US"/>
              </w:rPr>
              <w:t>5</w:t>
            </w:r>
            <w:r w:rsidRPr="00D46F89">
              <w:t>5</w:t>
            </w:r>
          </w:p>
        </w:tc>
      </w:tr>
      <w:tr w:rsidR="00AC666D" w:rsidRPr="00D46F89" w:rsidTr="00D46F89">
        <w:trPr>
          <w:trHeight w:val="142"/>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pPr>
            <w:r w:rsidRPr="00D46F89">
              <w:t>2</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1,5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8</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lang w:val="en-US"/>
              </w:rPr>
              <w:t>4</w:t>
            </w:r>
            <w:r w:rsidRPr="00D46F89">
              <w:t>,5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6</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t>1</w:t>
            </w:r>
            <w:r w:rsidRPr="00D46F89">
              <w:rPr>
                <w:lang w:val="en-US"/>
              </w:rPr>
              <w:t>,5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4,5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3</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r w:rsidRPr="00D46F89">
              <w:rPr>
                <w:lang w:val="en-US"/>
              </w:rPr>
              <w:t>5</w:t>
            </w:r>
            <w:r w:rsidRPr="00D46F89">
              <w:t>5</w:t>
            </w:r>
          </w:p>
        </w:tc>
      </w:tr>
      <w:tr w:rsidR="00AC666D" w:rsidRPr="00D46F89" w:rsidTr="00D46F89">
        <w:trPr>
          <w:trHeight w:val="142"/>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pPr>
            <w:r w:rsidRPr="00D46F89">
              <w:t>3</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2,5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6</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8</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4,5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lang w:val="en-US"/>
              </w:rPr>
              <w:t>4</w:t>
            </w:r>
            <w:r w:rsidRPr="00D46F89">
              <w:t>,5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2,5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1</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r w:rsidRPr="00D46F89">
              <w:rPr>
                <w:lang w:val="en-US"/>
              </w:rPr>
              <w:t>5</w:t>
            </w:r>
            <w:r w:rsidRPr="00D46F89">
              <w:t>5</w:t>
            </w:r>
          </w:p>
        </w:tc>
      </w:tr>
      <w:tr w:rsidR="00AC666D" w:rsidRPr="00D46F89" w:rsidTr="00D46F89">
        <w:trPr>
          <w:trHeight w:val="228"/>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pPr>
            <w:r w:rsidRPr="00D46F89">
              <w:t>4</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lang w:val="en-US"/>
              </w:rPr>
              <w:t>1</w:t>
            </w:r>
            <w:r w:rsidRPr="00D46F89">
              <w:t>,5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6</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8</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t>7</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4</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3</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1,5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5</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r w:rsidRPr="00D46F89">
              <w:rPr>
                <w:lang w:val="en-US"/>
              </w:rPr>
              <w:t>5</w:t>
            </w:r>
            <w:r w:rsidRPr="00D46F89">
              <w:t>5</w:t>
            </w:r>
          </w:p>
        </w:tc>
      </w:tr>
      <w:tr w:rsidR="00AC666D" w:rsidRPr="00D46F89" w:rsidTr="00D46F89">
        <w:trPr>
          <w:trHeight w:val="228"/>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pPr>
            <w:r w:rsidRPr="00D46F89">
              <w:t>5</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6</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2,5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2,5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4</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7,5</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r w:rsidRPr="00D46F89">
              <w:rPr>
                <w:lang w:val="en-US"/>
              </w:rPr>
              <w:t>5</w:t>
            </w:r>
            <w:r w:rsidRPr="00D46F89">
              <w:t>5</w:t>
            </w:r>
          </w:p>
        </w:tc>
      </w:tr>
      <w:tr w:rsidR="00AC666D" w:rsidRPr="00D46F89" w:rsidTr="00D46F89">
        <w:trPr>
          <w:trHeight w:val="228"/>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rPr>
                <w:lang w:val="en-US"/>
              </w:rPr>
            </w:pPr>
            <w:r w:rsidRPr="00D46F89">
              <w:rPr>
                <w:lang w:val="en-US"/>
              </w:rPr>
              <w:t>6</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2,5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8</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5,5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2,5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4</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5,5</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55</w:t>
            </w:r>
          </w:p>
        </w:tc>
      </w:tr>
      <w:tr w:rsidR="00AC666D" w:rsidRPr="00D46F89" w:rsidTr="00D46F89">
        <w:trPr>
          <w:trHeight w:val="228"/>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rPr>
                <w:lang w:val="en-US"/>
              </w:rPr>
            </w:pPr>
            <w:r w:rsidRPr="00D46F89">
              <w:rPr>
                <w:lang w:val="en-US"/>
              </w:rPr>
              <w:t>7</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4,5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6</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3</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4,5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1,5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7,5</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55</w:t>
            </w:r>
          </w:p>
        </w:tc>
      </w:tr>
      <w:tr w:rsidR="00AC666D" w:rsidRPr="00D46F89" w:rsidTr="00D46F89">
        <w:trPr>
          <w:trHeight w:val="228"/>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rPr>
                <w:lang w:val="en-US"/>
              </w:rPr>
            </w:pPr>
            <w:r w:rsidRPr="00D46F89">
              <w:rPr>
                <w:lang w:val="en-US"/>
              </w:rPr>
              <w:t>8</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2,5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6</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8</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4</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2,5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55</w:t>
            </w:r>
          </w:p>
        </w:tc>
      </w:tr>
      <w:tr w:rsidR="00AC666D" w:rsidRPr="00D46F89" w:rsidTr="00D46F89">
        <w:trPr>
          <w:trHeight w:val="228"/>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rPr>
                <w:lang w:val="en-US"/>
              </w:rPr>
            </w:pPr>
            <w:r w:rsidRPr="00D46F89">
              <w:rPr>
                <w:lang w:val="en-US"/>
              </w:rPr>
              <w:t>9</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8,5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4,5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6</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3</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4,5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8,5</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55</w:t>
            </w:r>
          </w:p>
        </w:tc>
      </w:tr>
      <w:tr w:rsidR="00AC666D" w:rsidRPr="00D46F89" w:rsidTr="00D46F89">
        <w:trPr>
          <w:trHeight w:val="228"/>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rPr>
                <w:lang w:val="en-US"/>
              </w:rPr>
            </w:pPr>
            <w:r w:rsidRPr="00D46F89">
              <w:rPr>
                <w:lang w:val="en-US"/>
              </w:rPr>
              <w:t>10</w: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2</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6</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7</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3,5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3,5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8</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rPr>
                <w:lang w:val="en-US"/>
              </w:rPr>
            </w:pPr>
            <w:r w:rsidRPr="00D46F89">
              <w:rPr>
                <w:lang w:val="en-US"/>
              </w:rPr>
              <w:t>55</w:t>
            </w:r>
          </w:p>
        </w:tc>
      </w:tr>
      <w:tr w:rsidR="00AC666D" w:rsidRPr="00D46F89" w:rsidTr="00D46F89">
        <w:trPr>
          <w:trHeight w:val="962"/>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firstLine="0"/>
              <w:jc w:val="center"/>
            </w:pPr>
            <w:r w:rsidRPr="00D46F89">
              <w:rPr>
                <w:position w:val="-28"/>
              </w:rPr>
              <w:object w:dxaOrig="1120" w:dyaOrig="680">
                <v:shape id="_x0000_i1046" type="#_x0000_t75" style="width:50.25pt;height:31.25pt" o:ole="">
                  <v:imagedata r:id="rId58" o:title=""/>
                </v:shape>
                <o:OLEObject Type="Embed" ProgID="Equation.3" ShapeID="_x0000_i1046" DrawAspect="Content" ObjectID="_1761998481" r:id="rId59"/>
              </w:objec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44"/>
              <w:jc w:val="center"/>
            </w:pPr>
          </w:p>
          <w:p w:rsidR="00AC666D" w:rsidRPr="00D46F89" w:rsidRDefault="00AC666D" w:rsidP="00250C72">
            <w:pPr>
              <w:pStyle w:val="a8"/>
              <w:spacing w:line="240" w:lineRule="auto"/>
              <w:ind w:hanging="44"/>
              <w:jc w:val="center"/>
            </w:pPr>
            <w:r w:rsidRPr="00D46F89">
              <w:t>1</w:t>
            </w:r>
            <w:r w:rsidRPr="00D46F89">
              <w:rPr>
                <w:lang w:val="en-US"/>
              </w:rPr>
              <w:t>8,</w:t>
            </w:r>
            <w:r w:rsidRPr="00D46F89">
              <w:t>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44"/>
              <w:jc w:val="center"/>
            </w:pPr>
          </w:p>
          <w:p w:rsidR="00AC666D" w:rsidRPr="00D46F89" w:rsidRDefault="00AC666D" w:rsidP="00250C72">
            <w:pPr>
              <w:pStyle w:val="a8"/>
              <w:spacing w:line="240" w:lineRule="auto"/>
              <w:ind w:hanging="44"/>
              <w:jc w:val="center"/>
              <w:rPr>
                <w:lang w:val="en-US"/>
              </w:rPr>
            </w:pPr>
            <w:r w:rsidRPr="00D46F89">
              <w:rPr>
                <w:lang w:val="en-US"/>
              </w:rPr>
              <w:t>100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44"/>
              <w:jc w:val="center"/>
            </w:pPr>
          </w:p>
          <w:p w:rsidR="00AC666D" w:rsidRPr="00D46F89" w:rsidRDefault="00AC666D" w:rsidP="00250C72">
            <w:pPr>
              <w:pStyle w:val="a8"/>
              <w:spacing w:line="240" w:lineRule="auto"/>
              <w:ind w:hanging="44"/>
              <w:jc w:val="center"/>
              <w:rPr>
                <w:lang w:val="en-US"/>
              </w:rPr>
            </w:pPr>
            <w:r w:rsidRPr="00D46F89">
              <w:rPr>
                <w:lang w:val="en-US"/>
              </w:rPr>
              <w:t>88</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44"/>
              <w:jc w:val="center"/>
            </w:pPr>
          </w:p>
          <w:p w:rsidR="00AC666D" w:rsidRPr="00D46F89" w:rsidRDefault="00AC666D" w:rsidP="00250C72">
            <w:pPr>
              <w:pStyle w:val="a8"/>
              <w:spacing w:line="240" w:lineRule="auto"/>
              <w:ind w:hanging="44"/>
              <w:jc w:val="center"/>
            </w:pPr>
            <w:r w:rsidRPr="00D46F89">
              <w:rPr>
                <w:lang w:val="en-US"/>
              </w:rPr>
              <w:t>6</w:t>
            </w:r>
            <w:r w:rsidRPr="00D46F89">
              <w:t>4,5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44"/>
              <w:jc w:val="center"/>
            </w:pPr>
          </w:p>
          <w:p w:rsidR="00AC666D" w:rsidRPr="00D46F89" w:rsidRDefault="00AC666D" w:rsidP="00250C72">
            <w:pPr>
              <w:pStyle w:val="a8"/>
              <w:spacing w:line="240" w:lineRule="auto"/>
              <w:ind w:hanging="44"/>
              <w:jc w:val="center"/>
            </w:pPr>
            <w:r w:rsidRPr="00D46F89">
              <w:rPr>
                <w:lang w:val="en-US"/>
              </w:rPr>
              <w:t>6</w:t>
            </w:r>
            <w:r w:rsidRPr="00D46F89">
              <w:t>0,5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44"/>
              <w:jc w:val="center"/>
            </w:pPr>
          </w:p>
          <w:p w:rsidR="00AC666D" w:rsidRPr="00D46F89" w:rsidRDefault="00AC666D" w:rsidP="00250C72">
            <w:pPr>
              <w:pStyle w:val="a8"/>
              <w:spacing w:line="240" w:lineRule="auto"/>
              <w:ind w:hanging="44"/>
              <w:jc w:val="center"/>
            </w:pPr>
            <w:r w:rsidRPr="00D46F89">
              <w:rPr>
                <w:lang w:val="en-US"/>
              </w:rPr>
              <w:t>64</w:t>
            </w:r>
            <w:r w:rsidRPr="00D46F89">
              <w:t>,5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44"/>
              <w:jc w:val="center"/>
            </w:pPr>
          </w:p>
          <w:p w:rsidR="00AC666D" w:rsidRPr="00D46F89" w:rsidRDefault="00AC666D" w:rsidP="00250C72">
            <w:pPr>
              <w:pStyle w:val="a8"/>
              <w:spacing w:line="240" w:lineRule="auto"/>
              <w:ind w:hanging="44"/>
              <w:jc w:val="center"/>
              <w:rPr>
                <w:lang w:val="en-US"/>
              </w:rPr>
            </w:pPr>
            <w:r w:rsidRPr="00D46F89">
              <w:t>22</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44"/>
              <w:jc w:val="center"/>
            </w:pPr>
          </w:p>
          <w:p w:rsidR="00AC666D" w:rsidRPr="00D46F89" w:rsidRDefault="00AC666D" w:rsidP="00250C72">
            <w:pPr>
              <w:pStyle w:val="a8"/>
              <w:spacing w:line="240" w:lineRule="auto"/>
              <w:ind w:hanging="44"/>
              <w:jc w:val="center"/>
            </w:pPr>
            <w:r w:rsidRPr="00D46F89">
              <w:t>3</w:t>
            </w:r>
            <w:r w:rsidRPr="00D46F89">
              <w:rPr>
                <w:lang w:val="en-US"/>
              </w:rPr>
              <w:t>6</w:t>
            </w:r>
            <w:r w:rsidRPr="00D46F89">
              <w:t>,5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152"/>
              <w:jc w:val="center"/>
            </w:pPr>
          </w:p>
          <w:p w:rsidR="00AC666D" w:rsidRPr="00D46F89" w:rsidRDefault="00AC666D" w:rsidP="00250C72">
            <w:pPr>
              <w:pStyle w:val="a8"/>
              <w:spacing w:line="240" w:lineRule="auto"/>
              <w:ind w:hanging="152"/>
              <w:jc w:val="center"/>
            </w:pPr>
            <w:r w:rsidRPr="00D46F89">
              <w:t>27,5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44"/>
              <w:jc w:val="center"/>
            </w:pPr>
          </w:p>
          <w:p w:rsidR="00AC666D" w:rsidRPr="00D46F89" w:rsidRDefault="00AC666D" w:rsidP="00250C72">
            <w:pPr>
              <w:pStyle w:val="a8"/>
              <w:spacing w:line="240" w:lineRule="auto"/>
              <w:ind w:hanging="44"/>
              <w:jc w:val="center"/>
              <w:rPr>
                <w:lang w:val="en-US"/>
              </w:rPr>
            </w:pPr>
            <w:r w:rsidRPr="00D46F89">
              <w:rPr>
                <w:lang w:val="en-US"/>
              </w:rPr>
              <w:t>68</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hanging="152"/>
              <w:jc w:val="center"/>
            </w:pPr>
          </w:p>
          <w:p w:rsidR="00AC666D" w:rsidRPr="00D46F89" w:rsidRDefault="00AC666D" w:rsidP="00250C72">
            <w:pPr>
              <w:pStyle w:val="a8"/>
              <w:spacing w:line="240" w:lineRule="auto"/>
              <w:ind w:hanging="152"/>
              <w:jc w:val="center"/>
              <w:rPr>
                <w:lang w:val="en-US"/>
              </w:rPr>
            </w:pPr>
            <w:r w:rsidRPr="00D46F89">
              <w:t>55</w:t>
            </w:r>
            <w:r w:rsidRPr="00D46F89">
              <w:rPr>
                <w:lang w:val="en-US"/>
              </w:rPr>
              <w:t>0</w:t>
            </w:r>
          </w:p>
          <w:p w:rsidR="00AC666D" w:rsidRPr="00D46F89" w:rsidRDefault="00AC666D" w:rsidP="00250C72">
            <w:pPr>
              <w:spacing w:line="240" w:lineRule="auto"/>
              <w:ind w:hanging="152"/>
              <w:rPr>
                <w:sz w:val="20"/>
                <w:lang w:val="en-US"/>
              </w:rPr>
            </w:pPr>
          </w:p>
        </w:tc>
      </w:tr>
      <w:tr w:rsidR="00AC666D" w:rsidRPr="00D46F89" w:rsidTr="00D46F89">
        <w:trPr>
          <w:trHeight w:val="457"/>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pPr>
            <w:proofErr w:type="spellStart"/>
            <w:r w:rsidRPr="00D46F89">
              <w:t>Резуль</w:t>
            </w:r>
            <w:proofErr w:type="spellEnd"/>
            <w:r w:rsidRPr="00D46F89">
              <w:rPr>
                <w:lang w:val="en-US"/>
              </w:rPr>
              <w:t>-</w:t>
            </w:r>
            <w:proofErr w:type="spellStart"/>
            <w:r w:rsidRPr="00D46F89">
              <w:t>туючийранг</w:t>
            </w:r>
            <w:proofErr w:type="spellEnd"/>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pPr>
            <w:r w:rsidRPr="00D46F89">
              <w:t>1</w:t>
            </w:r>
          </w:p>
          <w:p w:rsidR="00AC666D" w:rsidRPr="00D46F89" w:rsidRDefault="00AC666D" w:rsidP="00250C72">
            <w:pPr>
              <w:pStyle w:val="a8"/>
              <w:spacing w:line="240" w:lineRule="auto"/>
              <w:ind w:left="44" w:hanging="44"/>
              <w:jc w:val="center"/>
            </w:pP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10</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6</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6</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2</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4</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p>
          <w:p w:rsidR="00AC666D" w:rsidRPr="00D46F89" w:rsidRDefault="00AC666D" w:rsidP="00250C72">
            <w:pPr>
              <w:pStyle w:val="a8"/>
              <w:spacing w:line="240" w:lineRule="auto"/>
              <w:ind w:left="44" w:hanging="152"/>
              <w:jc w:val="center"/>
              <w:rPr>
                <w:lang w:val="en-US"/>
              </w:rPr>
            </w:pPr>
            <w:r w:rsidRPr="00D46F89">
              <w:rPr>
                <w:lang w:val="en-US"/>
              </w:rPr>
              <w:t>3</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8</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p>
        </w:tc>
      </w:tr>
      <w:tr w:rsidR="00AC666D" w:rsidRPr="00D46F89" w:rsidTr="00D46F89">
        <w:trPr>
          <w:trHeight w:val="503"/>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pPr>
            <w:r w:rsidRPr="00D46F89">
              <w:rPr>
                <w:position w:val="-14"/>
              </w:rPr>
              <w:object w:dxaOrig="620" w:dyaOrig="340">
                <v:shape id="_x0000_i1047" type="#_x0000_t75" style="width:31.25pt;height:17pt" o:ole="">
                  <v:imagedata r:id="rId60" o:title=""/>
                </v:shape>
                <o:OLEObject Type="Embed" ProgID="Equation.3" ShapeID="_x0000_i1047" DrawAspect="Content" ObjectID="_1761998482" r:id="rId61"/>
              </w:object>
            </w:r>
          </w:p>
          <w:p w:rsidR="00AC666D" w:rsidRPr="00D46F89" w:rsidRDefault="00AC666D" w:rsidP="00250C72">
            <w:pPr>
              <w:spacing w:line="240" w:lineRule="auto"/>
              <w:ind w:left="44" w:firstLine="0"/>
              <w:jc w:val="center"/>
              <w:rPr>
                <w:sz w:val="20"/>
              </w:rPr>
            </w:pP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t>-36,5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t>-45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t>33</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9,5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5,5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t>9,5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t>33</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r w:rsidRPr="00D46F89">
              <w:rPr>
                <w:lang w:val="en-US"/>
              </w:rPr>
              <w:t>-</w:t>
            </w:r>
            <w:r w:rsidRPr="00D46F89">
              <w:t>1</w:t>
            </w:r>
            <w:r w:rsidRPr="00D46F89">
              <w:rPr>
                <w:lang w:val="en-US"/>
              </w:rPr>
              <w:t>8</w:t>
            </w:r>
            <w:r w:rsidRPr="00D46F89">
              <w:t>,5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r w:rsidRPr="00D46F89">
              <w:rPr>
                <w:lang w:val="en-US"/>
              </w:rPr>
              <w:t>-</w:t>
            </w:r>
            <w:r w:rsidRPr="00D46F89">
              <w:t>2</w:t>
            </w:r>
            <w:r w:rsidRPr="00D46F89">
              <w:rPr>
                <w:lang w:val="en-US"/>
              </w:rPr>
              <w:t>7</w:t>
            </w:r>
            <w:r w:rsidRPr="00D46F89">
              <w:t>,5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rPr>
                <w:lang w:val="en-US"/>
              </w:rPr>
            </w:pPr>
            <w:r w:rsidRPr="00D46F89">
              <w:rPr>
                <w:lang w:val="en-US"/>
              </w:rPr>
              <w:t>13</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p>
        </w:tc>
      </w:tr>
      <w:tr w:rsidR="00AC666D" w:rsidRPr="00D46F89" w:rsidTr="00D46F89">
        <w:trPr>
          <w:trHeight w:val="620"/>
        </w:trPr>
        <w:tc>
          <w:tcPr>
            <w:tcW w:w="993"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firstLine="0"/>
              <w:jc w:val="center"/>
            </w:pPr>
            <w:r w:rsidRPr="00D46F89">
              <w:rPr>
                <w:position w:val="-10"/>
              </w:rPr>
              <w:object w:dxaOrig="820" w:dyaOrig="400">
                <v:shape id="_x0000_i1048" type="#_x0000_t75" style="width:40.75pt;height:19.7pt" o:ole="">
                  <v:imagedata r:id="rId62" o:title=""/>
                </v:shape>
                <o:OLEObject Type="Embed" ProgID="Equation.3" ShapeID="_x0000_i1048" DrawAspect="Content" ObjectID="_1761998483" r:id="rId63"/>
              </w:object>
            </w:r>
          </w:p>
        </w:tc>
        <w:tc>
          <w:tcPr>
            <w:tcW w:w="91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1332,25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pPr>
            <w:r w:rsidRPr="00D46F89">
              <w:rPr>
                <w:lang w:val="en-US"/>
              </w:rPr>
              <w:t>20</w:t>
            </w:r>
            <w:r w:rsidRPr="00D46F89">
              <w:t>25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pPr>
            <w:r w:rsidRPr="00D46F89">
              <w:rPr>
                <w:lang w:val="en-US"/>
              </w:rPr>
              <w:t>10</w:t>
            </w:r>
            <w:r w:rsidRPr="00D46F89">
              <w:t>8</w:t>
            </w:r>
            <w:r w:rsidRPr="00D46F89">
              <w:rPr>
                <w:lang w:val="en-US"/>
              </w:rPr>
              <w:t>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pPr>
            <w:r w:rsidRPr="00D46F89">
              <w:t>90,25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pPr>
            <w:r w:rsidRPr="00D46F89">
              <w:t>30,25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pPr>
            <w:r w:rsidRPr="00D46F89">
              <w:t>90,25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t>1</w:t>
            </w:r>
            <w:r w:rsidRPr="00D46F89">
              <w:rPr>
                <w:lang w:val="en-US"/>
              </w:rPr>
              <w:t>089</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pPr>
            <w:r w:rsidRPr="00D46F89">
              <w:rPr>
                <w:lang w:val="en-US"/>
              </w:rPr>
              <w:t>342</w:t>
            </w:r>
            <w:r w:rsidRPr="00D46F89">
              <w:t>,25</w:t>
            </w:r>
          </w:p>
        </w:tc>
        <w:tc>
          <w:tcPr>
            <w:tcW w:w="90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p>
          <w:p w:rsidR="00AC666D" w:rsidRPr="00D46F89" w:rsidRDefault="00AC666D" w:rsidP="00250C72">
            <w:pPr>
              <w:pStyle w:val="a8"/>
              <w:spacing w:line="240" w:lineRule="auto"/>
              <w:ind w:left="44" w:hanging="152"/>
              <w:jc w:val="center"/>
            </w:pPr>
            <w:r w:rsidRPr="00D46F89">
              <w:rPr>
                <w:lang w:val="en-US"/>
              </w:rPr>
              <w:t>75</w:t>
            </w:r>
            <w:r w:rsidRPr="00D46F89">
              <w:t>6,25</w:t>
            </w:r>
          </w:p>
        </w:tc>
        <w:tc>
          <w:tcPr>
            <w:tcW w:w="720"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44"/>
              <w:jc w:val="center"/>
            </w:pPr>
          </w:p>
          <w:p w:rsidR="00AC666D" w:rsidRPr="00D46F89" w:rsidRDefault="00AC666D" w:rsidP="00250C72">
            <w:pPr>
              <w:pStyle w:val="a8"/>
              <w:spacing w:line="240" w:lineRule="auto"/>
              <w:ind w:left="44" w:hanging="44"/>
              <w:jc w:val="center"/>
              <w:rPr>
                <w:lang w:val="en-US"/>
              </w:rPr>
            </w:pPr>
            <w:r w:rsidRPr="00D46F89">
              <w:rPr>
                <w:lang w:val="en-US"/>
              </w:rPr>
              <w:t>169</w:t>
            </w:r>
          </w:p>
        </w:tc>
        <w:tc>
          <w:tcPr>
            <w:tcW w:w="781" w:type="dxa"/>
            <w:tcBorders>
              <w:top w:val="single" w:sz="4" w:space="0" w:color="auto"/>
              <w:left w:val="single" w:sz="4" w:space="0" w:color="auto"/>
              <w:bottom w:val="single" w:sz="4" w:space="0" w:color="auto"/>
              <w:right w:val="single" w:sz="4" w:space="0" w:color="auto"/>
            </w:tcBorders>
          </w:tcPr>
          <w:p w:rsidR="00AC666D" w:rsidRPr="00D46F89" w:rsidRDefault="00AC666D" w:rsidP="00250C72">
            <w:pPr>
              <w:pStyle w:val="a8"/>
              <w:spacing w:line="240" w:lineRule="auto"/>
              <w:ind w:left="44" w:hanging="152"/>
              <w:jc w:val="center"/>
            </w:pPr>
            <w:r w:rsidRPr="00D46F89">
              <w:rPr>
                <w:position w:val="-14"/>
              </w:rPr>
              <w:object w:dxaOrig="420" w:dyaOrig="380">
                <v:shape id="_x0000_i1049" type="#_x0000_t75" style="width:17pt;height:19pt" o:ole="">
                  <v:imagedata r:id="rId64" o:title=""/>
                </v:shape>
                <o:OLEObject Type="Embed" ProgID="Equation.3" ShapeID="_x0000_i1049" DrawAspect="Content" ObjectID="_1761998484" r:id="rId65"/>
              </w:object>
            </w:r>
          </w:p>
          <w:p w:rsidR="00AC666D" w:rsidRPr="00D46F89" w:rsidRDefault="00AC666D" w:rsidP="00250C72">
            <w:pPr>
              <w:pStyle w:val="a8"/>
              <w:spacing w:line="240" w:lineRule="auto"/>
              <w:ind w:left="44" w:hanging="152"/>
              <w:jc w:val="center"/>
              <w:rPr>
                <w:lang w:val="en-US"/>
              </w:rPr>
            </w:pPr>
            <w:r w:rsidRPr="00D46F89">
              <w:t>7013,5</w:t>
            </w:r>
          </w:p>
        </w:tc>
      </w:tr>
    </w:tbl>
    <w:p w:rsidR="00AC666D" w:rsidRPr="003B6C5D" w:rsidRDefault="00AC666D" w:rsidP="00AC666D">
      <w:pPr>
        <w:pStyle w:val="a8"/>
        <w:spacing w:line="360" w:lineRule="auto"/>
        <w:ind w:firstLine="709"/>
        <w:rPr>
          <w:sz w:val="10"/>
          <w:szCs w:val="10"/>
        </w:rPr>
      </w:pPr>
    </w:p>
    <w:p w:rsidR="005C536F" w:rsidRPr="000A40B9" w:rsidRDefault="005C536F" w:rsidP="005C536F">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AC666D" w:rsidP="00AC666D">
      <w:pPr>
        <w:pStyle w:val="a8"/>
        <w:spacing w:line="360" w:lineRule="auto"/>
        <w:ind w:firstLine="709"/>
        <w:rPr>
          <w:sz w:val="28"/>
          <w:szCs w:val="28"/>
        </w:rPr>
      </w:pPr>
      <w:r w:rsidRPr="00C679AE">
        <w:rPr>
          <w:sz w:val="28"/>
          <w:szCs w:val="28"/>
        </w:rPr>
        <w:t xml:space="preserve">Для наочності побудуємо діаграму рангів </w:t>
      </w:r>
      <w:r>
        <w:rPr>
          <w:sz w:val="28"/>
          <w:szCs w:val="28"/>
        </w:rPr>
        <w:t>(рис. 2.</w:t>
      </w:r>
      <w:r w:rsidR="00D46F89">
        <w:rPr>
          <w:sz w:val="28"/>
          <w:szCs w:val="28"/>
        </w:rPr>
        <w:t>1</w:t>
      </w:r>
      <w:r>
        <w:rPr>
          <w:sz w:val="28"/>
          <w:szCs w:val="28"/>
        </w:rPr>
        <w:t xml:space="preserve">). </w:t>
      </w:r>
      <w:r w:rsidRPr="00C679AE">
        <w:rPr>
          <w:sz w:val="28"/>
          <w:szCs w:val="28"/>
        </w:rPr>
        <w:t xml:space="preserve">Отже, згідно думок експертів, на ЗЕД машинобудівних підприємств Хмельниччини в найбільшій мірі впливає перший фактор, тобто </w:t>
      </w:r>
      <w:r>
        <w:rPr>
          <w:sz w:val="28"/>
          <w:szCs w:val="28"/>
        </w:rPr>
        <w:t>з</w:t>
      </w:r>
      <w:r w:rsidRPr="002C38C5">
        <w:rPr>
          <w:sz w:val="28"/>
          <w:szCs w:val="28"/>
        </w:rPr>
        <w:t xml:space="preserve">алучення інвестиційних ресурсів на </w:t>
      </w:r>
      <w:r w:rsidRPr="002C38C5">
        <w:rPr>
          <w:sz w:val="28"/>
          <w:szCs w:val="28"/>
        </w:rPr>
        <w:lastRenderedPageBreak/>
        <w:t>підприємство та в країну</w:t>
      </w:r>
      <w:r w:rsidRPr="00C679AE">
        <w:rPr>
          <w:sz w:val="28"/>
          <w:szCs w:val="28"/>
        </w:rPr>
        <w:t>, а в найменшій мірі – другий фактор (</w:t>
      </w:r>
      <w:r>
        <w:rPr>
          <w:sz w:val="28"/>
          <w:szCs w:val="28"/>
        </w:rPr>
        <w:t xml:space="preserve">прийняті </w:t>
      </w:r>
      <w:r w:rsidRPr="00C679AE">
        <w:rPr>
          <w:sz w:val="28"/>
          <w:szCs w:val="28"/>
        </w:rPr>
        <w:t xml:space="preserve">рішення </w:t>
      </w:r>
      <w:r>
        <w:rPr>
          <w:sz w:val="28"/>
          <w:szCs w:val="28"/>
        </w:rPr>
        <w:t xml:space="preserve">обласної ради та </w:t>
      </w:r>
      <w:r w:rsidRPr="00C679AE">
        <w:rPr>
          <w:sz w:val="28"/>
          <w:szCs w:val="28"/>
        </w:rPr>
        <w:t>облдержадміністрації).</w:t>
      </w:r>
    </w:p>
    <w:p w:rsidR="00AC666D" w:rsidRPr="00FE7F30" w:rsidRDefault="00AC666D" w:rsidP="00AC666D">
      <w:pPr>
        <w:pStyle w:val="a8"/>
        <w:spacing w:line="360" w:lineRule="auto"/>
        <w:ind w:firstLine="709"/>
        <w:rPr>
          <w:sz w:val="28"/>
          <w:szCs w:val="28"/>
        </w:rPr>
      </w:pPr>
      <w:r w:rsidRPr="00FE7F30">
        <w:rPr>
          <w:sz w:val="28"/>
          <w:szCs w:val="28"/>
        </w:rPr>
        <w:t>Для оцінки ступеня узгодженості думок експертів обчислимо коефіцієнт конкордації за формулою:</w:t>
      </w:r>
    </w:p>
    <w:p w:rsidR="00AC666D" w:rsidRPr="006210BE" w:rsidRDefault="00AC666D" w:rsidP="00AC666D">
      <w:pPr>
        <w:pStyle w:val="a8"/>
        <w:ind w:firstLine="709"/>
        <w:jc w:val="center"/>
        <w:rPr>
          <w:sz w:val="28"/>
          <w:szCs w:val="28"/>
        </w:rPr>
      </w:pPr>
      <w:r w:rsidRPr="00FE7F30">
        <w:rPr>
          <w:position w:val="-70"/>
          <w:sz w:val="28"/>
          <w:szCs w:val="28"/>
        </w:rPr>
        <w:object w:dxaOrig="2840" w:dyaOrig="1040">
          <v:shape id="_x0000_i1050" type="#_x0000_t75" style="width:141.95pt;height:52.3pt" o:ole="">
            <v:imagedata r:id="rId66" o:title=""/>
          </v:shape>
          <o:OLEObject Type="Embed" ProgID="Equation.3" ShapeID="_x0000_i1050" DrawAspect="Content" ObjectID="_1761998485" r:id="rId67"/>
        </w:object>
      </w:r>
      <w:r w:rsidRPr="00BA5547">
        <w:rPr>
          <w:sz w:val="28"/>
          <w:szCs w:val="28"/>
        </w:rPr>
        <w:t xml:space="preserve">     </w:t>
      </w:r>
      <w:r>
        <w:rPr>
          <w:sz w:val="28"/>
          <w:szCs w:val="28"/>
        </w:rPr>
        <w:t xml:space="preserve">                                                                       (2.1</w:t>
      </w:r>
      <w:r w:rsidRPr="00BA5547">
        <w:rPr>
          <w:sz w:val="28"/>
          <w:szCs w:val="28"/>
        </w:rPr>
        <w:t>)</w:t>
      </w:r>
    </w:p>
    <w:p w:rsidR="00AC666D" w:rsidRDefault="00AC666D" w:rsidP="00AC666D">
      <w:pPr>
        <w:ind w:firstLine="720"/>
        <w:rPr>
          <w:szCs w:val="28"/>
        </w:rPr>
      </w:pPr>
      <w:r>
        <w:rPr>
          <w:szCs w:val="28"/>
        </w:rPr>
        <w:t xml:space="preserve">де </w:t>
      </w:r>
      <w:r w:rsidRPr="00520373">
        <w:rPr>
          <w:position w:val="-12"/>
          <w:szCs w:val="28"/>
        </w:rPr>
        <w:object w:dxaOrig="240" w:dyaOrig="360">
          <v:shape id="_x0000_i1051" type="#_x0000_t75" style="width:12.25pt;height:18.35pt" o:ole="">
            <v:imagedata r:id="rId68" o:title=""/>
          </v:shape>
          <o:OLEObject Type="Embed" ProgID="Equation.3" ShapeID="_x0000_i1051" DrawAspect="Content" ObjectID="_1761998486" r:id="rId69"/>
        </w:object>
      </w:r>
      <w:r>
        <w:rPr>
          <w:szCs w:val="28"/>
        </w:rPr>
        <w:t xml:space="preserve"> – величина, яка враховує число типів пов’язаних рангів у рядку;</w:t>
      </w:r>
    </w:p>
    <w:p w:rsidR="00AC666D" w:rsidRDefault="00AC666D" w:rsidP="00AC666D">
      <w:pPr>
        <w:ind w:firstLine="720"/>
        <w:rPr>
          <w:szCs w:val="28"/>
        </w:rPr>
      </w:pPr>
      <w:r w:rsidRPr="00520373">
        <w:rPr>
          <w:rStyle w:val="af5"/>
          <w:szCs w:val="28"/>
        </w:rPr>
        <w:t>п</w:t>
      </w:r>
      <w:r w:rsidRPr="00520373">
        <w:rPr>
          <w:szCs w:val="28"/>
        </w:rPr>
        <w:t xml:space="preserve"> - кількість об'єктів</w:t>
      </w:r>
      <w:r>
        <w:rPr>
          <w:szCs w:val="28"/>
        </w:rPr>
        <w:t>, що аналізуються;</w:t>
      </w:r>
    </w:p>
    <w:p w:rsidR="00AC666D" w:rsidRDefault="00AC666D" w:rsidP="00AC666D">
      <w:pPr>
        <w:ind w:firstLine="720"/>
        <w:rPr>
          <w:szCs w:val="28"/>
        </w:rPr>
      </w:pPr>
      <w:r w:rsidRPr="00520373">
        <w:rPr>
          <w:rStyle w:val="af5"/>
          <w:szCs w:val="28"/>
        </w:rPr>
        <w:t>т</w:t>
      </w:r>
      <w:r>
        <w:rPr>
          <w:szCs w:val="28"/>
        </w:rPr>
        <w:t xml:space="preserve"> - кількість експертів;</w:t>
      </w:r>
    </w:p>
    <w:p w:rsidR="00AC666D" w:rsidRDefault="00AC666D" w:rsidP="00AC666D">
      <w:pPr>
        <w:ind w:firstLine="720"/>
        <w:rPr>
          <w:szCs w:val="28"/>
        </w:rPr>
      </w:pPr>
      <w:r w:rsidRPr="00520373">
        <w:rPr>
          <w:position w:val="-6"/>
          <w:szCs w:val="28"/>
        </w:rPr>
        <w:object w:dxaOrig="220" w:dyaOrig="279">
          <v:shape id="_x0000_i1052" type="#_x0000_t75" style="width:10.85pt;height:14.25pt" o:ole="">
            <v:imagedata r:id="rId70" o:title=""/>
          </v:shape>
          <o:OLEObject Type="Embed" ProgID="Equation.3" ShapeID="_x0000_i1052" DrawAspect="Content" ObjectID="_1761998487" r:id="rId71"/>
        </w:object>
      </w:r>
      <w:r>
        <w:rPr>
          <w:szCs w:val="28"/>
        </w:rPr>
        <w:t>- сума квадратів відхилень сум рангів по кожному фактору від середньої суми рангів за всіма факторами та експертами.</w:t>
      </w:r>
    </w:p>
    <w:p w:rsidR="00D46F89" w:rsidRPr="00FA75F4" w:rsidRDefault="00D46F89" w:rsidP="00AC666D">
      <w:pPr>
        <w:ind w:firstLine="720"/>
        <w:rPr>
          <w:szCs w:val="28"/>
        </w:rPr>
      </w:pPr>
    </w:p>
    <w:p w:rsidR="00AC666D" w:rsidRPr="00C679AE" w:rsidRDefault="00AC666D" w:rsidP="00AC666D">
      <w:pPr>
        <w:pStyle w:val="a8"/>
        <w:spacing w:line="360" w:lineRule="auto"/>
        <w:ind w:firstLine="709"/>
        <w:rPr>
          <w:sz w:val="28"/>
          <w:szCs w:val="28"/>
        </w:rPr>
      </w:pPr>
      <w:r>
        <w:rPr>
          <w:bCs/>
          <w:noProof/>
          <w:sz w:val="28"/>
          <w:szCs w:val="28"/>
          <w:lang w:val="ru-RU"/>
        </w:rPr>
        <w:drawing>
          <wp:anchor distT="0" distB="0" distL="114300" distR="114300" simplePos="0" relativeHeight="251671552" behindDoc="0" locked="0" layoutInCell="1" allowOverlap="1">
            <wp:simplePos x="0" y="0"/>
            <wp:positionH relativeFrom="column">
              <wp:posOffset>0</wp:posOffset>
            </wp:positionH>
            <wp:positionV relativeFrom="paragraph">
              <wp:posOffset>64770</wp:posOffset>
            </wp:positionV>
            <wp:extent cx="6057900" cy="2267585"/>
            <wp:effectExtent l="3810" t="0" r="0" b="635"/>
            <wp:wrapNone/>
            <wp:docPr id="8" name="Диаграмма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14:sizeRelH relativeFrom="page">
              <wp14:pctWidth>0</wp14:pctWidth>
            </wp14:sizeRelH>
            <wp14:sizeRelV relativeFrom="page">
              <wp14:pctHeight>0</wp14:pctHeight>
            </wp14:sizeRelV>
          </wp:anchor>
        </w:drawing>
      </w:r>
    </w:p>
    <w:p w:rsidR="00AC666D" w:rsidRDefault="00AC666D" w:rsidP="00AC666D">
      <w:pPr>
        <w:pStyle w:val="a8"/>
        <w:spacing w:line="360" w:lineRule="auto"/>
        <w:ind w:firstLine="709"/>
        <w:rPr>
          <w:sz w:val="28"/>
          <w:szCs w:val="28"/>
        </w:rPr>
      </w:pPr>
    </w:p>
    <w:p w:rsidR="00AC666D" w:rsidRDefault="00AC666D" w:rsidP="00AC666D">
      <w:pPr>
        <w:pStyle w:val="a8"/>
        <w:spacing w:line="360" w:lineRule="auto"/>
        <w:ind w:firstLine="709"/>
        <w:rPr>
          <w:sz w:val="28"/>
          <w:szCs w:val="28"/>
        </w:rPr>
      </w:pPr>
    </w:p>
    <w:p w:rsidR="00AC666D" w:rsidRDefault="00AC666D" w:rsidP="00AC666D">
      <w:pPr>
        <w:pStyle w:val="a8"/>
        <w:spacing w:line="360" w:lineRule="auto"/>
        <w:ind w:firstLine="709"/>
        <w:rPr>
          <w:sz w:val="28"/>
          <w:szCs w:val="28"/>
        </w:rPr>
      </w:pPr>
    </w:p>
    <w:p w:rsidR="00AC666D" w:rsidRDefault="00AC666D" w:rsidP="00AC666D">
      <w:pPr>
        <w:pStyle w:val="a8"/>
        <w:spacing w:line="360" w:lineRule="auto"/>
        <w:ind w:firstLine="709"/>
        <w:rPr>
          <w:sz w:val="28"/>
          <w:szCs w:val="28"/>
        </w:rPr>
      </w:pPr>
    </w:p>
    <w:p w:rsidR="00AC666D" w:rsidRDefault="00AC666D" w:rsidP="00AC666D">
      <w:pPr>
        <w:pStyle w:val="a8"/>
        <w:spacing w:line="360" w:lineRule="auto"/>
        <w:ind w:firstLine="709"/>
        <w:rPr>
          <w:sz w:val="28"/>
          <w:szCs w:val="28"/>
        </w:rPr>
      </w:pPr>
    </w:p>
    <w:p w:rsidR="00AC666D" w:rsidRDefault="00AC666D" w:rsidP="00AC666D">
      <w:pPr>
        <w:pStyle w:val="a8"/>
        <w:spacing w:line="360" w:lineRule="auto"/>
        <w:ind w:firstLine="709"/>
        <w:rPr>
          <w:sz w:val="28"/>
          <w:szCs w:val="28"/>
        </w:rPr>
      </w:pPr>
    </w:p>
    <w:p w:rsidR="005C536F" w:rsidRPr="000A40B9" w:rsidRDefault="005C536F" w:rsidP="005C536F">
      <w:pPr>
        <w:pStyle w:val="af1"/>
        <w:ind w:firstLine="900"/>
        <w:jc w:val="both"/>
      </w:pPr>
      <w:r>
        <w:rPr>
          <w:szCs w:val="28"/>
          <w:lang w:eastAsia="en-US"/>
        </w:rPr>
        <w:t>Джерело:</w:t>
      </w:r>
      <w:r>
        <w:rPr>
          <w:szCs w:val="28"/>
          <w:lang w:val="en-US" w:eastAsia="en-US"/>
        </w:rPr>
        <w:t xml:space="preserve"> </w:t>
      </w:r>
      <w:r>
        <w:rPr>
          <w:szCs w:val="28"/>
          <w:lang w:eastAsia="en-US"/>
        </w:rPr>
        <w:t>автор</w:t>
      </w:r>
    </w:p>
    <w:p w:rsidR="00AC666D" w:rsidRDefault="00AC666D" w:rsidP="00AC666D">
      <w:pPr>
        <w:pStyle w:val="a8"/>
        <w:ind w:firstLine="720"/>
        <w:rPr>
          <w:bCs/>
          <w:sz w:val="28"/>
          <w:szCs w:val="28"/>
        </w:rPr>
      </w:pPr>
      <w:bookmarkStart w:id="0" w:name="_GoBack"/>
      <w:bookmarkEnd w:id="0"/>
      <w:r>
        <w:rPr>
          <w:bCs/>
          <w:sz w:val="28"/>
          <w:szCs w:val="28"/>
        </w:rPr>
        <w:t>Рис. 2.</w:t>
      </w:r>
      <w:r w:rsidR="00D46F89">
        <w:rPr>
          <w:bCs/>
          <w:sz w:val="28"/>
          <w:szCs w:val="28"/>
        </w:rPr>
        <w:t>1</w:t>
      </w:r>
      <w:r>
        <w:rPr>
          <w:bCs/>
          <w:sz w:val="28"/>
          <w:szCs w:val="28"/>
        </w:rPr>
        <w:t>. Експертна оцінка факторів впливу на зовнішньоекономічну діяльність машинобудівних підприємств Хмельниччини</w:t>
      </w:r>
    </w:p>
    <w:p w:rsidR="00AC666D" w:rsidRPr="00CD7484" w:rsidRDefault="00AC666D" w:rsidP="00AC666D">
      <w:pPr>
        <w:pStyle w:val="a8"/>
        <w:ind w:firstLine="720"/>
        <w:rPr>
          <w:bCs/>
          <w:sz w:val="28"/>
          <w:szCs w:val="28"/>
        </w:rPr>
      </w:pPr>
    </w:p>
    <w:p w:rsidR="00AC666D" w:rsidRPr="00FE7F30" w:rsidRDefault="00AC666D" w:rsidP="00AC666D">
      <w:pPr>
        <w:ind w:firstLine="720"/>
        <w:rPr>
          <w:szCs w:val="28"/>
        </w:rPr>
      </w:pPr>
      <w:r>
        <w:rPr>
          <w:szCs w:val="28"/>
        </w:rPr>
        <w:t>К</w:t>
      </w:r>
      <w:r w:rsidRPr="00FE7F30">
        <w:rPr>
          <w:szCs w:val="28"/>
        </w:rPr>
        <w:t xml:space="preserve">оефіцієнт конкордації </w:t>
      </w:r>
      <w:r>
        <w:rPr>
          <w:szCs w:val="28"/>
        </w:rPr>
        <w:t>проведеної залежності наближається до одиниці і склав величину рівну 0,86</w:t>
      </w:r>
      <w:r w:rsidR="00D46F89">
        <w:rPr>
          <w:szCs w:val="28"/>
          <w:lang w:val="ru-RU"/>
        </w:rPr>
        <w:t xml:space="preserve">, </w:t>
      </w:r>
      <w:r>
        <w:rPr>
          <w:szCs w:val="28"/>
        </w:rPr>
        <w:t>що говорить про те, що думки експертів збігаються.</w:t>
      </w:r>
    </w:p>
    <w:p w:rsidR="00AC666D" w:rsidRPr="00E51632" w:rsidRDefault="00AC666D" w:rsidP="00AC666D">
      <w:pPr>
        <w:pStyle w:val="aa"/>
        <w:spacing w:before="0" w:beforeAutospacing="0" w:after="0" w:afterAutospacing="0" w:line="360" w:lineRule="auto"/>
        <w:ind w:firstLine="709"/>
        <w:jc w:val="both"/>
        <w:rPr>
          <w:sz w:val="28"/>
          <w:szCs w:val="28"/>
          <w:lang w:val="uk-UA"/>
        </w:rPr>
      </w:pPr>
      <w:r>
        <w:rPr>
          <w:sz w:val="28"/>
          <w:szCs w:val="28"/>
          <w:lang w:val="uk-UA"/>
        </w:rPr>
        <w:t>Для того щ</w:t>
      </w:r>
      <w:r w:rsidRPr="00E51632">
        <w:rPr>
          <w:sz w:val="28"/>
          <w:szCs w:val="28"/>
          <w:lang w:val="uk-UA"/>
        </w:rPr>
        <w:t xml:space="preserve">об переконатися, що отриманий коефіцієнт конкордації, що характеризує середній ступінь погодженості думок експертів, </w:t>
      </w:r>
      <w:r>
        <w:rPr>
          <w:sz w:val="28"/>
          <w:szCs w:val="28"/>
          <w:lang w:val="uk-UA"/>
        </w:rPr>
        <w:t>є величиною невипадковою</w:t>
      </w:r>
      <w:r w:rsidRPr="00E51632">
        <w:rPr>
          <w:sz w:val="28"/>
          <w:szCs w:val="28"/>
          <w:lang w:val="uk-UA"/>
        </w:rPr>
        <w:t xml:space="preserve"> й ми можемо довіряти отриманим результатам, перевіримо його значимість. Необхідність такої оцінки </w:t>
      </w:r>
      <w:r>
        <w:rPr>
          <w:sz w:val="28"/>
          <w:szCs w:val="28"/>
          <w:lang w:val="uk-UA"/>
        </w:rPr>
        <w:t>можна пояснити тим</w:t>
      </w:r>
      <w:r w:rsidRPr="00E51632">
        <w:rPr>
          <w:sz w:val="28"/>
          <w:szCs w:val="28"/>
          <w:lang w:val="uk-UA"/>
        </w:rPr>
        <w:t xml:space="preserve">, що ми </w:t>
      </w:r>
      <w:r w:rsidRPr="00E51632">
        <w:rPr>
          <w:sz w:val="28"/>
          <w:szCs w:val="28"/>
          <w:lang w:val="uk-UA"/>
        </w:rPr>
        <w:lastRenderedPageBreak/>
        <w:t>користуємося вибірковими даними (залучаються не всі фахівці, тому отриманий результат може бути випадковим).</w:t>
      </w:r>
    </w:p>
    <w:p w:rsidR="00AC666D" w:rsidRPr="00E51632" w:rsidRDefault="00AC666D" w:rsidP="00AC666D">
      <w:pPr>
        <w:pStyle w:val="aa"/>
        <w:spacing w:before="0" w:beforeAutospacing="0" w:after="0" w:afterAutospacing="0" w:line="360" w:lineRule="auto"/>
        <w:ind w:firstLine="709"/>
        <w:jc w:val="both"/>
        <w:rPr>
          <w:sz w:val="28"/>
          <w:szCs w:val="28"/>
          <w:lang w:val="uk-UA"/>
        </w:rPr>
      </w:pPr>
      <w:r w:rsidRPr="00E51632">
        <w:rPr>
          <w:sz w:val="28"/>
          <w:szCs w:val="28"/>
          <w:lang w:val="uk-UA"/>
        </w:rPr>
        <w:t xml:space="preserve">Для оцінки значимості коефіцієнта конкордації скористаємося критерієм згоди </w:t>
      </w:r>
      <w:r w:rsidRPr="0017051B">
        <w:rPr>
          <w:position w:val="-6"/>
          <w:sz w:val="28"/>
          <w:szCs w:val="28"/>
          <w:lang w:val="uk-UA"/>
        </w:rPr>
        <w:object w:dxaOrig="279" w:dyaOrig="320">
          <v:shape id="_x0000_i1053" type="#_x0000_t75" style="width:14.25pt;height:16.3pt" o:ole="">
            <v:imagedata r:id="rId73" o:title=""/>
          </v:shape>
          <o:OLEObject Type="Embed" ProgID="Equation.3" ShapeID="_x0000_i1053" DrawAspect="Content" ObjectID="_1761998488" r:id="rId74"/>
        </w:object>
      </w:r>
      <w:r>
        <w:rPr>
          <w:sz w:val="28"/>
          <w:szCs w:val="28"/>
          <w:lang w:val="uk-UA"/>
        </w:rPr>
        <w:t xml:space="preserve"> (критерій </w:t>
      </w:r>
      <w:proofErr w:type="spellStart"/>
      <w:r>
        <w:rPr>
          <w:sz w:val="28"/>
          <w:szCs w:val="28"/>
          <w:lang w:val="uk-UA"/>
        </w:rPr>
        <w:t>Пі</w:t>
      </w:r>
      <w:r w:rsidRPr="00E51632">
        <w:rPr>
          <w:sz w:val="28"/>
          <w:szCs w:val="28"/>
          <w:lang w:val="uk-UA"/>
        </w:rPr>
        <w:t>рсон</w:t>
      </w:r>
      <w:r>
        <w:rPr>
          <w:sz w:val="28"/>
          <w:szCs w:val="28"/>
          <w:lang w:val="uk-UA"/>
        </w:rPr>
        <w:t>а</w:t>
      </w:r>
      <w:proofErr w:type="spellEnd"/>
      <w:r>
        <w:rPr>
          <w:sz w:val="28"/>
          <w:szCs w:val="28"/>
          <w:lang w:val="uk-UA"/>
        </w:rPr>
        <w:t>),</w:t>
      </w:r>
      <w:r w:rsidR="00D46F89">
        <w:rPr>
          <w:sz w:val="28"/>
          <w:szCs w:val="28"/>
          <w:lang w:val="uk-UA"/>
        </w:rPr>
        <w:t xml:space="preserve"> що обчислюється за формулою 2.2</w:t>
      </w:r>
      <w:r>
        <w:rPr>
          <w:sz w:val="28"/>
          <w:szCs w:val="28"/>
          <w:lang w:val="uk-UA"/>
        </w:rPr>
        <w:t xml:space="preserve"> (при наявності по</w:t>
      </w:r>
      <w:r w:rsidRPr="00E51632">
        <w:rPr>
          <w:sz w:val="28"/>
          <w:szCs w:val="28"/>
          <w:lang w:val="uk-UA"/>
        </w:rPr>
        <w:t>в'язаних рангів):</w:t>
      </w:r>
    </w:p>
    <w:p w:rsidR="00AC666D" w:rsidRPr="00FE7F30" w:rsidRDefault="00AC666D" w:rsidP="00AC666D">
      <w:pPr>
        <w:ind w:firstLine="709"/>
        <w:jc w:val="center"/>
        <w:rPr>
          <w:szCs w:val="28"/>
        </w:rPr>
      </w:pPr>
      <w:r w:rsidRPr="006210BE">
        <w:rPr>
          <w:position w:val="-60"/>
          <w:szCs w:val="28"/>
        </w:rPr>
        <w:object w:dxaOrig="6600" w:dyaOrig="980">
          <v:shape id="_x0000_i1054" type="#_x0000_t75" style="width:330.1pt;height:48.9pt" o:ole="">
            <v:imagedata r:id="rId75" o:title=""/>
          </v:shape>
          <o:OLEObject Type="Embed" ProgID="Equation.3" ShapeID="_x0000_i1054" DrawAspect="Content" ObjectID="_1761998489" r:id="rId76"/>
        </w:object>
      </w:r>
      <w:r>
        <w:rPr>
          <w:szCs w:val="28"/>
        </w:rPr>
        <w:t xml:space="preserve">                         (2.2)</w:t>
      </w:r>
    </w:p>
    <w:p w:rsidR="00AC666D" w:rsidRPr="00BB4C83" w:rsidRDefault="00AC666D" w:rsidP="00AC666D">
      <w:pPr>
        <w:ind w:firstLine="709"/>
        <w:rPr>
          <w:szCs w:val="28"/>
        </w:rPr>
      </w:pPr>
      <w:r w:rsidRPr="00FE7F30">
        <w:rPr>
          <w:szCs w:val="28"/>
        </w:rPr>
        <w:t>Розрахункове значення порівнюється з табличним. В нашому випад</w:t>
      </w:r>
      <w:r>
        <w:rPr>
          <w:szCs w:val="28"/>
        </w:rPr>
        <w:t>ку при числі ступенів вільності</w:t>
      </w:r>
      <w:r w:rsidRPr="00FE7F30">
        <w:rPr>
          <w:szCs w:val="28"/>
        </w:rPr>
        <w:t xml:space="preserve"> </w:t>
      </w:r>
      <w:r w:rsidRPr="00FE7F30">
        <w:rPr>
          <w:position w:val="-6"/>
          <w:szCs w:val="28"/>
        </w:rPr>
        <w:object w:dxaOrig="1320" w:dyaOrig="240">
          <v:shape id="_x0000_i1055" type="#_x0000_t75" style="width:65.9pt;height:12.25pt" o:ole="">
            <v:imagedata r:id="rId77" o:title=""/>
          </v:shape>
          <o:OLEObject Type="Embed" ProgID="Equation.3" ShapeID="_x0000_i1055" DrawAspect="Content" ObjectID="_1761998490" r:id="rId78"/>
        </w:object>
      </w:r>
      <w:r w:rsidRPr="00FE7F30">
        <w:rPr>
          <w:szCs w:val="28"/>
        </w:rPr>
        <w:t xml:space="preserve"> і рівні значущості </w:t>
      </w:r>
      <w:r w:rsidRPr="00FE7F30">
        <w:rPr>
          <w:position w:val="-8"/>
          <w:szCs w:val="28"/>
        </w:rPr>
        <w:object w:dxaOrig="820" w:dyaOrig="279">
          <v:shape id="_x0000_i1056" type="#_x0000_t75" style="width:40.75pt;height:14.25pt" o:ole="">
            <v:imagedata r:id="rId79" o:title=""/>
          </v:shape>
          <o:OLEObject Type="Embed" ProgID="Equation.3" ShapeID="_x0000_i1056" DrawAspect="Content" ObjectID="_1761998491" r:id="rId80"/>
        </w:object>
      </w:r>
      <w:r w:rsidRPr="00FE7F30">
        <w:rPr>
          <w:szCs w:val="28"/>
        </w:rPr>
        <w:t xml:space="preserve">  </w:t>
      </w:r>
      <w:r w:rsidRPr="0017051B">
        <w:rPr>
          <w:position w:val="-12"/>
          <w:szCs w:val="28"/>
        </w:rPr>
        <w:object w:dxaOrig="1080" w:dyaOrig="380">
          <v:shape id="_x0000_i1057" type="#_x0000_t75" style="width:54.35pt;height:19pt" o:ole="">
            <v:imagedata r:id="rId81" o:title=""/>
          </v:shape>
          <o:OLEObject Type="Embed" ProgID="Equation.3" ShapeID="_x0000_i1057" DrawAspect="Content" ObjectID="_1761998492" r:id="rId82"/>
        </w:object>
      </w:r>
      <w:r w:rsidR="004957C3">
        <w:rPr>
          <w:szCs w:val="28"/>
        </w:rPr>
        <w:t xml:space="preserve"> </w:t>
      </w:r>
    </w:p>
    <w:p w:rsidR="00AC666D" w:rsidRDefault="00AC666D" w:rsidP="00AC666D">
      <w:pPr>
        <w:ind w:firstLine="709"/>
        <w:jc w:val="center"/>
        <w:rPr>
          <w:szCs w:val="28"/>
        </w:rPr>
      </w:pPr>
      <w:r>
        <w:rPr>
          <w:szCs w:val="28"/>
        </w:rPr>
        <w:t xml:space="preserve">                                          </w:t>
      </w:r>
      <w:r w:rsidRPr="0017051B">
        <w:rPr>
          <w:position w:val="-14"/>
          <w:szCs w:val="28"/>
        </w:rPr>
        <w:object w:dxaOrig="2540" w:dyaOrig="400">
          <v:shape id="_x0000_i1058" type="#_x0000_t75" style="width:127pt;height:19.7pt" o:ole="">
            <v:imagedata r:id="rId83" o:title=""/>
          </v:shape>
          <o:OLEObject Type="Embed" ProgID="Equation.3" ShapeID="_x0000_i1058" DrawAspect="Content" ObjectID="_1761998493" r:id="rId84"/>
        </w:object>
      </w:r>
      <w:r>
        <w:rPr>
          <w:szCs w:val="28"/>
        </w:rPr>
        <w:t xml:space="preserve">                                         (2.3)</w:t>
      </w:r>
    </w:p>
    <w:p w:rsidR="00AC666D" w:rsidRPr="00E51632" w:rsidRDefault="00AC666D" w:rsidP="00AC666D">
      <w:pPr>
        <w:pStyle w:val="aa"/>
        <w:spacing w:before="0" w:beforeAutospacing="0" w:after="0" w:afterAutospacing="0" w:line="360" w:lineRule="auto"/>
        <w:ind w:firstLine="709"/>
        <w:jc w:val="both"/>
        <w:rPr>
          <w:sz w:val="28"/>
          <w:szCs w:val="28"/>
          <w:lang w:val="uk-UA"/>
        </w:rPr>
      </w:pPr>
      <w:r>
        <w:rPr>
          <w:sz w:val="28"/>
          <w:szCs w:val="28"/>
          <w:lang w:val="uk-UA"/>
        </w:rPr>
        <w:t>Отже, гіпотеза</w:t>
      </w:r>
      <w:r w:rsidRPr="00FE7F30">
        <w:rPr>
          <w:sz w:val="28"/>
          <w:szCs w:val="28"/>
          <w:lang w:val="uk-UA"/>
        </w:rPr>
        <w:t xml:space="preserve"> про випад</w:t>
      </w:r>
      <w:r>
        <w:rPr>
          <w:sz w:val="28"/>
          <w:szCs w:val="28"/>
          <w:lang w:val="uk-UA"/>
        </w:rPr>
        <w:t>ковість думок експертів відкидає</w:t>
      </w:r>
      <w:r w:rsidRPr="00FE7F30">
        <w:rPr>
          <w:sz w:val="28"/>
          <w:szCs w:val="28"/>
          <w:lang w:val="uk-UA"/>
        </w:rPr>
        <w:t>ть</w:t>
      </w:r>
      <w:r>
        <w:rPr>
          <w:sz w:val="28"/>
          <w:szCs w:val="28"/>
          <w:lang w:val="uk-UA"/>
        </w:rPr>
        <w:t>ся</w:t>
      </w:r>
      <w:r w:rsidRPr="00FE7F30">
        <w:rPr>
          <w:sz w:val="28"/>
          <w:szCs w:val="28"/>
          <w:lang w:val="uk-UA"/>
        </w:rPr>
        <w:t xml:space="preserve">. </w:t>
      </w:r>
      <w:r>
        <w:rPr>
          <w:sz w:val="28"/>
          <w:szCs w:val="28"/>
          <w:lang w:val="uk-UA"/>
        </w:rPr>
        <w:t>Таким чином,</w:t>
      </w:r>
      <w:r w:rsidRPr="00FE7F30">
        <w:rPr>
          <w:sz w:val="28"/>
          <w:szCs w:val="28"/>
          <w:lang w:val="uk-UA"/>
        </w:rPr>
        <w:t xml:space="preserve"> можна стверджувати, що </w:t>
      </w:r>
      <w:r>
        <w:rPr>
          <w:sz w:val="28"/>
          <w:szCs w:val="28"/>
          <w:lang w:val="uk-UA"/>
        </w:rPr>
        <w:t>о</w:t>
      </w:r>
      <w:r w:rsidRPr="00E51632">
        <w:rPr>
          <w:sz w:val="28"/>
          <w:szCs w:val="28"/>
          <w:lang w:val="uk-UA"/>
        </w:rPr>
        <w:t xml:space="preserve">триманим результатам </w:t>
      </w:r>
      <w:r>
        <w:rPr>
          <w:sz w:val="28"/>
          <w:szCs w:val="28"/>
          <w:lang w:val="uk-UA"/>
        </w:rPr>
        <w:t>щодо оцінки</w:t>
      </w:r>
      <w:r w:rsidRPr="00E51632">
        <w:rPr>
          <w:sz w:val="28"/>
          <w:szCs w:val="28"/>
          <w:lang w:val="uk-UA"/>
        </w:rPr>
        <w:t xml:space="preserve"> </w:t>
      </w:r>
      <w:r w:rsidRPr="00FE7F30">
        <w:rPr>
          <w:sz w:val="28"/>
          <w:szCs w:val="28"/>
          <w:lang w:val="uk-UA"/>
        </w:rPr>
        <w:t>факторів, які впливають на ЗЕД машинобудівних підприємств Хмельниччини</w:t>
      </w:r>
      <w:r>
        <w:rPr>
          <w:sz w:val="28"/>
          <w:szCs w:val="28"/>
          <w:lang w:val="uk-UA"/>
        </w:rPr>
        <w:t>, за</w:t>
      </w:r>
      <w:r w:rsidRPr="00E51632">
        <w:rPr>
          <w:sz w:val="28"/>
          <w:szCs w:val="28"/>
          <w:lang w:val="uk-UA"/>
        </w:rPr>
        <w:t xml:space="preserve"> </w:t>
      </w:r>
      <w:r>
        <w:rPr>
          <w:sz w:val="28"/>
          <w:szCs w:val="28"/>
          <w:lang w:val="uk-UA"/>
        </w:rPr>
        <w:t>ступенем їх</w:t>
      </w:r>
      <w:r w:rsidRPr="00E51632">
        <w:rPr>
          <w:sz w:val="28"/>
          <w:szCs w:val="28"/>
          <w:lang w:val="uk-UA"/>
        </w:rPr>
        <w:t xml:space="preserve"> значимості можна довіряти й використати їх у подальших дослідженнях.</w:t>
      </w:r>
    </w:p>
    <w:p w:rsidR="00AC666D" w:rsidRDefault="00AC666D" w:rsidP="00AC666D">
      <w:pPr>
        <w:ind w:firstLine="709"/>
        <w:rPr>
          <w:szCs w:val="28"/>
        </w:rPr>
      </w:pPr>
      <w:r w:rsidRPr="009B7E78">
        <w:rPr>
          <w:szCs w:val="28"/>
        </w:rPr>
        <w:t>Виявлені в ході факторн</w:t>
      </w:r>
      <w:r>
        <w:rPr>
          <w:szCs w:val="28"/>
        </w:rPr>
        <w:t>ого аналізу проблеми, що виникли</w:t>
      </w:r>
      <w:r w:rsidRPr="009B7E78">
        <w:rPr>
          <w:szCs w:val="28"/>
        </w:rPr>
        <w:t xml:space="preserve"> в сфері управління зовнішньоекономічною діяльністю, є </w:t>
      </w:r>
      <w:r>
        <w:rPr>
          <w:szCs w:val="28"/>
        </w:rPr>
        <w:t>сигналом для активізації</w:t>
      </w:r>
      <w:r w:rsidRPr="009B7E78">
        <w:rPr>
          <w:szCs w:val="28"/>
        </w:rPr>
        <w:t xml:space="preserve"> процесу розробки рекомендацій </w:t>
      </w:r>
      <w:r>
        <w:rPr>
          <w:szCs w:val="28"/>
        </w:rPr>
        <w:t>щодо</w:t>
      </w:r>
      <w:r w:rsidRPr="009B7E78">
        <w:rPr>
          <w:b/>
          <w:bCs/>
          <w:szCs w:val="28"/>
        </w:rPr>
        <w:t xml:space="preserve"> </w:t>
      </w:r>
      <w:r w:rsidRPr="009B7E78">
        <w:rPr>
          <w:bCs/>
          <w:szCs w:val="28"/>
        </w:rPr>
        <w:t>їх</w:t>
      </w:r>
      <w:r>
        <w:rPr>
          <w:szCs w:val="28"/>
        </w:rPr>
        <w:t xml:space="preserve"> усунення. Сф</w:t>
      </w:r>
      <w:r w:rsidRPr="009B7E78">
        <w:rPr>
          <w:szCs w:val="28"/>
        </w:rPr>
        <w:t xml:space="preserve">ормований на цій основі комплекс </w:t>
      </w:r>
      <w:r>
        <w:rPr>
          <w:szCs w:val="28"/>
        </w:rPr>
        <w:t>заходів</w:t>
      </w:r>
      <w:r w:rsidRPr="009B7E78">
        <w:rPr>
          <w:szCs w:val="28"/>
        </w:rPr>
        <w:t xml:space="preserve"> не повинен негативно впливати на стан експортних операцій, </w:t>
      </w:r>
      <w:r>
        <w:rPr>
          <w:szCs w:val="28"/>
        </w:rPr>
        <w:t>зменшувати</w:t>
      </w:r>
      <w:r w:rsidRPr="009B7E78">
        <w:rPr>
          <w:szCs w:val="28"/>
        </w:rPr>
        <w:t xml:space="preserve"> інвестиційну привабл</w:t>
      </w:r>
      <w:r>
        <w:rPr>
          <w:szCs w:val="28"/>
        </w:rPr>
        <w:t xml:space="preserve">ивість і </w:t>
      </w:r>
      <w:proofErr w:type="spellStart"/>
      <w:r>
        <w:rPr>
          <w:szCs w:val="28"/>
        </w:rPr>
        <w:t>конкурентноздатність</w:t>
      </w:r>
      <w:proofErr w:type="spellEnd"/>
      <w:r>
        <w:rPr>
          <w:szCs w:val="28"/>
        </w:rPr>
        <w:t xml:space="preserve"> зовнішньоекономічної діяльності як одного з напрям</w:t>
      </w:r>
      <w:r w:rsidRPr="009B7E78">
        <w:rPr>
          <w:szCs w:val="28"/>
        </w:rPr>
        <w:t>ів господарської діяльності підприємства</w:t>
      </w:r>
      <w:r>
        <w:rPr>
          <w:szCs w:val="28"/>
        </w:rPr>
        <w:t xml:space="preserve"> та країни в цілому</w:t>
      </w:r>
      <w:r w:rsidRPr="009B7E78">
        <w:rPr>
          <w:szCs w:val="28"/>
        </w:rPr>
        <w:t>.</w:t>
      </w:r>
    </w:p>
    <w:p w:rsidR="00D46F89" w:rsidRDefault="00D46F89" w:rsidP="00AC666D">
      <w:pPr>
        <w:ind w:firstLine="709"/>
        <w:rPr>
          <w:szCs w:val="28"/>
        </w:rPr>
      </w:pPr>
    </w:p>
    <w:p w:rsidR="00D46F89" w:rsidRPr="00D46F89" w:rsidRDefault="00D46F89" w:rsidP="00D46F89">
      <w:pPr>
        <w:ind w:firstLine="709"/>
        <w:jc w:val="center"/>
        <w:rPr>
          <w:b/>
          <w:szCs w:val="28"/>
        </w:rPr>
      </w:pPr>
      <w:r w:rsidRPr="00D46F89">
        <w:rPr>
          <w:b/>
          <w:szCs w:val="28"/>
        </w:rPr>
        <w:t>Висновки</w:t>
      </w:r>
    </w:p>
    <w:p w:rsidR="00AC666D" w:rsidRDefault="00AC666D" w:rsidP="00AC666D">
      <w:r>
        <w:t>За результати проведеного дослідження можна зробити наступні висновки:</w:t>
      </w:r>
    </w:p>
    <w:p w:rsidR="00AC666D" w:rsidRDefault="00AC666D" w:rsidP="00AC666D">
      <w:r>
        <w:rPr>
          <w:color w:val="000000"/>
        </w:rPr>
        <w:t xml:space="preserve">основними причинами, які заважають розвитку машинобудівної галузі області є невідповідне до сучасних умов виробниче обладнання та </w:t>
      </w:r>
      <w:r>
        <w:rPr>
          <w:color w:val="000000"/>
        </w:rPr>
        <w:lastRenderedPageBreak/>
        <w:t>устаткування, а також відсутність висококваліфікованих інженерно-технічних працівників і виробничо-технічного персоналу;</w:t>
      </w:r>
    </w:p>
    <w:p w:rsidR="00AC666D" w:rsidRDefault="00AC666D" w:rsidP="00AC666D">
      <w:r>
        <w:rPr>
          <w:color w:val="000000"/>
        </w:rPr>
        <w:t>з переходом до ринкової моделі господарювання машинобудівним підприємствам було важко адаптуватися до нових умов економіки через застарілу</w:t>
      </w:r>
      <w:r>
        <w:t xml:space="preserve"> систему управління, яка не здатна задовольнити потреби сучасних виробників машинобудівної продукції;</w:t>
      </w:r>
    </w:p>
    <w:p w:rsidR="00AC666D" w:rsidRDefault="00AC666D" w:rsidP="00AC666D">
      <w:r>
        <w:t>відсутність загального критерію оцінки управління зовнішньоекономічною діяльністю негативно відбивається на результатах роботи підприємств;</w:t>
      </w:r>
    </w:p>
    <w:p w:rsidR="00AC666D" w:rsidRDefault="00AC666D" w:rsidP="00AC666D">
      <w:r>
        <w:t xml:space="preserve">аналіз факторного впливу на машинобудівні підприємства виявив відсутність діючої системи управління як на </w:t>
      </w:r>
      <w:proofErr w:type="spellStart"/>
      <w:r>
        <w:t>макро</w:t>
      </w:r>
      <w:proofErr w:type="spellEnd"/>
      <w:r>
        <w:t>-, так і на мікрорівні, що заважає ефективно виконувати стратегічні задачі цих підприємств.</w:t>
      </w:r>
    </w:p>
    <w:p w:rsidR="00AC666D" w:rsidRDefault="00AC666D" w:rsidP="00AC666D">
      <w:r>
        <w:t>Основними причинами, що стримують розвиток зовнішньоекономічної діяльності машинобудівних підприємств Хмельницької області, є:</w:t>
      </w:r>
    </w:p>
    <w:p w:rsidR="00AC666D" w:rsidRDefault="00AC666D" w:rsidP="00AC666D">
      <w:r>
        <w:t>недостатнє знання поточного та прогнозованого стану ринку та нестача власних коштів для діяльності на цьому ринку;</w:t>
      </w:r>
    </w:p>
    <w:p w:rsidR="00AC666D" w:rsidRDefault="00AC666D" w:rsidP="00AC666D">
      <w:r>
        <w:t>орієнтація на короткострокові результати діяльності через брак коштів та відсутність дійових механізмів довгострокового кредитування з прийнятними процентними ставками;</w:t>
      </w:r>
    </w:p>
    <w:p w:rsidR="00AC666D" w:rsidRDefault="00AC666D" w:rsidP="00AC666D">
      <w:r>
        <w:t>відсутність єдиного підходу до зовнішньоекономічної діяльності підприємств, незначна державна підтримка вітчизняного виробника;</w:t>
      </w:r>
    </w:p>
    <w:p w:rsidR="00AC666D" w:rsidRDefault="00AC666D" w:rsidP="00AC666D">
      <w:r>
        <w:t>відсутність необхідної інформації про стан зовнішнього та внутрішнього ринку, необхідність великих зусиль з боку існуючих підприємств для виживання в цих умовах;</w:t>
      </w:r>
    </w:p>
    <w:p w:rsidR="00AC666D" w:rsidRDefault="00AC666D" w:rsidP="00AC666D">
      <w:r>
        <w:t>відсутність інтенсивного інвестиційного процесу, що є головною перешкодою на шляху до реалізації великих проектів та розробок нових конкурентоспроможних видів продукції;</w:t>
      </w:r>
    </w:p>
    <w:p w:rsidR="00AC666D" w:rsidRDefault="00AC666D" w:rsidP="00AC666D">
      <w:r>
        <w:t>відсутність для вирішення довгострокових завдань зовнішньоекономічної стратегії на більшості сучасних підприємств машинобудування;</w:t>
      </w:r>
    </w:p>
    <w:p w:rsidR="00AC666D" w:rsidRDefault="00AC666D" w:rsidP="00AC666D">
      <w:r>
        <w:lastRenderedPageBreak/>
        <w:t>відсутність механізму управління зовнішньоекономічною діяльністю на машинобудівних підприємствах регіону.</w:t>
      </w:r>
    </w:p>
    <w:p w:rsidR="00AC666D" w:rsidRDefault="00AC666D" w:rsidP="00AC666D">
      <w:r>
        <w:t>Таким чином, сучасні підприємства обмежені у своїх ринкових можливостях і не можуть повністю використати наявний потенціал. Однак, незважаючи на те, що вітчизняні підприємства машинобудівної галузі і економіка в цілому менш конкурентоспроможні, ніж у більшості країн Центральної і Східної Європи, її позиції кращі, ніж у багатьох країн СНД. Поліпшення ситуації щодо виходу вітчизняних підприємств на зовнішній ринок, буде залежати від розробки ефективного механізму управління зовнішньоекономічною діяльністю машинобудівних підприємств.</w:t>
      </w:r>
    </w:p>
    <w:p w:rsidR="004957C3" w:rsidRPr="004957C3" w:rsidRDefault="004957C3" w:rsidP="00AC666D">
      <w:pPr>
        <w:rPr>
          <w:b/>
        </w:rPr>
      </w:pPr>
    </w:p>
    <w:p w:rsidR="004957C3" w:rsidRDefault="004957C3" w:rsidP="004957C3">
      <w:pPr>
        <w:jc w:val="center"/>
        <w:rPr>
          <w:b/>
        </w:rPr>
      </w:pPr>
      <w:r w:rsidRPr="004957C3">
        <w:rPr>
          <w:b/>
        </w:rPr>
        <w:t>Список використаних джерел:</w:t>
      </w:r>
    </w:p>
    <w:p w:rsidR="004957C3" w:rsidRDefault="004957C3" w:rsidP="004957C3"/>
    <w:p w:rsidR="004957C3" w:rsidRDefault="004957C3" w:rsidP="004957C3">
      <w:r>
        <w:t xml:space="preserve">1. Мазур Н.А., </w:t>
      </w:r>
      <w:proofErr w:type="spellStart"/>
      <w:r>
        <w:t>Місюк</w:t>
      </w:r>
      <w:proofErr w:type="spellEnd"/>
      <w:r>
        <w:t xml:space="preserve"> М.С. Конкурентоспроможність виробництва сільськогосподарської продукції та основні напрями її підвищення / Н.А. Мазур, М.С. </w:t>
      </w:r>
      <w:proofErr w:type="spellStart"/>
      <w:r>
        <w:t>Місюк</w:t>
      </w:r>
      <w:proofErr w:type="spellEnd"/>
      <w:r>
        <w:t xml:space="preserve"> // Економіка АПК.- 2017. - № 2. - С. 129–127. </w:t>
      </w:r>
    </w:p>
    <w:p w:rsidR="004957C3" w:rsidRDefault="004957C3" w:rsidP="004957C3">
      <w:r>
        <w:t>2. Управління конкурентоспроможністю підприєм</w:t>
      </w:r>
      <w:r w:rsidR="0098114C">
        <w:t>ства</w:t>
      </w:r>
      <w:r>
        <w:t xml:space="preserve">: підручник / Іванов Ю. Б. та ін. Х.: ВД «ІНЖЕК», - 2020.- 320 с. </w:t>
      </w:r>
    </w:p>
    <w:p w:rsidR="004957C3" w:rsidRPr="0098114C" w:rsidRDefault="004957C3" w:rsidP="004957C3">
      <w:r>
        <w:t>3. Гончарук Т.І. Методологія конкурентоспроможності: досвід теорії та теорія досвіду / Т.І. Гончарук // Вісник Української академії банківської справи. 2020.- № 2.- C. 3–10.</w:t>
      </w:r>
    </w:p>
    <w:p w:rsidR="00250C72" w:rsidRPr="0098114C" w:rsidRDefault="00250C72" w:rsidP="004957C3"/>
    <w:p w:rsidR="00250C72" w:rsidRDefault="00250C72" w:rsidP="00250C72">
      <w:pPr>
        <w:jc w:val="center"/>
        <w:rPr>
          <w:b/>
          <w:lang w:val="en-US"/>
        </w:rPr>
      </w:pPr>
      <w:r>
        <w:rPr>
          <w:b/>
          <w:lang w:val="en-US"/>
        </w:rPr>
        <w:t>R</w:t>
      </w:r>
      <w:proofErr w:type="spellStart"/>
      <w:r w:rsidRPr="00250C72">
        <w:rPr>
          <w:b/>
          <w:lang w:val="ru-RU"/>
        </w:rPr>
        <w:t>eferences</w:t>
      </w:r>
      <w:proofErr w:type="spellEnd"/>
      <w:r>
        <w:rPr>
          <w:b/>
          <w:lang w:val="en-US"/>
        </w:rPr>
        <w:t>:</w:t>
      </w:r>
    </w:p>
    <w:p w:rsidR="00250C72" w:rsidRDefault="00250C72" w:rsidP="00250C72">
      <w:pPr>
        <w:rPr>
          <w:lang w:val="en-US"/>
        </w:rPr>
      </w:pPr>
    </w:p>
    <w:p w:rsidR="00250C72" w:rsidRPr="00250C72" w:rsidRDefault="00250C72" w:rsidP="00250C72">
      <w:pPr>
        <w:rPr>
          <w:lang w:val="en-US"/>
        </w:rPr>
      </w:pPr>
      <w:r>
        <w:rPr>
          <w:lang w:val="en-US"/>
        </w:rPr>
        <w:t xml:space="preserve">1. </w:t>
      </w:r>
      <w:r w:rsidRPr="00250C72">
        <w:rPr>
          <w:lang w:val="en-US"/>
        </w:rPr>
        <w:t xml:space="preserve">Mazur N.A., </w:t>
      </w:r>
      <w:proofErr w:type="spellStart"/>
      <w:r w:rsidRPr="00250C72">
        <w:rPr>
          <w:lang w:val="en-US"/>
        </w:rPr>
        <w:t>Misyuk</w:t>
      </w:r>
      <w:proofErr w:type="spellEnd"/>
      <w:r w:rsidRPr="00250C72">
        <w:rPr>
          <w:lang w:val="en-US"/>
        </w:rPr>
        <w:t xml:space="preserve"> M.S. </w:t>
      </w:r>
      <w:proofErr w:type="spellStart"/>
      <w:r w:rsidRPr="00250C72">
        <w:rPr>
          <w:lang w:val="en-US"/>
        </w:rPr>
        <w:t>Konkurentospromozhnist</w:t>
      </w:r>
      <w:proofErr w:type="spellEnd"/>
      <w:r w:rsidRPr="00250C72">
        <w:rPr>
          <w:lang w:val="en-US"/>
        </w:rPr>
        <w:t xml:space="preserve">ʹ </w:t>
      </w:r>
      <w:proofErr w:type="spellStart"/>
      <w:r w:rsidRPr="00250C72">
        <w:rPr>
          <w:lang w:val="en-US"/>
        </w:rPr>
        <w:t>vyrobnytstva</w:t>
      </w:r>
      <w:proofErr w:type="spellEnd"/>
      <w:r w:rsidRPr="00250C72">
        <w:rPr>
          <w:lang w:val="en-US"/>
        </w:rPr>
        <w:t xml:space="preserve"> </w:t>
      </w:r>
      <w:proofErr w:type="spellStart"/>
      <w:r w:rsidRPr="00250C72">
        <w:rPr>
          <w:lang w:val="en-US"/>
        </w:rPr>
        <w:t>silʹsʹkohospodarsʹkoyi</w:t>
      </w:r>
      <w:proofErr w:type="spellEnd"/>
      <w:r w:rsidRPr="00250C72">
        <w:rPr>
          <w:lang w:val="en-US"/>
        </w:rPr>
        <w:t xml:space="preserve"> </w:t>
      </w:r>
      <w:proofErr w:type="spellStart"/>
      <w:r w:rsidRPr="00250C72">
        <w:rPr>
          <w:lang w:val="en-US"/>
        </w:rPr>
        <w:t>produktsiyi</w:t>
      </w:r>
      <w:proofErr w:type="spellEnd"/>
      <w:r w:rsidRPr="00250C72">
        <w:rPr>
          <w:lang w:val="en-US"/>
        </w:rPr>
        <w:t xml:space="preserve"> ta </w:t>
      </w:r>
      <w:proofErr w:type="spellStart"/>
      <w:r w:rsidRPr="00250C72">
        <w:rPr>
          <w:lang w:val="en-US"/>
        </w:rPr>
        <w:t>osnovni</w:t>
      </w:r>
      <w:proofErr w:type="spellEnd"/>
      <w:r w:rsidRPr="00250C72">
        <w:rPr>
          <w:lang w:val="en-US"/>
        </w:rPr>
        <w:t xml:space="preserve"> </w:t>
      </w:r>
      <w:proofErr w:type="spellStart"/>
      <w:r w:rsidRPr="00250C72">
        <w:rPr>
          <w:lang w:val="en-US"/>
        </w:rPr>
        <w:t>napryamy</w:t>
      </w:r>
      <w:proofErr w:type="spellEnd"/>
      <w:r w:rsidRPr="00250C72">
        <w:rPr>
          <w:lang w:val="en-US"/>
        </w:rPr>
        <w:t xml:space="preserve"> </w:t>
      </w:r>
      <w:proofErr w:type="spellStart"/>
      <w:r w:rsidRPr="00250C72">
        <w:rPr>
          <w:lang w:val="en-US"/>
        </w:rPr>
        <w:t>yiyi</w:t>
      </w:r>
      <w:proofErr w:type="spellEnd"/>
      <w:r w:rsidRPr="00250C72">
        <w:rPr>
          <w:lang w:val="en-US"/>
        </w:rPr>
        <w:t xml:space="preserve"> </w:t>
      </w:r>
      <w:proofErr w:type="spellStart"/>
      <w:r w:rsidRPr="00250C72">
        <w:rPr>
          <w:lang w:val="en-US"/>
        </w:rPr>
        <w:t>pidvyshchennya</w:t>
      </w:r>
      <w:proofErr w:type="spellEnd"/>
      <w:r w:rsidRPr="00250C72">
        <w:rPr>
          <w:lang w:val="en-US"/>
        </w:rPr>
        <w:t xml:space="preserve"> / N.A. Mazur, M.S. </w:t>
      </w:r>
      <w:proofErr w:type="spellStart"/>
      <w:r w:rsidRPr="00250C72">
        <w:rPr>
          <w:lang w:val="en-US"/>
        </w:rPr>
        <w:t>Misyuk</w:t>
      </w:r>
      <w:proofErr w:type="spellEnd"/>
      <w:r w:rsidRPr="00250C72">
        <w:rPr>
          <w:lang w:val="en-US"/>
        </w:rPr>
        <w:t xml:space="preserve"> // </w:t>
      </w:r>
      <w:proofErr w:type="spellStart"/>
      <w:r w:rsidRPr="00250C72">
        <w:rPr>
          <w:lang w:val="en-US"/>
        </w:rPr>
        <w:t>Ekonomika</w:t>
      </w:r>
      <w:proofErr w:type="spellEnd"/>
      <w:r w:rsidRPr="00250C72">
        <w:rPr>
          <w:lang w:val="en-US"/>
        </w:rPr>
        <w:t xml:space="preserve"> </w:t>
      </w:r>
      <w:r w:rsidR="0098114C">
        <w:rPr>
          <w:lang w:val="en-US"/>
        </w:rPr>
        <w:t>APK</w:t>
      </w:r>
      <w:proofErr w:type="gramStart"/>
      <w:r w:rsidR="0098114C">
        <w:rPr>
          <w:lang w:val="en-US"/>
        </w:rPr>
        <w:t>.-</w:t>
      </w:r>
      <w:proofErr w:type="gramEnd"/>
      <w:r w:rsidR="0098114C">
        <w:rPr>
          <w:lang w:val="en-US"/>
        </w:rPr>
        <w:t xml:space="preserve"> 2017. </w:t>
      </w:r>
      <w:proofErr w:type="gramStart"/>
      <w:r w:rsidR="0098114C">
        <w:rPr>
          <w:lang w:val="en-US"/>
        </w:rPr>
        <w:t>- № 2.</w:t>
      </w:r>
      <w:proofErr w:type="gramEnd"/>
      <w:r w:rsidR="0098114C">
        <w:rPr>
          <w:lang w:val="en-US"/>
        </w:rPr>
        <w:t xml:space="preserve"> - S. 129–127</w:t>
      </w:r>
      <w:r w:rsidRPr="00250C72">
        <w:rPr>
          <w:lang w:val="en-US"/>
        </w:rPr>
        <w:t xml:space="preserve"> </w:t>
      </w:r>
      <w:r w:rsidR="0098114C">
        <w:rPr>
          <w:szCs w:val="28"/>
        </w:rPr>
        <w:t>[</w:t>
      </w:r>
      <w:proofErr w:type="spellStart"/>
      <w:r w:rsidR="0098114C" w:rsidRPr="0098114C">
        <w:rPr>
          <w:szCs w:val="28"/>
        </w:rPr>
        <w:t>Mazur</w:t>
      </w:r>
      <w:proofErr w:type="spellEnd"/>
      <w:r w:rsidR="0098114C" w:rsidRPr="0098114C">
        <w:rPr>
          <w:szCs w:val="28"/>
        </w:rPr>
        <w:t xml:space="preserve"> N.A., </w:t>
      </w:r>
      <w:proofErr w:type="spellStart"/>
      <w:r w:rsidR="0098114C" w:rsidRPr="0098114C">
        <w:rPr>
          <w:szCs w:val="28"/>
        </w:rPr>
        <w:t>Misiuk</w:t>
      </w:r>
      <w:proofErr w:type="spellEnd"/>
      <w:r w:rsidR="0098114C" w:rsidRPr="0098114C">
        <w:rPr>
          <w:szCs w:val="28"/>
        </w:rPr>
        <w:t xml:space="preserve"> M.S. </w:t>
      </w:r>
      <w:proofErr w:type="spellStart"/>
      <w:r w:rsidR="0098114C" w:rsidRPr="0098114C">
        <w:rPr>
          <w:szCs w:val="28"/>
        </w:rPr>
        <w:t>The</w:t>
      </w:r>
      <w:proofErr w:type="spellEnd"/>
      <w:r w:rsidR="0098114C" w:rsidRPr="0098114C">
        <w:rPr>
          <w:szCs w:val="28"/>
        </w:rPr>
        <w:t xml:space="preserve"> </w:t>
      </w:r>
      <w:proofErr w:type="spellStart"/>
      <w:r w:rsidR="0098114C" w:rsidRPr="0098114C">
        <w:rPr>
          <w:szCs w:val="28"/>
        </w:rPr>
        <w:t>competitiveness</w:t>
      </w:r>
      <w:proofErr w:type="spellEnd"/>
      <w:r w:rsidR="0098114C" w:rsidRPr="0098114C">
        <w:rPr>
          <w:szCs w:val="28"/>
        </w:rPr>
        <w:t xml:space="preserve"> </w:t>
      </w:r>
      <w:proofErr w:type="spellStart"/>
      <w:r w:rsidR="0098114C" w:rsidRPr="0098114C">
        <w:rPr>
          <w:szCs w:val="28"/>
        </w:rPr>
        <w:t>of</w:t>
      </w:r>
      <w:proofErr w:type="spellEnd"/>
      <w:r w:rsidR="0098114C" w:rsidRPr="0098114C">
        <w:rPr>
          <w:szCs w:val="28"/>
        </w:rPr>
        <w:t xml:space="preserve"> </w:t>
      </w:r>
      <w:proofErr w:type="spellStart"/>
      <w:r w:rsidR="0098114C" w:rsidRPr="0098114C">
        <w:rPr>
          <w:szCs w:val="28"/>
        </w:rPr>
        <w:t>agricultural</w:t>
      </w:r>
      <w:proofErr w:type="spellEnd"/>
      <w:r w:rsidR="0098114C" w:rsidRPr="0098114C">
        <w:rPr>
          <w:szCs w:val="28"/>
        </w:rPr>
        <w:t xml:space="preserve"> </w:t>
      </w:r>
      <w:proofErr w:type="spellStart"/>
      <w:r w:rsidR="0098114C" w:rsidRPr="0098114C">
        <w:rPr>
          <w:szCs w:val="28"/>
        </w:rPr>
        <w:t>production</w:t>
      </w:r>
      <w:proofErr w:type="spellEnd"/>
      <w:r w:rsidR="0098114C" w:rsidRPr="0098114C">
        <w:rPr>
          <w:szCs w:val="28"/>
        </w:rPr>
        <w:t xml:space="preserve"> </w:t>
      </w:r>
      <w:proofErr w:type="spellStart"/>
      <w:r w:rsidR="0098114C" w:rsidRPr="0098114C">
        <w:rPr>
          <w:szCs w:val="28"/>
        </w:rPr>
        <w:t>and</w:t>
      </w:r>
      <w:proofErr w:type="spellEnd"/>
      <w:r w:rsidR="0098114C" w:rsidRPr="0098114C">
        <w:rPr>
          <w:szCs w:val="28"/>
        </w:rPr>
        <w:t xml:space="preserve"> </w:t>
      </w:r>
      <w:proofErr w:type="spellStart"/>
      <w:r w:rsidR="0098114C" w:rsidRPr="0098114C">
        <w:rPr>
          <w:szCs w:val="28"/>
        </w:rPr>
        <w:t>the</w:t>
      </w:r>
      <w:proofErr w:type="spellEnd"/>
      <w:r w:rsidR="0098114C" w:rsidRPr="0098114C">
        <w:rPr>
          <w:szCs w:val="28"/>
        </w:rPr>
        <w:t xml:space="preserve"> </w:t>
      </w:r>
      <w:proofErr w:type="spellStart"/>
      <w:r w:rsidR="0098114C" w:rsidRPr="0098114C">
        <w:rPr>
          <w:szCs w:val="28"/>
        </w:rPr>
        <w:t>main</w:t>
      </w:r>
      <w:proofErr w:type="spellEnd"/>
      <w:r w:rsidR="0098114C" w:rsidRPr="0098114C">
        <w:rPr>
          <w:szCs w:val="28"/>
        </w:rPr>
        <w:t xml:space="preserve"> </w:t>
      </w:r>
      <w:proofErr w:type="spellStart"/>
      <w:r w:rsidR="0098114C" w:rsidRPr="0098114C">
        <w:rPr>
          <w:szCs w:val="28"/>
        </w:rPr>
        <w:t>directions</w:t>
      </w:r>
      <w:proofErr w:type="spellEnd"/>
      <w:r w:rsidR="0098114C" w:rsidRPr="0098114C">
        <w:rPr>
          <w:szCs w:val="28"/>
        </w:rPr>
        <w:t xml:space="preserve"> </w:t>
      </w:r>
      <w:proofErr w:type="spellStart"/>
      <w:r w:rsidR="0098114C" w:rsidRPr="0098114C">
        <w:rPr>
          <w:szCs w:val="28"/>
        </w:rPr>
        <w:t>of</w:t>
      </w:r>
      <w:proofErr w:type="spellEnd"/>
      <w:r w:rsidR="0098114C" w:rsidRPr="0098114C">
        <w:rPr>
          <w:szCs w:val="28"/>
        </w:rPr>
        <w:t xml:space="preserve"> </w:t>
      </w:r>
      <w:proofErr w:type="spellStart"/>
      <w:r w:rsidR="0098114C" w:rsidRPr="0098114C">
        <w:rPr>
          <w:szCs w:val="28"/>
        </w:rPr>
        <w:t>its</w:t>
      </w:r>
      <w:proofErr w:type="spellEnd"/>
      <w:r w:rsidR="0098114C" w:rsidRPr="0098114C">
        <w:rPr>
          <w:szCs w:val="28"/>
        </w:rPr>
        <w:t xml:space="preserve"> </w:t>
      </w:r>
      <w:proofErr w:type="spellStart"/>
      <w:r w:rsidR="0098114C" w:rsidRPr="0098114C">
        <w:rPr>
          <w:szCs w:val="28"/>
        </w:rPr>
        <w:t>improvement</w:t>
      </w:r>
      <w:proofErr w:type="spellEnd"/>
      <w:r w:rsidR="0098114C" w:rsidRPr="0098114C">
        <w:rPr>
          <w:szCs w:val="28"/>
        </w:rPr>
        <w:t xml:space="preserve"> / N.A. </w:t>
      </w:r>
      <w:proofErr w:type="spellStart"/>
      <w:r w:rsidR="0098114C" w:rsidRPr="0098114C">
        <w:rPr>
          <w:szCs w:val="28"/>
        </w:rPr>
        <w:t>Mazur</w:t>
      </w:r>
      <w:proofErr w:type="spellEnd"/>
      <w:r w:rsidR="0098114C" w:rsidRPr="0098114C">
        <w:rPr>
          <w:szCs w:val="28"/>
        </w:rPr>
        <w:t xml:space="preserve">, M.S. </w:t>
      </w:r>
      <w:proofErr w:type="spellStart"/>
      <w:r w:rsidR="0098114C" w:rsidRPr="0098114C">
        <w:rPr>
          <w:szCs w:val="28"/>
        </w:rPr>
        <w:t>Misiuk</w:t>
      </w:r>
      <w:proofErr w:type="spellEnd"/>
      <w:r w:rsidR="0098114C" w:rsidRPr="0098114C">
        <w:rPr>
          <w:szCs w:val="28"/>
        </w:rPr>
        <w:t xml:space="preserve"> // </w:t>
      </w:r>
      <w:proofErr w:type="spellStart"/>
      <w:r w:rsidR="0098114C" w:rsidRPr="0098114C">
        <w:rPr>
          <w:szCs w:val="28"/>
        </w:rPr>
        <w:t>Economics</w:t>
      </w:r>
      <w:proofErr w:type="spellEnd"/>
      <w:r w:rsidR="0098114C" w:rsidRPr="0098114C">
        <w:rPr>
          <w:szCs w:val="28"/>
        </w:rPr>
        <w:t xml:space="preserve"> </w:t>
      </w:r>
      <w:proofErr w:type="spellStart"/>
      <w:r w:rsidR="0098114C" w:rsidRPr="0098114C">
        <w:rPr>
          <w:szCs w:val="28"/>
        </w:rPr>
        <w:t>of</w:t>
      </w:r>
      <w:proofErr w:type="spellEnd"/>
      <w:r w:rsidR="0098114C" w:rsidRPr="0098114C">
        <w:rPr>
          <w:szCs w:val="28"/>
        </w:rPr>
        <w:t xml:space="preserve"> </w:t>
      </w:r>
      <w:proofErr w:type="spellStart"/>
      <w:r w:rsidR="0098114C" w:rsidRPr="0098114C">
        <w:rPr>
          <w:szCs w:val="28"/>
        </w:rPr>
        <w:t>the</w:t>
      </w:r>
      <w:proofErr w:type="spellEnd"/>
      <w:r w:rsidR="0098114C" w:rsidRPr="0098114C">
        <w:rPr>
          <w:szCs w:val="28"/>
        </w:rPr>
        <w:t xml:space="preserve"> </w:t>
      </w:r>
      <w:proofErr w:type="spellStart"/>
      <w:r w:rsidR="0098114C" w:rsidRPr="0098114C">
        <w:rPr>
          <w:szCs w:val="28"/>
        </w:rPr>
        <w:t>agricultural</w:t>
      </w:r>
      <w:proofErr w:type="spellEnd"/>
      <w:r w:rsidR="0098114C" w:rsidRPr="0098114C">
        <w:rPr>
          <w:szCs w:val="28"/>
        </w:rPr>
        <w:t xml:space="preserve"> </w:t>
      </w:r>
      <w:proofErr w:type="spellStart"/>
      <w:r w:rsidR="0098114C" w:rsidRPr="0098114C">
        <w:rPr>
          <w:szCs w:val="28"/>
        </w:rPr>
        <w:t>sector</w:t>
      </w:r>
      <w:proofErr w:type="spellEnd"/>
      <w:r w:rsidR="0098114C" w:rsidRPr="0098114C">
        <w:rPr>
          <w:szCs w:val="28"/>
        </w:rPr>
        <w:t xml:space="preserve">. - 2017. - </w:t>
      </w:r>
      <w:proofErr w:type="spellStart"/>
      <w:r w:rsidR="0098114C" w:rsidRPr="0098114C">
        <w:rPr>
          <w:szCs w:val="28"/>
        </w:rPr>
        <w:t>No</w:t>
      </w:r>
      <w:proofErr w:type="spellEnd"/>
      <w:r w:rsidR="0098114C" w:rsidRPr="0098114C">
        <w:rPr>
          <w:szCs w:val="28"/>
        </w:rPr>
        <w:t>. 2. - P. 129–127.</w:t>
      </w:r>
      <w:r w:rsidR="0098114C">
        <w:rPr>
          <w:szCs w:val="28"/>
        </w:rPr>
        <w:t>]</w:t>
      </w:r>
      <w:r w:rsidR="0098114C">
        <w:rPr>
          <w:szCs w:val="28"/>
          <w:lang w:val="en-US"/>
        </w:rPr>
        <w:t>.</w:t>
      </w:r>
      <w:r w:rsidR="0098114C">
        <w:rPr>
          <w:szCs w:val="28"/>
        </w:rPr>
        <w:t xml:space="preserve">  </w:t>
      </w:r>
    </w:p>
    <w:p w:rsidR="0098114C" w:rsidRPr="0098114C" w:rsidRDefault="00250C72" w:rsidP="0098114C">
      <w:r w:rsidRPr="00250C72">
        <w:rPr>
          <w:lang w:val="en-US"/>
        </w:rPr>
        <w:lastRenderedPageBreak/>
        <w:t xml:space="preserve">2. </w:t>
      </w:r>
      <w:proofErr w:type="spellStart"/>
      <w:r w:rsidRPr="00250C72">
        <w:rPr>
          <w:lang w:val="en-US"/>
        </w:rPr>
        <w:t>Upravlinnya</w:t>
      </w:r>
      <w:proofErr w:type="spellEnd"/>
      <w:r w:rsidRPr="00250C72">
        <w:rPr>
          <w:lang w:val="en-US"/>
        </w:rPr>
        <w:t xml:space="preserve"> </w:t>
      </w:r>
      <w:proofErr w:type="spellStart"/>
      <w:r w:rsidRPr="00250C72">
        <w:rPr>
          <w:lang w:val="en-US"/>
        </w:rPr>
        <w:t>konkurentospromozhnistyu</w:t>
      </w:r>
      <w:proofErr w:type="spellEnd"/>
      <w:r w:rsidRPr="00250C72">
        <w:rPr>
          <w:lang w:val="en-US"/>
        </w:rPr>
        <w:t xml:space="preserve"> </w:t>
      </w:r>
      <w:proofErr w:type="spellStart"/>
      <w:proofErr w:type="gramStart"/>
      <w:r w:rsidRPr="00250C72">
        <w:rPr>
          <w:lang w:val="en-US"/>
        </w:rPr>
        <w:t>pidpryyemstva</w:t>
      </w:r>
      <w:proofErr w:type="spellEnd"/>
      <w:r w:rsidRPr="00250C72">
        <w:rPr>
          <w:lang w:val="en-US"/>
        </w:rPr>
        <w:t xml:space="preserve"> :</w:t>
      </w:r>
      <w:proofErr w:type="gramEnd"/>
      <w:r w:rsidRPr="00250C72">
        <w:rPr>
          <w:lang w:val="en-US"/>
        </w:rPr>
        <w:t xml:space="preserve"> </w:t>
      </w:r>
      <w:proofErr w:type="spellStart"/>
      <w:r w:rsidRPr="00250C72">
        <w:rPr>
          <w:lang w:val="en-US"/>
        </w:rPr>
        <w:t>pidruchnyk</w:t>
      </w:r>
      <w:proofErr w:type="spellEnd"/>
      <w:r w:rsidRPr="00250C72">
        <w:rPr>
          <w:lang w:val="en-US"/>
        </w:rPr>
        <w:t xml:space="preserve"> / Ivanov YU. </w:t>
      </w:r>
      <w:proofErr w:type="gramStart"/>
      <w:r w:rsidRPr="00250C72">
        <w:rPr>
          <w:lang w:val="en-US"/>
        </w:rPr>
        <w:t>B. ta in.</w:t>
      </w:r>
      <w:proofErr w:type="gramEnd"/>
      <w:r w:rsidRPr="00250C72">
        <w:rPr>
          <w:lang w:val="en-US"/>
        </w:rPr>
        <w:t xml:space="preserve"> </w:t>
      </w:r>
      <w:proofErr w:type="gramStart"/>
      <w:r w:rsidRPr="00250C72">
        <w:rPr>
          <w:lang w:val="en-US"/>
        </w:rPr>
        <w:t>KH</w:t>
      </w:r>
      <w:r w:rsidR="0098114C">
        <w:rPr>
          <w:lang w:val="en-US"/>
        </w:rPr>
        <w:t>.:</w:t>
      </w:r>
      <w:proofErr w:type="gramEnd"/>
      <w:r w:rsidR="0098114C">
        <w:rPr>
          <w:lang w:val="en-US"/>
        </w:rPr>
        <w:t xml:space="preserve"> VD «INZHEK», - 2020.- 320 s </w:t>
      </w:r>
      <w:r w:rsidR="0098114C">
        <w:rPr>
          <w:szCs w:val="28"/>
        </w:rPr>
        <w:t>[</w:t>
      </w:r>
      <w:proofErr w:type="spellStart"/>
      <w:r w:rsidR="0098114C" w:rsidRPr="0098114C">
        <w:rPr>
          <w:szCs w:val="28"/>
        </w:rPr>
        <w:t>Management</w:t>
      </w:r>
      <w:proofErr w:type="spellEnd"/>
      <w:r w:rsidR="0098114C" w:rsidRPr="0098114C">
        <w:rPr>
          <w:szCs w:val="28"/>
        </w:rPr>
        <w:t xml:space="preserve"> </w:t>
      </w:r>
      <w:proofErr w:type="spellStart"/>
      <w:r w:rsidR="0098114C" w:rsidRPr="0098114C">
        <w:rPr>
          <w:szCs w:val="28"/>
        </w:rPr>
        <w:t>of</w:t>
      </w:r>
      <w:proofErr w:type="spellEnd"/>
      <w:r w:rsidR="0098114C" w:rsidRPr="0098114C">
        <w:rPr>
          <w:szCs w:val="28"/>
        </w:rPr>
        <w:t xml:space="preserve"> </w:t>
      </w:r>
      <w:proofErr w:type="spellStart"/>
      <w:r w:rsidR="0098114C" w:rsidRPr="0098114C">
        <w:rPr>
          <w:szCs w:val="28"/>
        </w:rPr>
        <w:t>the</w:t>
      </w:r>
      <w:proofErr w:type="spellEnd"/>
      <w:r w:rsidR="0098114C" w:rsidRPr="0098114C">
        <w:rPr>
          <w:szCs w:val="28"/>
        </w:rPr>
        <w:t xml:space="preserve"> </w:t>
      </w:r>
      <w:proofErr w:type="spellStart"/>
      <w:r w:rsidR="0098114C" w:rsidRPr="0098114C">
        <w:rPr>
          <w:szCs w:val="28"/>
        </w:rPr>
        <w:t>competitiveness</w:t>
      </w:r>
      <w:proofErr w:type="spellEnd"/>
      <w:r w:rsidR="0098114C" w:rsidRPr="0098114C">
        <w:rPr>
          <w:szCs w:val="28"/>
        </w:rPr>
        <w:t xml:space="preserve"> </w:t>
      </w:r>
      <w:proofErr w:type="spellStart"/>
      <w:r w:rsidR="0098114C" w:rsidRPr="0098114C">
        <w:rPr>
          <w:szCs w:val="28"/>
        </w:rPr>
        <w:t>of</w:t>
      </w:r>
      <w:proofErr w:type="spellEnd"/>
      <w:r w:rsidR="0098114C" w:rsidRPr="0098114C">
        <w:rPr>
          <w:szCs w:val="28"/>
        </w:rPr>
        <w:t xml:space="preserve"> </w:t>
      </w:r>
      <w:proofErr w:type="spellStart"/>
      <w:r w:rsidR="0098114C" w:rsidRPr="0098114C">
        <w:rPr>
          <w:szCs w:val="28"/>
        </w:rPr>
        <w:t>enterprises</w:t>
      </w:r>
      <w:proofErr w:type="spellEnd"/>
      <w:r w:rsidR="0098114C" w:rsidRPr="0098114C">
        <w:rPr>
          <w:szCs w:val="28"/>
        </w:rPr>
        <w:t xml:space="preserve">: a </w:t>
      </w:r>
      <w:proofErr w:type="spellStart"/>
      <w:r w:rsidR="0098114C" w:rsidRPr="0098114C">
        <w:rPr>
          <w:szCs w:val="28"/>
        </w:rPr>
        <w:t>textbook</w:t>
      </w:r>
      <w:proofErr w:type="spellEnd"/>
      <w:r w:rsidR="0098114C" w:rsidRPr="0098114C">
        <w:rPr>
          <w:szCs w:val="28"/>
        </w:rPr>
        <w:t xml:space="preserve"> / </w:t>
      </w:r>
      <w:proofErr w:type="spellStart"/>
      <w:r w:rsidR="0098114C" w:rsidRPr="0098114C">
        <w:rPr>
          <w:szCs w:val="28"/>
        </w:rPr>
        <w:t>Ivanov</w:t>
      </w:r>
      <w:proofErr w:type="spellEnd"/>
      <w:r w:rsidR="0098114C" w:rsidRPr="0098114C">
        <w:rPr>
          <w:szCs w:val="28"/>
        </w:rPr>
        <w:t xml:space="preserve"> </w:t>
      </w:r>
      <w:proofErr w:type="spellStart"/>
      <w:r w:rsidR="0098114C" w:rsidRPr="0098114C">
        <w:rPr>
          <w:szCs w:val="28"/>
        </w:rPr>
        <w:t>Yu</w:t>
      </w:r>
      <w:proofErr w:type="spellEnd"/>
      <w:r w:rsidR="0098114C" w:rsidRPr="0098114C">
        <w:rPr>
          <w:szCs w:val="28"/>
        </w:rPr>
        <w:t xml:space="preserve">. B. </w:t>
      </w:r>
      <w:proofErr w:type="spellStart"/>
      <w:r w:rsidR="0098114C" w:rsidRPr="0098114C">
        <w:rPr>
          <w:szCs w:val="28"/>
        </w:rPr>
        <w:t>et</w:t>
      </w:r>
      <w:proofErr w:type="spellEnd"/>
      <w:r w:rsidR="0098114C" w:rsidRPr="0098114C">
        <w:rPr>
          <w:szCs w:val="28"/>
        </w:rPr>
        <w:t xml:space="preserve"> </w:t>
      </w:r>
      <w:proofErr w:type="spellStart"/>
      <w:r w:rsidR="0098114C" w:rsidRPr="0098114C">
        <w:rPr>
          <w:szCs w:val="28"/>
        </w:rPr>
        <w:t>al</w:t>
      </w:r>
      <w:proofErr w:type="spellEnd"/>
      <w:r w:rsidR="0098114C" w:rsidRPr="0098114C">
        <w:rPr>
          <w:szCs w:val="28"/>
        </w:rPr>
        <w:t xml:space="preserve">. </w:t>
      </w:r>
      <w:proofErr w:type="spellStart"/>
      <w:r w:rsidR="0098114C" w:rsidRPr="0098114C">
        <w:rPr>
          <w:szCs w:val="28"/>
        </w:rPr>
        <w:t>Kh</w:t>
      </w:r>
      <w:proofErr w:type="spellEnd"/>
      <w:r w:rsidR="0098114C" w:rsidRPr="0098114C">
        <w:rPr>
          <w:szCs w:val="28"/>
        </w:rPr>
        <w:t>.: VD "INZHEK", - 2020. - 320 p.</w:t>
      </w:r>
      <w:r w:rsidR="0098114C">
        <w:rPr>
          <w:szCs w:val="28"/>
        </w:rPr>
        <w:t>]</w:t>
      </w:r>
      <w:r w:rsidR="0098114C" w:rsidRPr="0098114C">
        <w:rPr>
          <w:szCs w:val="28"/>
        </w:rPr>
        <w:t>.</w:t>
      </w:r>
      <w:r w:rsidR="0098114C">
        <w:rPr>
          <w:szCs w:val="28"/>
        </w:rPr>
        <w:t xml:space="preserve">  </w:t>
      </w:r>
    </w:p>
    <w:p w:rsidR="00250C72" w:rsidRPr="0098114C" w:rsidRDefault="00250C72" w:rsidP="00250C72">
      <w:pPr>
        <w:rPr>
          <w:lang w:val="en-US"/>
        </w:rPr>
      </w:pPr>
      <w:r w:rsidRPr="0098114C">
        <w:t xml:space="preserve">3. </w:t>
      </w:r>
      <w:proofErr w:type="spellStart"/>
      <w:r w:rsidRPr="00250C72">
        <w:rPr>
          <w:lang w:val="en-US"/>
        </w:rPr>
        <w:t>Honcharuk</w:t>
      </w:r>
      <w:proofErr w:type="spellEnd"/>
      <w:r w:rsidRPr="0098114C">
        <w:t xml:space="preserve"> </w:t>
      </w:r>
      <w:r w:rsidRPr="00250C72">
        <w:rPr>
          <w:lang w:val="en-US"/>
        </w:rPr>
        <w:t>T</w:t>
      </w:r>
      <w:r w:rsidRPr="0098114C">
        <w:t>.</w:t>
      </w:r>
      <w:r w:rsidRPr="00250C72">
        <w:rPr>
          <w:lang w:val="en-US"/>
        </w:rPr>
        <w:t>I</w:t>
      </w:r>
      <w:r w:rsidRPr="0098114C">
        <w:t xml:space="preserve">. </w:t>
      </w:r>
      <w:proofErr w:type="spellStart"/>
      <w:r w:rsidRPr="00250C72">
        <w:rPr>
          <w:lang w:val="en-US"/>
        </w:rPr>
        <w:t>Metodolohiya</w:t>
      </w:r>
      <w:proofErr w:type="spellEnd"/>
      <w:r w:rsidRPr="0098114C">
        <w:t xml:space="preserve"> </w:t>
      </w:r>
      <w:proofErr w:type="spellStart"/>
      <w:r w:rsidRPr="00250C72">
        <w:rPr>
          <w:lang w:val="en-US"/>
        </w:rPr>
        <w:t>konkurentospro</w:t>
      </w:r>
      <w:proofErr w:type="spellEnd"/>
      <w:r w:rsidRPr="0098114C">
        <w:t>¬</w:t>
      </w:r>
      <w:proofErr w:type="spellStart"/>
      <w:r w:rsidRPr="00250C72">
        <w:rPr>
          <w:lang w:val="en-US"/>
        </w:rPr>
        <w:t>mozhnosti</w:t>
      </w:r>
      <w:proofErr w:type="spellEnd"/>
      <w:r w:rsidRPr="0098114C">
        <w:t xml:space="preserve">: </w:t>
      </w:r>
      <w:proofErr w:type="spellStart"/>
      <w:r w:rsidRPr="00250C72">
        <w:rPr>
          <w:lang w:val="en-US"/>
        </w:rPr>
        <w:t>dosvid</w:t>
      </w:r>
      <w:proofErr w:type="spellEnd"/>
      <w:r w:rsidRPr="0098114C">
        <w:t xml:space="preserve"> </w:t>
      </w:r>
      <w:proofErr w:type="spellStart"/>
      <w:r w:rsidRPr="00250C72">
        <w:rPr>
          <w:lang w:val="en-US"/>
        </w:rPr>
        <w:t>teoriyi</w:t>
      </w:r>
      <w:proofErr w:type="spellEnd"/>
      <w:r w:rsidRPr="0098114C">
        <w:t xml:space="preserve"> </w:t>
      </w:r>
      <w:r w:rsidRPr="00250C72">
        <w:rPr>
          <w:lang w:val="en-US"/>
        </w:rPr>
        <w:t>ta</w:t>
      </w:r>
      <w:r w:rsidRPr="0098114C">
        <w:t xml:space="preserve"> </w:t>
      </w:r>
      <w:proofErr w:type="spellStart"/>
      <w:r w:rsidRPr="00250C72">
        <w:rPr>
          <w:lang w:val="en-US"/>
        </w:rPr>
        <w:t>teoriya</w:t>
      </w:r>
      <w:proofErr w:type="spellEnd"/>
      <w:r w:rsidRPr="0098114C">
        <w:t xml:space="preserve"> </w:t>
      </w:r>
      <w:proofErr w:type="spellStart"/>
      <w:r w:rsidRPr="00250C72">
        <w:rPr>
          <w:lang w:val="en-US"/>
        </w:rPr>
        <w:t>dosvidu</w:t>
      </w:r>
      <w:proofErr w:type="spellEnd"/>
      <w:r w:rsidRPr="0098114C">
        <w:t xml:space="preserve"> / </w:t>
      </w:r>
      <w:r w:rsidRPr="00250C72">
        <w:rPr>
          <w:lang w:val="en-US"/>
        </w:rPr>
        <w:t>T</w:t>
      </w:r>
      <w:r w:rsidRPr="0098114C">
        <w:t>.</w:t>
      </w:r>
      <w:r w:rsidRPr="00250C72">
        <w:rPr>
          <w:lang w:val="en-US"/>
        </w:rPr>
        <w:t>I</w:t>
      </w:r>
      <w:r w:rsidRPr="0098114C">
        <w:t xml:space="preserve">. </w:t>
      </w:r>
      <w:proofErr w:type="spellStart"/>
      <w:r w:rsidRPr="00250C72">
        <w:rPr>
          <w:lang w:val="en-US"/>
        </w:rPr>
        <w:t>Honcharuk</w:t>
      </w:r>
      <w:proofErr w:type="spellEnd"/>
      <w:r w:rsidRPr="0098114C">
        <w:t xml:space="preserve"> // </w:t>
      </w:r>
      <w:proofErr w:type="spellStart"/>
      <w:r w:rsidRPr="00250C72">
        <w:rPr>
          <w:lang w:val="en-US"/>
        </w:rPr>
        <w:t>Visnyk</w:t>
      </w:r>
      <w:proofErr w:type="spellEnd"/>
      <w:r w:rsidRPr="0098114C">
        <w:t xml:space="preserve"> </w:t>
      </w:r>
      <w:proofErr w:type="spellStart"/>
      <w:r w:rsidRPr="00250C72">
        <w:rPr>
          <w:lang w:val="en-US"/>
        </w:rPr>
        <w:t>Ukrayins</w:t>
      </w:r>
      <w:proofErr w:type="spellEnd"/>
      <w:r w:rsidRPr="0098114C">
        <w:t>ʹ</w:t>
      </w:r>
      <w:proofErr w:type="spellStart"/>
      <w:r w:rsidRPr="00250C72">
        <w:rPr>
          <w:lang w:val="en-US"/>
        </w:rPr>
        <w:t>koyi</w:t>
      </w:r>
      <w:proofErr w:type="spellEnd"/>
      <w:r w:rsidRPr="0098114C">
        <w:t xml:space="preserve"> </w:t>
      </w:r>
      <w:proofErr w:type="spellStart"/>
      <w:r w:rsidRPr="00250C72">
        <w:rPr>
          <w:lang w:val="en-US"/>
        </w:rPr>
        <w:t>akademiyi</w:t>
      </w:r>
      <w:proofErr w:type="spellEnd"/>
      <w:r w:rsidRPr="0098114C">
        <w:t xml:space="preserve"> </w:t>
      </w:r>
      <w:proofErr w:type="spellStart"/>
      <w:r w:rsidRPr="00250C72">
        <w:rPr>
          <w:lang w:val="en-US"/>
        </w:rPr>
        <w:t>bankivs</w:t>
      </w:r>
      <w:proofErr w:type="spellEnd"/>
      <w:r w:rsidRPr="0098114C">
        <w:t>ʹ</w:t>
      </w:r>
      <w:proofErr w:type="spellStart"/>
      <w:r w:rsidRPr="00250C72">
        <w:rPr>
          <w:lang w:val="en-US"/>
        </w:rPr>
        <w:t>koyi</w:t>
      </w:r>
      <w:proofErr w:type="spellEnd"/>
      <w:r w:rsidRPr="0098114C">
        <w:t xml:space="preserve"> </w:t>
      </w:r>
      <w:proofErr w:type="spellStart"/>
      <w:r w:rsidRPr="00250C72">
        <w:rPr>
          <w:lang w:val="en-US"/>
        </w:rPr>
        <w:t>spravy</w:t>
      </w:r>
      <w:proofErr w:type="spellEnd"/>
      <w:r w:rsidRPr="0098114C">
        <w:t xml:space="preserve">. 2020.- № 2.- </w:t>
      </w:r>
      <w:r w:rsidRPr="00250C72">
        <w:rPr>
          <w:lang w:val="en-US"/>
        </w:rPr>
        <w:t>C</w:t>
      </w:r>
      <w:r w:rsidR="0098114C">
        <w:t>. 3–10</w:t>
      </w:r>
      <w:r w:rsidR="0098114C">
        <w:rPr>
          <w:lang w:val="en-US"/>
        </w:rPr>
        <w:t xml:space="preserve"> </w:t>
      </w:r>
      <w:r w:rsidR="0098114C" w:rsidRPr="0098114C">
        <w:rPr>
          <w:lang w:val="en-US"/>
        </w:rPr>
        <w:t>[</w:t>
      </w:r>
      <w:proofErr w:type="spellStart"/>
      <w:r w:rsidR="0098114C" w:rsidRPr="0098114C">
        <w:rPr>
          <w:lang w:val="en-US"/>
        </w:rPr>
        <w:t>Honcharuk</w:t>
      </w:r>
      <w:proofErr w:type="spellEnd"/>
      <w:r w:rsidR="0098114C" w:rsidRPr="0098114C">
        <w:rPr>
          <w:lang w:val="en-US"/>
        </w:rPr>
        <w:t xml:space="preserve"> T.I. Competitiveness methodology: theory experience and theory of experience / T.I. </w:t>
      </w:r>
      <w:proofErr w:type="spellStart"/>
      <w:r w:rsidR="0098114C" w:rsidRPr="0098114C">
        <w:rPr>
          <w:lang w:val="en-US"/>
        </w:rPr>
        <w:t>Honcharuk</w:t>
      </w:r>
      <w:proofErr w:type="spellEnd"/>
      <w:r w:rsidR="0098114C" w:rsidRPr="0098114C">
        <w:rPr>
          <w:lang w:val="en-US"/>
        </w:rPr>
        <w:t xml:space="preserve"> // Bulletin of the Ukrainian Academy of Banking. 2020</w:t>
      </w:r>
      <w:proofErr w:type="gramStart"/>
      <w:r w:rsidR="0098114C" w:rsidRPr="0098114C">
        <w:rPr>
          <w:lang w:val="en-US"/>
        </w:rPr>
        <w:t>.-</w:t>
      </w:r>
      <w:proofErr w:type="gramEnd"/>
      <w:r w:rsidR="0098114C" w:rsidRPr="0098114C">
        <w:rPr>
          <w:lang w:val="en-US"/>
        </w:rPr>
        <w:t xml:space="preserve"> No. 2.- C. 3–10.].  </w:t>
      </w:r>
    </w:p>
    <w:sectPr w:rsidR="00250C72" w:rsidRPr="0098114C" w:rsidSect="00AC666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CB11F7"/>
    <w:multiLevelType w:val="hybridMultilevel"/>
    <w:tmpl w:val="A4CCB8E6"/>
    <w:lvl w:ilvl="0" w:tplc="E0A258F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1F8017C6"/>
    <w:multiLevelType w:val="hybridMultilevel"/>
    <w:tmpl w:val="ECC01722"/>
    <w:lvl w:ilvl="0" w:tplc="644297E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3D3609B3"/>
    <w:multiLevelType w:val="hybridMultilevel"/>
    <w:tmpl w:val="A912BF14"/>
    <w:lvl w:ilvl="0" w:tplc="E0A258F0">
      <w:numFmt w:val="bullet"/>
      <w:lvlText w:val="-"/>
      <w:lvlJc w:val="left"/>
      <w:pPr>
        <w:tabs>
          <w:tab w:val="num" w:pos="1571"/>
        </w:tabs>
        <w:ind w:left="1571" w:hanging="360"/>
      </w:pPr>
      <w:rPr>
        <w:rFonts w:ascii="Times New Roman" w:eastAsia="Times New Roman" w:hAnsi="Times New Roman" w:cs="Times New Roman" w:hint="default"/>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3">
    <w:nsid w:val="40B05A05"/>
    <w:multiLevelType w:val="hybridMultilevel"/>
    <w:tmpl w:val="220A435C"/>
    <w:lvl w:ilvl="0" w:tplc="E0A258F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42CD03EE"/>
    <w:multiLevelType w:val="hybridMultilevel"/>
    <w:tmpl w:val="EB969DF6"/>
    <w:lvl w:ilvl="0" w:tplc="716248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54BE4D9B"/>
    <w:multiLevelType w:val="hybridMultilevel"/>
    <w:tmpl w:val="E1D2CCB4"/>
    <w:lvl w:ilvl="0" w:tplc="807A632A">
      <w:start w:val="1"/>
      <w:numFmt w:val="decimal"/>
      <w:lvlText w:val="%1."/>
      <w:lvlJc w:val="left"/>
      <w:pPr>
        <w:tabs>
          <w:tab w:val="num" w:pos="1969"/>
        </w:tabs>
        <w:ind w:left="1969" w:hanging="12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60FC7C7A"/>
    <w:multiLevelType w:val="hybridMultilevel"/>
    <w:tmpl w:val="4CD01C02"/>
    <w:lvl w:ilvl="0" w:tplc="F6AE397A">
      <w:start w:val="1"/>
      <w:numFmt w:val="decimal"/>
      <w:lvlText w:val="%1."/>
      <w:lvlJc w:val="left"/>
      <w:pPr>
        <w:tabs>
          <w:tab w:val="num" w:pos="720"/>
        </w:tabs>
        <w:ind w:left="720" w:hanging="360"/>
      </w:pPr>
      <w:rPr>
        <w:rFonts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6B8945B1"/>
    <w:multiLevelType w:val="hybridMultilevel"/>
    <w:tmpl w:val="BF023F0C"/>
    <w:lvl w:ilvl="0" w:tplc="E0A258F0">
      <w:numFmt w:val="bullet"/>
      <w:lvlText w:val="-"/>
      <w:lvlJc w:val="left"/>
      <w:pPr>
        <w:tabs>
          <w:tab w:val="num" w:pos="1571"/>
        </w:tabs>
        <w:ind w:left="1571" w:hanging="360"/>
      </w:pPr>
      <w:rPr>
        <w:rFonts w:ascii="Times New Roman" w:eastAsia="Times New Roman" w:hAnsi="Times New Roman" w:cs="Times New Roman" w:hint="default"/>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8">
    <w:nsid w:val="74A249D3"/>
    <w:multiLevelType w:val="hybridMultilevel"/>
    <w:tmpl w:val="9E9EADA4"/>
    <w:lvl w:ilvl="0" w:tplc="071E4C9E">
      <w:numFmt w:val="bullet"/>
      <w:lvlText w:val="-"/>
      <w:lvlJc w:val="left"/>
      <w:pPr>
        <w:tabs>
          <w:tab w:val="num" w:pos="750"/>
        </w:tabs>
        <w:ind w:left="750" w:hanging="390"/>
      </w:pPr>
      <w:rPr>
        <w:rFonts w:ascii="Times New Roman" w:eastAsia="Times New Roman" w:hAnsi="Times New Roman" w:cs="Times New Roman" w:hint="default"/>
        <w:sz w:val="28"/>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75A512F8"/>
    <w:multiLevelType w:val="hybridMultilevel"/>
    <w:tmpl w:val="D70C6A06"/>
    <w:lvl w:ilvl="0" w:tplc="41EA252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8"/>
  </w:num>
  <w:num w:numId="2">
    <w:abstractNumId w:val="0"/>
  </w:num>
  <w:num w:numId="3">
    <w:abstractNumId w:val="3"/>
  </w:num>
  <w:num w:numId="4">
    <w:abstractNumId w:val="6"/>
  </w:num>
  <w:num w:numId="5">
    <w:abstractNumId w:val="2"/>
  </w:num>
  <w:num w:numId="6">
    <w:abstractNumId w:val="7"/>
  </w:num>
  <w:num w:numId="7">
    <w:abstractNumId w:val="5"/>
  </w:num>
  <w:num w:numId="8">
    <w:abstractNumId w:val="4"/>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66D"/>
    <w:rsid w:val="00090B26"/>
    <w:rsid w:val="000A40B9"/>
    <w:rsid w:val="00121E83"/>
    <w:rsid w:val="00250C72"/>
    <w:rsid w:val="00310D66"/>
    <w:rsid w:val="004957C3"/>
    <w:rsid w:val="005C536F"/>
    <w:rsid w:val="0098114C"/>
    <w:rsid w:val="00AC666D"/>
    <w:rsid w:val="00AD42C5"/>
    <w:rsid w:val="00D46F89"/>
    <w:rsid w:val="00EA43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текст диссертації"/>
    <w:qFormat/>
    <w:rsid w:val="00AC666D"/>
    <w:pPr>
      <w:spacing w:after="0" w:line="360" w:lineRule="auto"/>
      <w:ind w:firstLine="851"/>
      <w:jc w:val="both"/>
    </w:pPr>
    <w:rPr>
      <w:rFonts w:ascii="Times New Roman" w:eastAsia="Times New Roman" w:hAnsi="Times New Roman" w:cs="Times New Roman"/>
      <w:sz w:val="28"/>
      <w:szCs w:val="20"/>
      <w:lang w:val="uk-UA" w:eastAsia="ru-RU"/>
    </w:rPr>
  </w:style>
  <w:style w:type="paragraph" w:styleId="2">
    <w:name w:val="heading 2"/>
    <w:basedOn w:val="a"/>
    <w:next w:val="a"/>
    <w:link w:val="20"/>
    <w:qFormat/>
    <w:rsid w:val="00AC666D"/>
    <w:pPr>
      <w:keepNext/>
      <w:spacing w:before="240" w:after="60"/>
      <w:outlineLvl w:val="1"/>
    </w:pPr>
    <w:rPr>
      <w:rFonts w:ascii="Arial" w:hAnsi="Arial" w:cs="Arial"/>
      <w:b/>
      <w:bCs/>
      <w:i/>
      <w:i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AC666D"/>
    <w:rPr>
      <w:rFonts w:ascii="Arial" w:eastAsia="Times New Roman" w:hAnsi="Arial" w:cs="Arial"/>
      <w:b/>
      <w:bCs/>
      <w:i/>
      <w:iCs/>
      <w:sz w:val="28"/>
      <w:szCs w:val="28"/>
      <w:lang w:val="uk-UA" w:eastAsia="ru-RU"/>
    </w:rPr>
  </w:style>
  <w:style w:type="paragraph" w:styleId="a3">
    <w:name w:val="Body Text Indent"/>
    <w:aliases w:val="Основной,Текст статтьи"/>
    <w:basedOn w:val="a"/>
    <w:link w:val="a4"/>
    <w:rsid w:val="00AC666D"/>
    <w:pPr>
      <w:ind w:firstLine="0"/>
      <w:jc w:val="left"/>
    </w:pPr>
  </w:style>
  <w:style w:type="character" w:customStyle="1" w:styleId="a4">
    <w:name w:val="Основной текст с отступом Знак"/>
    <w:aliases w:val="Основной Знак,Текст статтьи Знак"/>
    <w:basedOn w:val="a0"/>
    <w:link w:val="a3"/>
    <w:rsid w:val="00AC666D"/>
    <w:rPr>
      <w:rFonts w:ascii="Times New Roman" w:eastAsia="Times New Roman" w:hAnsi="Times New Roman" w:cs="Times New Roman"/>
      <w:sz w:val="28"/>
      <w:szCs w:val="20"/>
      <w:lang w:val="uk-UA" w:eastAsia="ru-RU"/>
    </w:rPr>
  </w:style>
  <w:style w:type="paragraph" w:customStyle="1" w:styleId="a5">
    <w:name w:val="текмсь"/>
    <w:basedOn w:val="a"/>
    <w:rsid w:val="00AC666D"/>
  </w:style>
  <w:style w:type="paragraph" w:styleId="a6">
    <w:name w:val="Body Text"/>
    <w:basedOn w:val="a"/>
    <w:link w:val="a7"/>
    <w:rsid w:val="00AC666D"/>
    <w:pPr>
      <w:spacing w:after="120"/>
    </w:pPr>
  </w:style>
  <w:style w:type="character" w:customStyle="1" w:styleId="a7">
    <w:name w:val="Основной текст Знак"/>
    <w:basedOn w:val="a0"/>
    <w:link w:val="a6"/>
    <w:rsid w:val="00AC666D"/>
    <w:rPr>
      <w:rFonts w:ascii="Times New Roman" w:eastAsia="Times New Roman" w:hAnsi="Times New Roman" w:cs="Times New Roman"/>
      <w:sz w:val="28"/>
      <w:szCs w:val="20"/>
      <w:lang w:val="uk-UA" w:eastAsia="ru-RU"/>
    </w:rPr>
  </w:style>
  <w:style w:type="paragraph" w:styleId="a8">
    <w:name w:val="footer"/>
    <w:basedOn w:val="a"/>
    <w:link w:val="a9"/>
    <w:rsid w:val="00AC666D"/>
    <w:pPr>
      <w:widowControl w:val="0"/>
      <w:tabs>
        <w:tab w:val="center" w:pos="4677"/>
        <w:tab w:val="right" w:pos="9355"/>
      </w:tabs>
      <w:autoSpaceDE w:val="0"/>
      <w:autoSpaceDN w:val="0"/>
      <w:adjustRightInd w:val="0"/>
      <w:spacing w:before="60" w:line="280" w:lineRule="auto"/>
      <w:ind w:firstLine="220"/>
    </w:pPr>
    <w:rPr>
      <w:sz w:val="20"/>
    </w:rPr>
  </w:style>
  <w:style w:type="character" w:customStyle="1" w:styleId="a9">
    <w:name w:val="Нижний колонтитул Знак"/>
    <w:basedOn w:val="a0"/>
    <w:link w:val="a8"/>
    <w:rsid w:val="00AC666D"/>
    <w:rPr>
      <w:rFonts w:ascii="Times New Roman" w:eastAsia="Times New Roman" w:hAnsi="Times New Roman" w:cs="Times New Roman"/>
      <w:sz w:val="20"/>
      <w:szCs w:val="20"/>
      <w:lang w:val="uk-UA" w:eastAsia="ru-RU"/>
    </w:rPr>
  </w:style>
  <w:style w:type="paragraph" w:styleId="aa">
    <w:name w:val="Normal (Web)"/>
    <w:basedOn w:val="a"/>
    <w:rsid w:val="00AC666D"/>
    <w:pPr>
      <w:spacing w:before="100" w:beforeAutospacing="1" w:after="100" w:afterAutospacing="1" w:line="240" w:lineRule="auto"/>
      <w:ind w:firstLine="0"/>
      <w:jc w:val="left"/>
    </w:pPr>
    <w:rPr>
      <w:sz w:val="24"/>
      <w:szCs w:val="24"/>
      <w:lang w:val="ru-RU"/>
    </w:rPr>
  </w:style>
  <w:style w:type="character" w:customStyle="1" w:styleId="style61">
    <w:name w:val="style61"/>
    <w:basedOn w:val="a0"/>
    <w:rsid w:val="00AC666D"/>
  </w:style>
  <w:style w:type="paragraph" w:styleId="21">
    <w:name w:val="Body Text 2"/>
    <w:basedOn w:val="a"/>
    <w:link w:val="22"/>
    <w:rsid w:val="00AC666D"/>
    <w:pPr>
      <w:spacing w:after="120" w:line="480" w:lineRule="auto"/>
    </w:pPr>
  </w:style>
  <w:style w:type="character" w:customStyle="1" w:styleId="22">
    <w:name w:val="Основной текст 2 Знак"/>
    <w:basedOn w:val="a0"/>
    <w:link w:val="21"/>
    <w:rsid w:val="00AC666D"/>
    <w:rPr>
      <w:rFonts w:ascii="Times New Roman" w:eastAsia="Times New Roman" w:hAnsi="Times New Roman" w:cs="Times New Roman"/>
      <w:sz w:val="28"/>
      <w:szCs w:val="20"/>
      <w:lang w:val="uk-UA" w:eastAsia="ru-RU"/>
    </w:rPr>
  </w:style>
  <w:style w:type="paragraph" w:customStyle="1" w:styleId="1">
    <w:name w:val="Таблиця 1"/>
    <w:basedOn w:val="a"/>
    <w:rsid w:val="00AC666D"/>
    <w:pPr>
      <w:ind w:firstLine="0"/>
      <w:jc w:val="right"/>
    </w:pPr>
  </w:style>
  <w:style w:type="paragraph" w:customStyle="1" w:styleId="ab">
    <w:name w:val="таблиця назва"/>
    <w:basedOn w:val="a"/>
    <w:rsid w:val="00AC666D"/>
    <w:pPr>
      <w:ind w:firstLine="0"/>
      <w:jc w:val="center"/>
    </w:pPr>
  </w:style>
  <w:style w:type="paragraph" w:customStyle="1" w:styleId="ac">
    <w:name w:val="Таблиця текст"/>
    <w:basedOn w:val="a"/>
    <w:rsid w:val="00AC666D"/>
    <w:pPr>
      <w:spacing w:line="240" w:lineRule="auto"/>
      <w:ind w:firstLine="0"/>
      <w:jc w:val="center"/>
    </w:pPr>
  </w:style>
  <w:style w:type="paragraph" w:customStyle="1" w:styleId="ad">
    <w:name w:val="Текст в рисунках"/>
    <w:basedOn w:val="a"/>
    <w:rsid w:val="00AC666D"/>
    <w:pPr>
      <w:spacing w:line="240" w:lineRule="auto"/>
      <w:ind w:firstLine="0"/>
      <w:jc w:val="center"/>
    </w:pPr>
  </w:style>
  <w:style w:type="paragraph" w:customStyle="1" w:styleId="ae">
    <w:name w:val="Заголовок таблиць"/>
    <w:basedOn w:val="a"/>
    <w:rsid w:val="00AC666D"/>
    <w:pPr>
      <w:spacing w:line="240" w:lineRule="auto"/>
      <w:ind w:firstLine="0"/>
      <w:jc w:val="center"/>
    </w:pPr>
  </w:style>
  <w:style w:type="paragraph" w:styleId="af">
    <w:name w:val="endnote text"/>
    <w:basedOn w:val="a"/>
    <w:link w:val="af0"/>
    <w:semiHidden/>
    <w:rsid w:val="00AC666D"/>
    <w:pPr>
      <w:ind w:firstLine="567"/>
    </w:pPr>
  </w:style>
  <w:style w:type="character" w:customStyle="1" w:styleId="af0">
    <w:name w:val="Текст концевой сноски Знак"/>
    <w:basedOn w:val="a0"/>
    <w:link w:val="af"/>
    <w:semiHidden/>
    <w:rsid w:val="00AC666D"/>
    <w:rPr>
      <w:rFonts w:ascii="Times New Roman" w:eastAsia="Times New Roman" w:hAnsi="Times New Roman" w:cs="Times New Roman"/>
      <w:sz w:val="28"/>
      <w:szCs w:val="20"/>
      <w:lang w:val="uk-UA" w:eastAsia="ru-RU"/>
    </w:rPr>
  </w:style>
  <w:style w:type="paragraph" w:customStyle="1" w:styleId="14">
    <w:name w:val="таблиця текст14"/>
    <w:basedOn w:val="ac"/>
    <w:rsid w:val="00AC666D"/>
    <w:pPr>
      <w:jc w:val="left"/>
    </w:pPr>
  </w:style>
  <w:style w:type="paragraph" w:customStyle="1" w:styleId="af1">
    <w:name w:val="Рис назва"/>
    <w:basedOn w:val="a"/>
    <w:rsid w:val="00AC666D"/>
    <w:pPr>
      <w:ind w:firstLine="0"/>
      <w:jc w:val="center"/>
    </w:pPr>
    <w:rPr>
      <w:iCs/>
    </w:rPr>
  </w:style>
  <w:style w:type="paragraph" w:customStyle="1" w:styleId="af2">
    <w:name w:val="схема в середині"/>
    <w:basedOn w:val="a"/>
    <w:rsid w:val="00AC666D"/>
    <w:pPr>
      <w:spacing w:line="240" w:lineRule="auto"/>
      <w:ind w:firstLine="0"/>
      <w:jc w:val="center"/>
    </w:pPr>
    <w:rPr>
      <w:sz w:val="24"/>
    </w:rPr>
  </w:style>
  <w:style w:type="paragraph" w:customStyle="1" w:styleId="af3">
    <w:name w:val="Назва рис"/>
    <w:basedOn w:val="a"/>
    <w:rsid w:val="00AC666D"/>
    <w:pPr>
      <w:spacing w:line="240" w:lineRule="auto"/>
      <w:ind w:firstLine="0"/>
      <w:jc w:val="center"/>
    </w:pPr>
    <w:rPr>
      <w:iCs/>
    </w:rPr>
  </w:style>
  <w:style w:type="paragraph" w:customStyle="1" w:styleId="10">
    <w:name w:val="Обычный1"/>
    <w:rsid w:val="00AC666D"/>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af4">
    <w:name w:val="таблиця"/>
    <w:basedOn w:val="a"/>
    <w:rsid w:val="00AC666D"/>
    <w:pPr>
      <w:ind w:firstLine="0"/>
      <w:jc w:val="center"/>
    </w:pPr>
  </w:style>
  <w:style w:type="character" w:styleId="af5">
    <w:name w:val="Emphasis"/>
    <w:basedOn w:val="a0"/>
    <w:qFormat/>
    <w:rsid w:val="00AC666D"/>
    <w:rPr>
      <w:i/>
      <w:iCs/>
    </w:rPr>
  </w:style>
  <w:style w:type="paragraph" w:customStyle="1" w:styleId="af6">
    <w:name w:val="Знак Знак Знак Знак"/>
    <w:basedOn w:val="a"/>
    <w:rsid w:val="00AC666D"/>
    <w:pPr>
      <w:spacing w:line="240" w:lineRule="auto"/>
      <w:ind w:firstLine="0"/>
      <w:jc w:val="left"/>
    </w:pPr>
    <w:rPr>
      <w:rFonts w:ascii="Verdana" w:hAnsi="Verdana" w:cs="Verdana"/>
      <w:sz w:val="20"/>
      <w:lang w:val="en-US" w:eastAsia="en-US"/>
    </w:rPr>
  </w:style>
  <w:style w:type="paragraph" w:styleId="af7">
    <w:name w:val="Balloon Text"/>
    <w:basedOn w:val="a"/>
    <w:link w:val="af8"/>
    <w:uiPriority w:val="99"/>
    <w:semiHidden/>
    <w:unhideWhenUsed/>
    <w:rsid w:val="00AC666D"/>
    <w:pPr>
      <w:spacing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AC666D"/>
    <w:rPr>
      <w:rFonts w:ascii="Tahoma" w:eastAsia="Times New Roman" w:hAnsi="Tahoma" w:cs="Tahoma"/>
      <w:sz w:val="16"/>
      <w:szCs w:val="16"/>
      <w:lang w:val="uk-UA" w:eastAsia="ru-RU"/>
    </w:rPr>
  </w:style>
  <w:style w:type="paragraph" w:styleId="af9">
    <w:name w:val="List Paragraph"/>
    <w:basedOn w:val="a"/>
    <w:uiPriority w:val="34"/>
    <w:qFormat/>
    <w:rsid w:val="00310D6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текст диссертації"/>
    <w:qFormat/>
    <w:rsid w:val="00AC666D"/>
    <w:pPr>
      <w:spacing w:after="0" w:line="360" w:lineRule="auto"/>
      <w:ind w:firstLine="851"/>
      <w:jc w:val="both"/>
    </w:pPr>
    <w:rPr>
      <w:rFonts w:ascii="Times New Roman" w:eastAsia="Times New Roman" w:hAnsi="Times New Roman" w:cs="Times New Roman"/>
      <w:sz w:val="28"/>
      <w:szCs w:val="20"/>
      <w:lang w:val="uk-UA" w:eastAsia="ru-RU"/>
    </w:rPr>
  </w:style>
  <w:style w:type="paragraph" w:styleId="2">
    <w:name w:val="heading 2"/>
    <w:basedOn w:val="a"/>
    <w:next w:val="a"/>
    <w:link w:val="20"/>
    <w:qFormat/>
    <w:rsid w:val="00AC666D"/>
    <w:pPr>
      <w:keepNext/>
      <w:spacing w:before="240" w:after="60"/>
      <w:outlineLvl w:val="1"/>
    </w:pPr>
    <w:rPr>
      <w:rFonts w:ascii="Arial" w:hAnsi="Arial" w:cs="Arial"/>
      <w:b/>
      <w:bCs/>
      <w:i/>
      <w:i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AC666D"/>
    <w:rPr>
      <w:rFonts w:ascii="Arial" w:eastAsia="Times New Roman" w:hAnsi="Arial" w:cs="Arial"/>
      <w:b/>
      <w:bCs/>
      <w:i/>
      <w:iCs/>
      <w:sz w:val="28"/>
      <w:szCs w:val="28"/>
      <w:lang w:val="uk-UA" w:eastAsia="ru-RU"/>
    </w:rPr>
  </w:style>
  <w:style w:type="paragraph" w:styleId="a3">
    <w:name w:val="Body Text Indent"/>
    <w:aliases w:val="Основной,Текст статтьи"/>
    <w:basedOn w:val="a"/>
    <w:link w:val="a4"/>
    <w:rsid w:val="00AC666D"/>
    <w:pPr>
      <w:ind w:firstLine="0"/>
      <w:jc w:val="left"/>
    </w:pPr>
  </w:style>
  <w:style w:type="character" w:customStyle="1" w:styleId="a4">
    <w:name w:val="Основной текст с отступом Знак"/>
    <w:aliases w:val="Основной Знак,Текст статтьи Знак"/>
    <w:basedOn w:val="a0"/>
    <w:link w:val="a3"/>
    <w:rsid w:val="00AC666D"/>
    <w:rPr>
      <w:rFonts w:ascii="Times New Roman" w:eastAsia="Times New Roman" w:hAnsi="Times New Roman" w:cs="Times New Roman"/>
      <w:sz w:val="28"/>
      <w:szCs w:val="20"/>
      <w:lang w:val="uk-UA" w:eastAsia="ru-RU"/>
    </w:rPr>
  </w:style>
  <w:style w:type="paragraph" w:customStyle="1" w:styleId="a5">
    <w:name w:val="текмсь"/>
    <w:basedOn w:val="a"/>
    <w:rsid w:val="00AC666D"/>
  </w:style>
  <w:style w:type="paragraph" w:styleId="a6">
    <w:name w:val="Body Text"/>
    <w:basedOn w:val="a"/>
    <w:link w:val="a7"/>
    <w:rsid w:val="00AC666D"/>
    <w:pPr>
      <w:spacing w:after="120"/>
    </w:pPr>
  </w:style>
  <w:style w:type="character" w:customStyle="1" w:styleId="a7">
    <w:name w:val="Основной текст Знак"/>
    <w:basedOn w:val="a0"/>
    <w:link w:val="a6"/>
    <w:rsid w:val="00AC666D"/>
    <w:rPr>
      <w:rFonts w:ascii="Times New Roman" w:eastAsia="Times New Roman" w:hAnsi="Times New Roman" w:cs="Times New Roman"/>
      <w:sz w:val="28"/>
      <w:szCs w:val="20"/>
      <w:lang w:val="uk-UA" w:eastAsia="ru-RU"/>
    </w:rPr>
  </w:style>
  <w:style w:type="paragraph" w:styleId="a8">
    <w:name w:val="footer"/>
    <w:basedOn w:val="a"/>
    <w:link w:val="a9"/>
    <w:rsid w:val="00AC666D"/>
    <w:pPr>
      <w:widowControl w:val="0"/>
      <w:tabs>
        <w:tab w:val="center" w:pos="4677"/>
        <w:tab w:val="right" w:pos="9355"/>
      </w:tabs>
      <w:autoSpaceDE w:val="0"/>
      <w:autoSpaceDN w:val="0"/>
      <w:adjustRightInd w:val="0"/>
      <w:spacing w:before="60" w:line="280" w:lineRule="auto"/>
      <w:ind w:firstLine="220"/>
    </w:pPr>
    <w:rPr>
      <w:sz w:val="20"/>
    </w:rPr>
  </w:style>
  <w:style w:type="character" w:customStyle="1" w:styleId="a9">
    <w:name w:val="Нижний колонтитул Знак"/>
    <w:basedOn w:val="a0"/>
    <w:link w:val="a8"/>
    <w:rsid w:val="00AC666D"/>
    <w:rPr>
      <w:rFonts w:ascii="Times New Roman" w:eastAsia="Times New Roman" w:hAnsi="Times New Roman" w:cs="Times New Roman"/>
      <w:sz w:val="20"/>
      <w:szCs w:val="20"/>
      <w:lang w:val="uk-UA" w:eastAsia="ru-RU"/>
    </w:rPr>
  </w:style>
  <w:style w:type="paragraph" w:styleId="aa">
    <w:name w:val="Normal (Web)"/>
    <w:basedOn w:val="a"/>
    <w:rsid w:val="00AC666D"/>
    <w:pPr>
      <w:spacing w:before="100" w:beforeAutospacing="1" w:after="100" w:afterAutospacing="1" w:line="240" w:lineRule="auto"/>
      <w:ind w:firstLine="0"/>
      <w:jc w:val="left"/>
    </w:pPr>
    <w:rPr>
      <w:sz w:val="24"/>
      <w:szCs w:val="24"/>
      <w:lang w:val="ru-RU"/>
    </w:rPr>
  </w:style>
  <w:style w:type="character" w:customStyle="1" w:styleId="style61">
    <w:name w:val="style61"/>
    <w:basedOn w:val="a0"/>
    <w:rsid w:val="00AC666D"/>
  </w:style>
  <w:style w:type="paragraph" w:styleId="21">
    <w:name w:val="Body Text 2"/>
    <w:basedOn w:val="a"/>
    <w:link w:val="22"/>
    <w:rsid w:val="00AC666D"/>
    <w:pPr>
      <w:spacing w:after="120" w:line="480" w:lineRule="auto"/>
    </w:pPr>
  </w:style>
  <w:style w:type="character" w:customStyle="1" w:styleId="22">
    <w:name w:val="Основной текст 2 Знак"/>
    <w:basedOn w:val="a0"/>
    <w:link w:val="21"/>
    <w:rsid w:val="00AC666D"/>
    <w:rPr>
      <w:rFonts w:ascii="Times New Roman" w:eastAsia="Times New Roman" w:hAnsi="Times New Roman" w:cs="Times New Roman"/>
      <w:sz w:val="28"/>
      <w:szCs w:val="20"/>
      <w:lang w:val="uk-UA" w:eastAsia="ru-RU"/>
    </w:rPr>
  </w:style>
  <w:style w:type="paragraph" w:customStyle="1" w:styleId="1">
    <w:name w:val="Таблиця 1"/>
    <w:basedOn w:val="a"/>
    <w:rsid w:val="00AC666D"/>
    <w:pPr>
      <w:ind w:firstLine="0"/>
      <w:jc w:val="right"/>
    </w:pPr>
  </w:style>
  <w:style w:type="paragraph" w:customStyle="1" w:styleId="ab">
    <w:name w:val="таблиця назва"/>
    <w:basedOn w:val="a"/>
    <w:rsid w:val="00AC666D"/>
    <w:pPr>
      <w:ind w:firstLine="0"/>
      <w:jc w:val="center"/>
    </w:pPr>
  </w:style>
  <w:style w:type="paragraph" w:customStyle="1" w:styleId="ac">
    <w:name w:val="Таблиця текст"/>
    <w:basedOn w:val="a"/>
    <w:rsid w:val="00AC666D"/>
    <w:pPr>
      <w:spacing w:line="240" w:lineRule="auto"/>
      <w:ind w:firstLine="0"/>
      <w:jc w:val="center"/>
    </w:pPr>
  </w:style>
  <w:style w:type="paragraph" w:customStyle="1" w:styleId="ad">
    <w:name w:val="Текст в рисунках"/>
    <w:basedOn w:val="a"/>
    <w:rsid w:val="00AC666D"/>
    <w:pPr>
      <w:spacing w:line="240" w:lineRule="auto"/>
      <w:ind w:firstLine="0"/>
      <w:jc w:val="center"/>
    </w:pPr>
  </w:style>
  <w:style w:type="paragraph" w:customStyle="1" w:styleId="ae">
    <w:name w:val="Заголовок таблиць"/>
    <w:basedOn w:val="a"/>
    <w:rsid w:val="00AC666D"/>
    <w:pPr>
      <w:spacing w:line="240" w:lineRule="auto"/>
      <w:ind w:firstLine="0"/>
      <w:jc w:val="center"/>
    </w:pPr>
  </w:style>
  <w:style w:type="paragraph" w:styleId="af">
    <w:name w:val="endnote text"/>
    <w:basedOn w:val="a"/>
    <w:link w:val="af0"/>
    <w:semiHidden/>
    <w:rsid w:val="00AC666D"/>
    <w:pPr>
      <w:ind w:firstLine="567"/>
    </w:pPr>
  </w:style>
  <w:style w:type="character" w:customStyle="1" w:styleId="af0">
    <w:name w:val="Текст концевой сноски Знак"/>
    <w:basedOn w:val="a0"/>
    <w:link w:val="af"/>
    <w:semiHidden/>
    <w:rsid w:val="00AC666D"/>
    <w:rPr>
      <w:rFonts w:ascii="Times New Roman" w:eastAsia="Times New Roman" w:hAnsi="Times New Roman" w:cs="Times New Roman"/>
      <w:sz w:val="28"/>
      <w:szCs w:val="20"/>
      <w:lang w:val="uk-UA" w:eastAsia="ru-RU"/>
    </w:rPr>
  </w:style>
  <w:style w:type="paragraph" w:customStyle="1" w:styleId="14">
    <w:name w:val="таблиця текст14"/>
    <w:basedOn w:val="ac"/>
    <w:rsid w:val="00AC666D"/>
    <w:pPr>
      <w:jc w:val="left"/>
    </w:pPr>
  </w:style>
  <w:style w:type="paragraph" w:customStyle="1" w:styleId="af1">
    <w:name w:val="Рис назва"/>
    <w:basedOn w:val="a"/>
    <w:rsid w:val="00AC666D"/>
    <w:pPr>
      <w:ind w:firstLine="0"/>
      <w:jc w:val="center"/>
    </w:pPr>
    <w:rPr>
      <w:iCs/>
    </w:rPr>
  </w:style>
  <w:style w:type="paragraph" w:customStyle="1" w:styleId="af2">
    <w:name w:val="схема в середині"/>
    <w:basedOn w:val="a"/>
    <w:rsid w:val="00AC666D"/>
    <w:pPr>
      <w:spacing w:line="240" w:lineRule="auto"/>
      <w:ind w:firstLine="0"/>
      <w:jc w:val="center"/>
    </w:pPr>
    <w:rPr>
      <w:sz w:val="24"/>
    </w:rPr>
  </w:style>
  <w:style w:type="paragraph" w:customStyle="1" w:styleId="af3">
    <w:name w:val="Назва рис"/>
    <w:basedOn w:val="a"/>
    <w:rsid w:val="00AC666D"/>
    <w:pPr>
      <w:spacing w:line="240" w:lineRule="auto"/>
      <w:ind w:firstLine="0"/>
      <w:jc w:val="center"/>
    </w:pPr>
    <w:rPr>
      <w:iCs/>
    </w:rPr>
  </w:style>
  <w:style w:type="paragraph" w:customStyle="1" w:styleId="10">
    <w:name w:val="Обычный1"/>
    <w:rsid w:val="00AC666D"/>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af4">
    <w:name w:val="таблиця"/>
    <w:basedOn w:val="a"/>
    <w:rsid w:val="00AC666D"/>
    <w:pPr>
      <w:ind w:firstLine="0"/>
      <w:jc w:val="center"/>
    </w:pPr>
  </w:style>
  <w:style w:type="character" w:styleId="af5">
    <w:name w:val="Emphasis"/>
    <w:basedOn w:val="a0"/>
    <w:qFormat/>
    <w:rsid w:val="00AC666D"/>
    <w:rPr>
      <w:i/>
      <w:iCs/>
    </w:rPr>
  </w:style>
  <w:style w:type="paragraph" w:customStyle="1" w:styleId="af6">
    <w:name w:val="Знак Знак Знак Знак"/>
    <w:basedOn w:val="a"/>
    <w:rsid w:val="00AC666D"/>
    <w:pPr>
      <w:spacing w:line="240" w:lineRule="auto"/>
      <w:ind w:firstLine="0"/>
      <w:jc w:val="left"/>
    </w:pPr>
    <w:rPr>
      <w:rFonts w:ascii="Verdana" w:hAnsi="Verdana" w:cs="Verdana"/>
      <w:sz w:val="20"/>
      <w:lang w:val="en-US" w:eastAsia="en-US"/>
    </w:rPr>
  </w:style>
  <w:style w:type="paragraph" w:styleId="af7">
    <w:name w:val="Balloon Text"/>
    <w:basedOn w:val="a"/>
    <w:link w:val="af8"/>
    <w:uiPriority w:val="99"/>
    <w:semiHidden/>
    <w:unhideWhenUsed/>
    <w:rsid w:val="00AC666D"/>
    <w:pPr>
      <w:spacing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AC666D"/>
    <w:rPr>
      <w:rFonts w:ascii="Tahoma" w:eastAsia="Times New Roman" w:hAnsi="Tahoma" w:cs="Tahoma"/>
      <w:sz w:val="16"/>
      <w:szCs w:val="16"/>
      <w:lang w:val="uk-UA" w:eastAsia="ru-RU"/>
    </w:rPr>
  </w:style>
  <w:style w:type="paragraph" w:styleId="af9">
    <w:name w:val="List Paragraph"/>
    <w:basedOn w:val="a"/>
    <w:uiPriority w:val="34"/>
    <w:qFormat/>
    <w:rsid w:val="00310D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7309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wmf"/><Relationship Id="rId21" Type="http://schemas.openxmlformats.org/officeDocument/2006/relationships/oleObject" Target="embeddings/oleObject2.bin"/><Relationship Id="rId42" Type="http://schemas.openxmlformats.org/officeDocument/2006/relationships/image" Target="media/image15.wmf"/><Relationship Id="rId47" Type="http://schemas.openxmlformats.org/officeDocument/2006/relationships/oleObject" Target="embeddings/oleObject15.bin"/><Relationship Id="rId63" Type="http://schemas.openxmlformats.org/officeDocument/2006/relationships/oleObject" Target="embeddings/oleObject23.bin"/><Relationship Id="rId68" Type="http://schemas.openxmlformats.org/officeDocument/2006/relationships/image" Target="media/image28.wmf"/><Relationship Id="rId84" Type="http://schemas.openxmlformats.org/officeDocument/2006/relationships/oleObject" Target="embeddings/oleObject33.bin"/><Relationship Id="rId16" Type="http://schemas.openxmlformats.org/officeDocument/2006/relationships/chart" Target="charts/chart10.xml"/><Relationship Id="rId11" Type="http://schemas.openxmlformats.org/officeDocument/2006/relationships/chart" Target="charts/chart5.xml"/><Relationship Id="rId32" Type="http://schemas.openxmlformats.org/officeDocument/2006/relationships/image" Target="media/image10.wmf"/><Relationship Id="rId37" Type="http://schemas.openxmlformats.org/officeDocument/2006/relationships/oleObject" Target="embeddings/oleObject10.bin"/><Relationship Id="rId53" Type="http://schemas.openxmlformats.org/officeDocument/2006/relationships/oleObject" Target="embeddings/oleObject18.bin"/><Relationship Id="rId58" Type="http://schemas.openxmlformats.org/officeDocument/2006/relationships/image" Target="media/image23.wmf"/><Relationship Id="rId74" Type="http://schemas.openxmlformats.org/officeDocument/2006/relationships/oleObject" Target="embeddings/oleObject28.bin"/><Relationship Id="rId79" Type="http://schemas.openxmlformats.org/officeDocument/2006/relationships/image" Target="media/image33.wmf"/><Relationship Id="rId5" Type="http://schemas.openxmlformats.org/officeDocument/2006/relationships/webSettings" Target="webSettings.xml"/><Relationship Id="rId19" Type="http://schemas.openxmlformats.org/officeDocument/2006/relationships/oleObject" Target="embeddings/oleObject1.bin"/><Relationship Id="rId14" Type="http://schemas.openxmlformats.org/officeDocument/2006/relationships/chart" Target="charts/chart8.xml"/><Relationship Id="rId22" Type="http://schemas.openxmlformats.org/officeDocument/2006/relationships/image" Target="media/image5.wmf"/><Relationship Id="rId27" Type="http://schemas.openxmlformats.org/officeDocument/2006/relationships/oleObject" Target="embeddings/oleObject5.bin"/><Relationship Id="rId30" Type="http://schemas.openxmlformats.org/officeDocument/2006/relationships/image" Target="media/image9.wmf"/><Relationship Id="rId35" Type="http://schemas.openxmlformats.org/officeDocument/2006/relationships/oleObject" Target="embeddings/oleObject9.bin"/><Relationship Id="rId43" Type="http://schemas.openxmlformats.org/officeDocument/2006/relationships/oleObject" Target="embeddings/oleObject13.bin"/><Relationship Id="rId48" Type="http://schemas.openxmlformats.org/officeDocument/2006/relationships/image" Target="media/image18.wmf"/><Relationship Id="rId56" Type="http://schemas.openxmlformats.org/officeDocument/2006/relationships/image" Target="media/image22.wmf"/><Relationship Id="rId64" Type="http://schemas.openxmlformats.org/officeDocument/2006/relationships/image" Target="media/image26.wmf"/><Relationship Id="rId69" Type="http://schemas.openxmlformats.org/officeDocument/2006/relationships/oleObject" Target="embeddings/oleObject26.bin"/><Relationship Id="rId77" Type="http://schemas.openxmlformats.org/officeDocument/2006/relationships/image" Target="media/image32.wmf"/><Relationship Id="rId8" Type="http://schemas.openxmlformats.org/officeDocument/2006/relationships/chart" Target="charts/chart2.xml"/><Relationship Id="rId51" Type="http://schemas.openxmlformats.org/officeDocument/2006/relationships/oleObject" Target="embeddings/oleObject17.bin"/><Relationship Id="rId72" Type="http://schemas.openxmlformats.org/officeDocument/2006/relationships/chart" Target="charts/chart11.xml"/><Relationship Id="rId80" Type="http://schemas.openxmlformats.org/officeDocument/2006/relationships/oleObject" Target="embeddings/oleObject31.bin"/><Relationship Id="rId85" Type="http://schemas.openxmlformats.org/officeDocument/2006/relationships/fontTable" Target="fontTable.xml"/><Relationship Id="rId3" Type="http://schemas.microsoft.com/office/2007/relationships/stylesWithEffects" Target="stylesWithEffects.xml"/><Relationship Id="rId12" Type="http://schemas.openxmlformats.org/officeDocument/2006/relationships/chart" Target="charts/chart6.xml"/><Relationship Id="rId17" Type="http://schemas.openxmlformats.org/officeDocument/2006/relationships/image" Target="media/image2.wmf"/><Relationship Id="rId25" Type="http://schemas.openxmlformats.org/officeDocument/2006/relationships/oleObject" Target="embeddings/oleObject4.bin"/><Relationship Id="rId33" Type="http://schemas.openxmlformats.org/officeDocument/2006/relationships/oleObject" Target="embeddings/oleObject8.bin"/><Relationship Id="rId38" Type="http://schemas.openxmlformats.org/officeDocument/2006/relationships/image" Target="media/image13.wmf"/><Relationship Id="rId46" Type="http://schemas.openxmlformats.org/officeDocument/2006/relationships/image" Target="media/image17.wmf"/><Relationship Id="rId59" Type="http://schemas.openxmlformats.org/officeDocument/2006/relationships/oleObject" Target="embeddings/oleObject21.bin"/><Relationship Id="rId67" Type="http://schemas.openxmlformats.org/officeDocument/2006/relationships/oleObject" Target="embeddings/oleObject25.bin"/><Relationship Id="rId20" Type="http://schemas.openxmlformats.org/officeDocument/2006/relationships/image" Target="media/image4.wmf"/><Relationship Id="rId41" Type="http://schemas.openxmlformats.org/officeDocument/2006/relationships/oleObject" Target="embeddings/oleObject12.bin"/><Relationship Id="rId54" Type="http://schemas.openxmlformats.org/officeDocument/2006/relationships/image" Target="media/image21.wmf"/><Relationship Id="rId62" Type="http://schemas.openxmlformats.org/officeDocument/2006/relationships/image" Target="media/image25.wmf"/><Relationship Id="rId70" Type="http://schemas.openxmlformats.org/officeDocument/2006/relationships/image" Target="media/image29.wmf"/><Relationship Id="rId75" Type="http://schemas.openxmlformats.org/officeDocument/2006/relationships/image" Target="media/image31.wmf"/><Relationship Id="rId83" Type="http://schemas.openxmlformats.org/officeDocument/2006/relationships/image" Target="media/image35.wmf"/><Relationship Id="rId1" Type="http://schemas.openxmlformats.org/officeDocument/2006/relationships/numbering" Target="numbering.xml"/><Relationship Id="rId6" Type="http://schemas.openxmlformats.org/officeDocument/2006/relationships/image" Target="media/image1.png"/><Relationship Id="rId15" Type="http://schemas.openxmlformats.org/officeDocument/2006/relationships/chart" Target="charts/chart9.xml"/><Relationship Id="rId23" Type="http://schemas.openxmlformats.org/officeDocument/2006/relationships/oleObject" Target="embeddings/oleObject3.bin"/><Relationship Id="rId28" Type="http://schemas.openxmlformats.org/officeDocument/2006/relationships/image" Target="media/image8.wmf"/><Relationship Id="rId36" Type="http://schemas.openxmlformats.org/officeDocument/2006/relationships/image" Target="media/image12.wmf"/><Relationship Id="rId49" Type="http://schemas.openxmlformats.org/officeDocument/2006/relationships/oleObject" Target="embeddings/oleObject16.bin"/><Relationship Id="rId57" Type="http://schemas.openxmlformats.org/officeDocument/2006/relationships/oleObject" Target="embeddings/oleObject20.bin"/><Relationship Id="rId10" Type="http://schemas.openxmlformats.org/officeDocument/2006/relationships/chart" Target="charts/chart4.xml"/><Relationship Id="rId31" Type="http://schemas.openxmlformats.org/officeDocument/2006/relationships/oleObject" Target="embeddings/oleObject7.bin"/><Relationship Id="rId44" Type="http://schemas.openxmlformats.org/officeDocument/2006/relationships/image" Target="media/image16.wmf"/><Relationship Id="rId52" Type="http://schemas.openxmlformats.org/officeDocument/2006/relationships/image" Target="media/image20.wmf"/><Relationship Id="rId60" Type="http://schemas.openxmlformats.org/officeDocument/2006/relationships/image" Target="media/image24.wmf"/><Relationship Id="rId65" Type="http://schemas.openxmlformats.org/officeDocument/2006/relationships/oleObject" Target="embeddings/oleObject24.bin"/><Relationship Id="rId73" Type="http://schemas.openxmlformats.org/officeDocument/2006/relationships/image" Target="media/image30.wmf"/><Relationship Id="rId78" Type="http://schemas.openxmlformats.org/officeDocument/2006/relationships/oleObject" Target="embeddings/oleObject30.bin"/><Relationship Id="rId81" Type="http://schemas.openxmlformats.org/officeDocument/2006/relationships/image" Target="media/image34.wmf"/><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3.xml"/><Relationship Id="rId13" Type="http://schemas.openxmlformats.org/officeDocument/2006/relationships/chart" Target="charts/chart7.xml"/><Relationship Id="rId18" Type="http://schemas.openxmlformats.org/officeDocument/2006/relationships/image" Target="media/image3.wmf"/><Relationship Id="rId39" Type="http://schemas.openxmlformats.org/officeDocument/2006/relationships/oleObject" Target="embeddings/oleObject11.bin"/><Relationship Id="rId34" Type="http://schemas.openxmlformats.org/officeDocument/2006/relationships/image" Target="media/image11.wmf"/><Relationship Id="rId50" Type="http://schemas.openxmlformats.org/officeDocument/2006/relationships/image" Target="media/image19.wmf"/><Relationship Id="rId55" Type="http://schemas.openxmlformats.org/officeDocument/2006/relationships/oleObject" Target="embeddings/oleObject19.bin"/><Relationship Id="rId76" Type="http://schemas.openxmlformats.org/officeDocument/2006/relationships/oleObject" Target="embeddings/oleObject29.bin"/><Relationship Id="rId7" Type="http://schemas.openxmlformats.org/officeDocument/2006/relationships/chart" Target="charts/chart1.xml"/><Relationship Id="rId71" Type="http://schemas.openxmlformats.org/officeDocument/2006/relationships/oleObject" Target="embeddings/oleObject27.bin"/><Relationship Id="rId2" Type="http://schemas.openxmlformats.org/officeDocument/2006/relationships/styles" Target="styles.xml"/><Relationship Id="rId29" Type="http://schemas.openxmlformats.org/officeDocument/2006/relationships/oleObject" Target="embeddings/oleObject6.bin"/><Relationship Id="rId24" Type="http://schemas.openxmlformats.org/officeDocument/2006/relationships/image" Target="media/image6.wmf"/><Relationship Id="rId40" Type="http://schemas.openxmlformats.org/officeDocument/2006/relationships/image" Target="media/image14.wmf"/><Relationship Id="rId45" Type="http://schemas.openxmlformats.org/officeDocument/2006/relationships/oleObject" Target="embeddings/oleObject14.bin"/><Relationship Id="rId66" Type="http://schemas.openxmlformats.org/officeDocument/2006/relationships/image" Target="media/image27.wmf"/><Relationship Id="rId61" Type="http://schemas.openxmlformats.org/officeDocument/2006/relationships/oleObject" Target="embeddings/oleObject22.bin"/><Relationship Id="rId82" Type="http://schemas.openxmlformats.org/officeDocument/2006/relationships/oleObject" Target="embeddings/oleObject32.bin"/></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719008264462809"/>
          <c:y val="0.1111111111111111"/>
          <c:w val="0.8479338842975207"/>
          <c:h val="0.38095238095238093"/>
        </c:manualLayout>
      </c:layout>
      <c:lineChart>
        <c:grouping val="standard"/>
        <c:varyColors val="0"/>
        <c:ser>
          <c:idx val="0"/>
          <c:order val="0"/>
          <c:tx>
            <c:strRef>
              <c:f>Sheet1!$A$2</c:f>
              <c:strCache>
                <c:ptCount val="1"/>
                <c:pt idx="0">
                  <c:v>Варіанти відовідей</c:v>
                </c:pt>
              </c:strCache>
            </c:strRef>
          </c:tx>
          <c:spPr>
            <a:ln w="12687">
              <a:solidFill>
                <a:srgbClr val="000080"/>
              </a:solidFill>
              <a:prstDash val="solid"/>
            </a:ln>
          </c:spPr>
          <c:marker>
            <c:symbol val="diamond"/>
            <c:size val="4"/>
            <c:spPr>
              <a:solidFill>
                <a:srgbClr val="000080"/>
              </a:solidFill>
              <a:ln>
                <a:solidFill>
                  <a:srgbClr val="000080"/>
                </a:solidFill>
                <a:prstDash val="solid"/>
              </a:ln>
            </c:spPr>
          </c:marker>
          <c:dLbls>
            <c:dLbl>
              <c:idx val="0"/>
              <c:layout>
                <c:manualLayout>
                  <c:x val="1.8862993784543591E-3"/>
                  <c:y val="-8.7737904643530484E-2"/>
                </c:manualLayout>
              </c:layout>
              <c:dLblPos val="r"/>
              <c:showLegendKey val="0"/>
              <c:showVal val="1"/>
              <c:showCatName val="0"/>
              <c:showSerName val="0"/>
              <c:showPercent val="0"/>
              <c:showBubbleSize val="0"/>
            </c:dLbl>
            <c:dLbl>
              <c:idx val="1"/>
              <c:layout>
                <c:manualLayout>
                  <c:x val="2.5474108574809473E-3"/>
                  <c:y val="-8.4245742336446272E-2"/>
                </c:manualLayout>
              </c:layout>
              <c:dLblPos val="r"/>
              <c:showLegendKey val="0"/>
              <c:showVal val="1"/>
              <c:showCatName val="0"/>
              <c:showSerName val="0"/>
              <c:showPercent val="0"/>
              <c:showBubbleSize val="0"/>
            </c:dLbl>
            <c:numFmt formatCode="0.0" sourceLinked="0"/>
            <c:spPr>
              <a:noFill/>
              <a:ln w="25374">
                <a:noFill/>
              </a:ln>
            </c:spPr>
            <c:txPr>
              <a:bodyPr/>
              <a:lstStyle/>
              <a:p>
                <a:pPr>
                  <a:defRPr sz="1399" b="0" i="0" u="none" strike="noStrike" baseline="0">
                    <a:solidFill>
                      <a:srgbClr val="000000"/>
                    </a:solidFill>
                    <a:latin typeface="Times New Roman Cyr"/>
                    <a:ea typeface="Times New Roman Cyr"/>
                    <a:cs typeface="Times New Roman Cyr"/>
                  </a:defRPr>
                </a:pPr>
                <a:endParaRPr lang="ru-RU"/>
              </a:p>
            </c:txPr>
            <c:showLegendKey val="0"/>
            <c:showVal val="1"/>
            <c:showCatName val="0"/>
            <c:showSerName val="0"/>
            <c:showPercent val="0"/>
            <c:showBubbleSize val="0"/>
            <c:showLeaderLines val="0"/>
          </c:dLbls>
          <c:cat>
            <c:strRef>
              <c:f>Sheet1!$B$1:$F$1</c:f>
              <c:strCache>
                <c:ptCount val="5"/>
                <c:pt idx="0">
                  <c:v>Значно погіршився</c:v>
                </c:pt>
                <c:pt idx="1">
                  <c:v>Погіршився</c:v>
                </c:pt>
                <c:pt idx="2">
                  <c:v>Не змінився</c:v>
                </c:pt>
                <c:pt idx="3">
                  <c:v>Покращився</c:v>
                </c:pt>
                <c:pt idx="4">
                  <c:v>Значно покращився</c:v>
                </c:pt>
              </c:strCache>
            </c:strRef>
          </c:cat>
          <c:val>
            <c:numRef>
              <c:f>Sheet1!$B$2:$F$2</c:f>
              <c:numCache>
                <c:formatCode>General</c:formatCode>
                <c:ptCount val="5"/>
                <c:pt idx="0">
                  <c:v>10.4</c:v>
                </c:pt>
                <c:pt idx="1">
                  <c:v>17.2</c:v>
                </c:pt>
                <c:pt idx="2">
                  <c:v>10.4</c:v>
                </c:pt>
                <c:pt idx="3">
                  <c:v>44.8</c:v>
                </c:pt>
                <c:pt idx="4">
                  <c:v>17.2</c:v>
                </c:pt>
              </c:numCache>
            </c:numRef>
          </c:val>
          <c:smooth val="0"/>
        </c:ser>
        <c:dLbls>
          <c:showLegendKey val="0"/>
          <c:showVal val="1"/>
          <c:showCatName val="0"/>
          <c:showSerName val="0"/>
          <c:showPercent val="0"/>
          <c:showBubbleSize val="0"/>
        </c:dLbls>
        <c:marker val="1"/>
        <c:smooth val="0"/>
        <c:axId val="89758208"/>
        <c:axId val="167820608"/>
      </c:lineChart>
      <c:catAx>
        <c:axId val="89758208"/>
        <c:scaling>
          <c:orientation val="minMax"/>
        </c:scaling>
        <c:delete val="0"/>
        <c:axPos val="b"/>
        <c:numFmt formatCode="General" sourceLinked="1"/>
        <c:majorTickMark val="out"/>
        <c:minorTickMark val="none"/>
        <c:tickLblPos val="nextTo"/>
        <c:spPr>
          <a:ln w="3172">
            <a:solidFill>
              <a:srgbClr val="000000"/>
            </a:solidFill>
            <a:prstDash val="solid"/>
          </a:ln>
        </c:spPr>
        <c:txPr>
          <a:bodyPr rot="-5400000" vert="horz"/>
          <a:lstStyle/>
          <a:p>
            <a:pPr>
              <a:defRPr sz="1399" b="0" i="0" u="none" strike="noStrike" baseline="0">
                <a:solidFill>
                  <a:srgbClr val="000000"/>
                </a:solidFill>
                <a:latin typeface="Times New Roman Cyr"/>
                <a:ea typeface="Times New Roman Cyr"/>
                <a:cs typeface="Times New Roman Cyr"/>
              </a:defRPr>
            </a:pPr>
            <a:endParaRPr lang="ru-RU"/>
          </a:p>
        </c:txPr>
        <c:crossAx val="167820608"/>
        <c:crosses val="autoZero"/>
        <c:auto val="1"/>
        <c:lblAlgn val="ctr"/>
        <c:lblOffset val="100"/>
        <c:tickLblSkip val="1"/>
        <c:tickMarkSkip val="1"/>
        <c:noMultiLvlLbl val="0"/>
      </c:catAx>
      <c:valAx>
        <c:axId val="167820608"/>
        <c:scaling>
          <c:orientation val="minMax"/>
        </c:scaling>
        <c:delete val="0"/>
        <c:axPos val="l"/>
        <c:majorGridlines>
          <c:spPr>
            <a:ln w="3172">
              <a:solidFill>
                <a:srgbClr val="000000"/>
              </a:solidFill>
              <a:prstDash val="solid"/>
            </a:ln>
          </c:spPr>
        </c:majorGridlines>
        <c:title>
          <c:tx>
            <c:rich>
              <a:bodyPr/>
              <a:lstStyle/>
              <a:p>
                <a:pPr>
                  <a:defRPr sz="1399" b="0" i="0" u="none" strike="noStrike" baseline="0">
                    <a:solidFill>
                      <a:srgbClr val="000000"/>
                    </a:solidFill>
                    <a:latin typeface="Times New Roman Cyr"/>
                    <a:ea typeface="Times New Roman Cyr"/>
                    <a:cs typeface="Times New Roman Cyr"/>
                  </a:defRPr>
                </a:pPr>
                <a:r>
                  <a:rPr lang="ru-RU"/>
                  <a:t>% опитаних</a:t>
                </a:r>
              </a:p>
            </c:rich>
          </c:tx>
          <c:layout>
            <c:manualLayout>
              <c:xMode val="edge"/>
              <c:yMode val="edge"/>
              <c:x val="1.8181818181818181E-2"/>
              <c:y val="9.5238095238095233E-2"/>
            </c:manualLayout>
          </c:layout>
          <c:overlay val="0"/>
          <c:spPr>
            <a:noFill/>
            <a:ln w="25374">
              <a:noFill/>
            </a:ln>
          </c:spPr>
        </c:title>
        <c:numFmt formatCode="General" sourceLinked="1"/>
        <c:majorTickMark val="out"/>
        <c:minorTickMark val="none"/>
        <c:tickLblPos val="nextTo"/>
        <c:spPr>
          <a:ln w="3172">
            <a:solidFill>
              <a:srgbClr val="000000"/>
            </a:solidFill>
            <a:prstDash val="solid"/>
          </a:ln>
        </c:spPr>
        <c:txPr>
          <a:bodyPr rot="0" vert="horz"/>
          <a:lstStyle/>
          <a:p>
            <a:pPr>
              <a:defRPr sz="1399" b="0" i="0" u="none" strike="noStrike" baseline="0">
                <a:solidFill>
                  <a:srgbClr val="000000"/>
                </a:solidFill>
                <a:latin typeface="Times New Roman Cyr"/>
                <a:ea typeface="Times New Roman Cyr"/>
                <a:cs typeface="Times New Roman Cyr"/>
              </a:defRPr>
            </a:pPr>
            <a:endParaRPr lang="ru-RU"/>
          </a:p>
        </c:txPr>
        <c:crossAx val="89758208"/>
        <c:crosses val="autoZero"/>
        <c:crossBetween val="between"/>
        <c:majorUnit val="20"/>
      </c:valAx>
      <c:spPr>
        <a:solidFill>
          <a:srgbClr val="FFFFFF"/>
        </a:solidFill>
        <a:ln w="12687">
          <a:solidFill>
            <a:srgbClr val="808080"/>
          </a:solidFill>
          <a:prstDash val="solid"/>
        </a:ln>
      </c:spPr>
    </c:plotArea>
    <c:plotVisOnly val="1"/>
    <c:dispBlanksAs val="gap"/>
    <c:showDLblsOverMax val="0"/>
  </c:chart>
  <c:spPr>
    <a:noFill/>
    <a:ln w="3172">
      <a:solidFill>
        <a:srgbClr val="000000"/>
      </a:solidFill>
      <a:prstDash val="solid"/>
    </a:ln>
  </c:spPr>
  <c:txPr>
    <a:bodyPr/>
    <a:lstStyle/>
    <a:p>
      <a:pPr>
        <a:defRPr sz="1149" b="0" i="0" u="none" strike="noStrike" baseline="0">
          <a:solidFill>
            <a:srgbClr val="000000"/>
          </a:solidFill>
          <a:latin typeface="Times New Roman Cyr"/>
          <a:ea typeface="Times New Roman Cyr"/>
          <a:cs typeface="Times New Roman Cy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6843853820598008"/>
          <c:y val="4.296875E-2"/>
          <c:w val="0.50166112956810627"/>
          <c:h val="0.8046875"/>
        </c:manualLayout>
      </c:layout>
      <c:barChart>
        <c:barDir val="bar"/>
        <c:grouping val="stacked"/>
        <c:varyColors val="0"/>
        <c:ser>
          <c:idx val="0"/>
          <c:order val="0"/>
          <c:spPr>
            <a:solidFill>
              <a:srgbClr val="666699"/>
            </a:solidFill>
            <a:ln w="12690">
              <a:solidFill>
                <a:srgbClr val="000000"/>
              </a:solidFill>
              <a:prstDash val="solid"/>
            </a:ln>
          </c:spPr>
          <c:invertIfNegative val="0"/>
          <c:dLbls>
            <c:spPr>
              <a:noFill/>
              <a:ln w="25380">
                <a:noFill/>
              </a:ln>
            </c:spPr>
            <c:txPr>
              <a:bodyPr/>
              <a:lstStyle/>
              <a:p>
                <a:pPr>
                  <a:defRPr sz="899"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Лист1!$B$1:$H$1</c:f>
              <c:strCache>
                <c:ptCount val="7"/>
                <c:pt idx="1">
                  <c:v>Підвищення якості продукції</c:v>
                </c:pt>
                <c:pt idx="2">
                  <c:v>Державна підтримка виробника за кордоном</c:v>
                </c:pt>
                <c:pt idx="3">
                  <c:v>Рекламне та маркетингове супроводження</c:v>
                </c:pt>
                <c:pt idx="4">
                  <c:v>Фінансування та інвестування виробництва</c:v>
                </c:pt>
                <c:pt idx="5">
                  <c:v>Мережа технічних та сервісних центрів</c:v>
                </c:pt>
                <c:pt idx="6">
                  <c:v>Виконання новітніх наукових розробок</c:v>
                </c:pt>
              </c:strCache>
            </c:strRef>
          </c:cat>
          <c:val>
            <c:numRef>
              <c:f>Лист1!$B$2:$H$2</c:f>
              <c:numCache>
                <c:formatCode>General</c:formatCode>
                <c:ptCount val="7"/>
                <c:pt idx="1">
                  <c:v>24.7</c:v>
                </c:pt>
                <c:pt idx="2">
                  <c:v>10.5</c:v>
                </c:pt>
                <c:pt idx="3">
                  <c:v>15.4</c:v>
                </c:pt>
                <c:pt idx="4">
                  <c:v>27.6</c:v>
                </c:pt>
                <c:pt idx="5">
                  <c:v>7.5</c:v>
                </c:pt>
                <c:pt idx="6">
                  <c:v>14.3</c:v>
                </c:pt>
              </c:numCache>
            </c:numRef>
          </c:val>
        </c:ser>
        <c:dLbls>
          <c:showLegendKey val="0"/>
          <c:showVal val="1"/>
          <c:showCatName val="0"/>
          <c:showSerName val="0"/>
          <c:showPercent val="0"/>
          <c:showBubbleSize val="0"/>
        </c:dLbls>
        <c:gapWidth val="100"/>
        <c:overlap val="100"/>
        <c:axId val="89996800"/>
        <c:axId val="194164352"/>
      </c:barChart>
      <c:catAx>
        <c:axId val="89996800"/>
        <c:scaling>
          <c:orientation val="minMax"/>
        </c:scaling>
        <c:delete val="0"/>
        <c:axPos val="l"/>
        <c:numFmt formatCode="General" sourceLinked="1"/>
        <c:majorTickMark val="out"/>
        <c:minorTickMark val="none"/>
        <c:tickLblPos val="nextTo"/>
        <c:spPr>
          <a:ln w="3172">
            <a:solidFill>
              <a:srgbClr val="000000"/>
            </a:solidFill>
            <a:prstDash val="solid"/>
          </a:ln>
        </c:spPr>
        <c:txPr>
          <a:bodyPr rot="0" vert="horz"/>
          <a:lstStyle/>
          <a:p>
            <a:pPr>
              <a:defRPr sz="899" b="0" i="0" u="none" strike="noStrike" baseline="0">
                <a:solidFill>
                  <a:srgbClr val="000000"/>
                </a:solidFill>
                <a:latin typeface="Arial Cyr"/>
                <a:ea typeface="Arial Cyr"/>
                <a:cs typeface="Arial Cyr"/>
              </a:defRPr>
            </a:pPr>
            <a:endParaRPr lang="ru-RU"/>
          </a:p>
        </c:txPr>
        <c:crossAx val="194164352"/>
        <c:crosses val="autoZero"/>
        <c:auto val="1"/>
        <c:lblAlgn val="ctr"/>
        <c:lblOffset val="100"/>
        <c:tickLblSkip val="1"/>
        <c:tickMarkSkip val="1"/>
        <c:noMultiLvlLbl val="0"/>
      </c:catAx>
      <c:valAx>
        <c:axId val="194164352"/>
        <c:scaling>
          <c:orientation val="minMax"/>
        </c:scaling>
        <c:delete val="0"/>
        <c:axPos val="b"/>
        <c:majorGridlines>
          <c:spPr>
            <a:ln w="3172">
              <a:solidFill>
                <a:srgbClr val="000000"/>
              </a:solidFill>
              <a:prstDash val="solid"/>
            </a:ln>
          </c:spPr>
        </c:majorGridlines>
        <c:numFmt formatCode="General" sourceLinked="1"/>
        <c:majorTickMark val="out"/>
        <c:minorTickMark val="none"/>
        <c:tickLblPos val="nextTo"/>
        <c:spPr>
          <a:ln w="3172">
            <a:solidFill>
              <a:srgbClr val="000000"/>
            </a:solidFill>
            <a:prstDash val="solid"/>
          </a:ln>
        </c:spPr>
        <c:txPr>
          <a:bodyPr rot="0" vert="horz"/>
          <a:lstStyle/>
          <a:p>
            <a:pPr>
              <a:defRPr sz="899" b="0" i="0" u="none" strike="noStrike" baseline="0">
                <a:solidFill>
                  <a:srgbClr val="000000"/>
                </a:solidFill>
                <a:latin typeface="Arial Cyr"/>
                <a:ea typeface="Arial Cyr"/>
                <a:cs typeface="Arial Cyr"/>
              </a:defRPr>
            </a:pPr>
            <a:endParaRPr lang="ru-RU"/>
          </a:p>
        </c:txPr>
        <c:crossAx val="89996800"/>
        <c:crosses val="autoZero"/>
        <c:crossBetween val="between"/>
      </c:valAx>
      <c:spPr>
        <a:solidFill>
          <a:srgbClr val="FFFFCC"/>
        </a:solidFill>
        <a:ln w="12690">
          <a:solidFill>
            <a:srgbClr val="808080"/>
          </a:solidFill>
          <a:prstDash val="solid"/>
        </a:ln>
      </c:spPr>
    </c:plotArea>
    <c:plotVisOnly val="1"/>
    <c:dispBlanksAs val="gap"/>
    <c:showDLblsOverMax val="0"/>
  </c:chart>
  <c:spPr>
    <a:solidFill>
      <a:srgbClr val="FFFFFF"/>
    </a:solidFill>
    <a:ln w="3172">
      <a:solidFill>
        <a:srgbClr val="000000"/>
      </a:solidFill>
      <a:prstDash val="solid"/>
    </a:ln>
  </c:spPr>
  <c:txPr>
    <a:bodyPr/>
    <a:lstStyle/>
    <a:p>
      <a:pPr>
        <a:defRPr sz="899"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34"/>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9.2651757188498399E-2"/>
          <c:y val="3.9473684210526314E-2"/>
          <c:w val="0.89137380191693294"/>
          <c:h val="0.70614035087719296"/>
        </c:manualLayout>
      </c:layout>
      <c:bar3DChart>
        <c:barDir val="col"/>
        <c:grouping val="clustered"/>
        <c:varyColors val="0"/>
        <c:ser>
          <c:idx val="0"/>
          <c:order val="0"/>
          <c:spPr>
            <a:solidFill>
              <a:srgbClr val="9999FF"/>
            </a:solidFill>
            <a:ln w="12700">
              <a:solidFill>
                <a:srgbClr val="000000"/>
              </a:solidFill>
              <a:prstDash val="solid"/>
            </a:ln>
          </c:spPr>
          <c:invertIfNegative val="0"/>
          <c:dLbls>
            <c:dLbl>
              <c:idx val="0"/>
              <c:layout>
                <c:manualLayout>
                  <c:x val="1.3046028802151083E-2"/>
                  <c:y val="-2.5644111044554538E-3"/>
                </c:manualLayout>
              </c:layout>
              <c:showLegendKey val="0"/>
              <c:showVal val="1"/>
              <c:showCatName val="0"/>
              <c:showSerName val="0"/>
              <c:showPercent val="0"/>
              <c:showBubbleSize val="0"/>
            </c:dLbl>
            <c:dLbl>
              <c:idx val="1"/>
              <c:layout>
                <c:manualLayout>
                  <c:x val="1.1058546594429841E-2"/>
                  <c:y val="-6.5011946195294712E-3"/>
                </c:manualLayout>
              </c:layout>
              <c:showLegendKey val="0"/>
              <c:showVal val="1"/>
              <c:showCatName val="0"/>
              <c:showSerName val="0"/>
              <c:showPercent val="0"/>
              <c:showBubbleSize val="0"/>
            </c:dLbl>
            <c:dLbl>
              <c:idx val="2"/>
              <c:layout>
                <c:manualLayout>
                  <c:x val="1.4128708975514381E-2"/>
                  <c:y val="-4.1397473908215549E-3"/>
                </c:manualLayout>
              </c:layout>
              <c:showLegendKey val="0"/>
              <c:showVal val="1"/>
              <c:showCatName val="0"/>
              <c:showSerName val="0"/>
              <c:showPercent val="0"/>
              <c:showBubbleSize val="0"/>
            </c:dLbl>
            <c:dLbl>
              <c:idx val="3"/>
              <c:layout>
                <c:manualLayout>
                  <c:x val="1.0410961620528403E-2"/>
                  <c:y val="-1.7275638328812792E-2"/>
                </c:manualLayout>
              </c:layout>
              <c:showLegendKey val="0"/>
              <c:showVal val="1"/>
              <c:showCatName val="0"/>
              <c:showSerName val="0"/>
              <c:showPercent val="0"/>
              <c:showBubbleSize val="0"/>
            </c:dLbl>
            <c:dLbl>
              <c:idx val="4"/>
              <c:layout>
                <c:manualLayout>
                  <c:x val="1.2483417716558087E-2"/>
                  <c:y val="1.2052444529258022E-3"/>
                </c:manualLayout>
              </c:layout>
              <c:showLegendKey val="0"/>
              <c:showVal val="1"/>
              <c:showCatName val="0"/>
              <c:showSerName val="0"/>
              <c:showPercent val="0"/>
              <c:showBubbleSize val="0"/>
            </c:dLbl>
            <c:dLbl>
              <c:idx val="5"/>
              <c:layout>
                <c:manualLayout>
                  <c:x val="8.1659325571700192E-3"/>
                  <c:y val="2.6822132031001367E-4"/>
                </c:manualLayout>
              </c:layout>
              <c:showLegendKey val="0"/>
              <c:showVal val="1"/>
              <c:showCatName val="0"/>
              <c:showSerName val="0"/>
              <c:showPercent val="0"/>
              <c:showBubbleSize val="0"/>
            </c:dLbl>
            <c:dLbl>
              <c:idx val="6"/>
              <c:layout>
                <c:manualLayout>
                  <c:x val="8.0412067593408354E-3"/>
                  <c:y val="6.9334062973271937E-3"/>
                </c:manualLayout>
              </c:layout>
              <c:showLegendKey val="0"/>
              <c:showVal val="1"/>
              <c:showCatName val="0"/>
              <c:showSerName val="0"/>
              <c:showPercent val="0"/>
              <c:showBubbleSize val="0"/>
            </c:dLbl>
            <c:dLbl>
              <c:idx val="7"/>
              <c:layout>
                <c:manualLayout>
                  <c:x val="7.5183475832686364E-3"/>
                  <c:y val="-1.948928776892922E-2"/>
                </c:manualLayout>
              </c:layout>
              <c:showLegendKey val="0"/>
              <c:showVal val="1"/>
              <c:showCatName val="0"/>
              <c:showSerName val="0"/>
              <c:showPercent val="0"/>
              <c:showBubbleSize val="0"/>
            </c:dLbl>
            <c:dLbl>
              <c:idx val="8"/>
              <c:layout>
                <c:manualLayout>
                  <c:x val="4.7984714109277071E-3"/>
                  <c:y val="-1.5188223650369703E-2"/>
                </c:manualLayout>
              </c:layout>
              <c:showLegendKey val="0"/>
              <c:showVal val="1"/>
              <c:showCatName val="0"/>
              <c:showSerName val="0"/>
              <c:showPercent val="0"/>
              <c:showBubbleSize val="0"/>
            </c:dLbl>
            <c:dLbl>
              <c:idx val="9"/>
              <c:layout>
                <c:manualLayout>
                  <c:x val="4.6737456130985233E-3"/>
                  <c:y val="-8.2270023242368151E-3"/>
                </c:manualLayout>
              </c:layout>
              <c:showLegendKey val="0"/>
              <c:showVal val="1"/>
              <c:showCatName val="0"/>
              <c:showSerName val="0"/>
              <c:showPercent val="0"/>
              <c:showBubbleSize val="0"/>
            </c:dLbl>
            <c:spPr>
              <a:noFill/>
              <a:ln w="25400">
                <a:noFill/>
              </a:ln>
            </c:spPr>
            <c:txPr>
              <a:bodyPr/>
              <a:lstStyle/>
              <a:p>
                <a:pPr>
                  <a:defRPr sz="80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val>
            <c:numRef>
              <c:f>Лист1!$A$2:$J$2</c:f>
              <c:numCache>
                <c:formatCode>General</c:formatCode>
                <c:ptCount val="10"/>
                <c:pt idx="0">
                  <c:v>100</c:v>
                </c:pt>
                <c:pt idx="1">
                  <c:v>18.5</c:v>
                </c:pt>
                <c:pt idx="2">
                  <c:v>88</c:v>
                </c:pt>
                <c:pt idx="3">
                  <c:v>64.5</c:v>
                </c:pt>
                <c:pt idx="4">
                  <c:v>60.5</c:v>
                </c:pt>
                <c:pt idx="5">
                  <c:v>64.5</c:v>
                </c:pt>
                <c:pt idx="6">
                  <c:v>22</c:v>
                </c:pt>
                <c:pt idx="7">
                  <c:v>36.5</c:v>
                </c:pt>
                <c:pt idx="8">
                  <c:v>27.5</c:v>
                </c:pt>
                <c:pt idx="9">
                  <c:v>68</c:v>
                </c:pt>
              </c:numCache>
            </c:numRef>
          </c:val>
        </c:ser>
        <c:dLbls>
          <c:showLegendKey val="0"/>
          <c:showVal val="1"/>
          <c:showCatName val="0"/>
          <c:showSerName val="0"/>
          <c:showPercent val="0"/>
          <c:showBubbleSize val="0"/>
        </c:dLbls>
        <c:gapWidth val="150"/>
        <c:shape val="box"/>
        <c:axId val="107382784"/>
        <c:axId val="194164928"/>
        <c:axId val="0"/>
      </c:bar3DChart>
      <c:catAx>
        <c:axId val="107382784"/>
        <c:scaling>
          <c:orientation val="minMax"/>
        </c:scaling>
        <c:delete val="0"/>
        <c:axPos val="b"/>
        <c:title>
          <c:tx>
            <c:rich>
              <a:bodyPr/>
              <a:lstStyle/>
              <a:p>
                <a:pPr>
                  <a:defRPr sz="800" b="1" i="0" u="none" strike="noStrike" baseline="0">
                    <a:solidFill>
                      <a:srgbClr val="000000"/>
                    </a:solidFill>
                    <a:latin typeface="Arial Cyr"/>
                    <a:ea typeface="Arial Cyr"/>
                    <a:cs typeface="Arial Cyr"/>
                  </a:defRPr>
                </a:pPr>
                <a:r>
                  <a:rPr lang="ru-RU"/>
                  <a:t>фактори</a:t>
                </a:r>
              </a:p>
            </c:rich>
          </c:tx>
          <c:layout>
            <c:manualLayout>
              <c:xMode val="edge"/>
              <c:yMode val="edge"/>
              <c:x val="0.48722044728434505"/>
              <c:y val="0.84649122807017541"/>
            </c:manualLayout>
          </c:layout>
          <c:overlay val="0"/>
          <c:spPr>
            <a:noFill/>
            <a:ln w="25400">
              <a:noFill/>
            </a:ln>
          </c:spPr>
        </c:title>
        <c:numFmt formatCode="General" sourceLinked="1"/>
        <c:majorTickMark val="out"/>
        <c:minorTickMark val="none"/>
        <c:tickLblPos val="low"/>
        <c:spPr>
          <a:ln w="3175">
            <a:solidFill>
              <a:srgbClr val="000000"/>
            </a:solidFill>
            <a:prstDash val="solid"/>
          </a:ln>
        </c:spPr>
        <c:txPr>
          <a:bodyPr rot="0" vert="horz"/>
          <a:lstStyle/>
          <a:p>
            <a:pPr>
              <a:defRPr sz="800" b="0" i="0" u="none" strike="noStrike" baseline="0">
                <a:solidFill>
                  <a:srgbClr val="000000"/>
                </a:solidFill>
                <a:latin typeface="Arial Cyr"/>
                <a:ea typeface="Arial Cyr"/>
                <a:cs typeface="Arial Cyr"/>
              </a:defRPr>
            </a:pPr>
            <a:endParaRPr lang="ru-RU"/>
          </a:p>
        </c:txPr>
        <c:crossAx val="194164928"/>
        <c:crosses val="autoZero"/>
        <c:auto val="1"/>
        <c:lblAlgn val="ctr"/>
        <c:lblOffset val="100"/>
        <c:tickLblSkip val="1"/>
        <c:tickMarkSkip val="1"/>
        <c:noMultiLvlLbl val="0"/>
      </c:catAx>
      <c:valAx>
        <c:axId val="194164928"/>
        <c:scaling>
          <c:orientation val="minMax"/>
        </c:scaling>
        <c:delete val="0"/>
        <c:axPos val="l"/>
        <c:majorGridlines>
          <c:spPr>
            <a:ln w="3175">
              <a:solidFill>
                <a:srgbClr val="000000"/>
              </a:solidFill>
              <a:prstDash val="solid"/>
            </a:ln>
          </c:spPr>
        </c:majorGridlines>
        <c:title>
          <c:tx>
            <c:rich>
              <a:bodyPr/>
              <a:lstStyle/>
              <a:p>
                <a:pPr>
                  <a:defRPr sz="800" b="1" i="0" u="none" strike="noStrike" baseline="0">
                    <a:solidFill>
                      <a:srgbClr val="000000"/>
                    </a:solidFill>
                    <a:latin typeface="Arial Cyr"/>
                    <a:ea typeface="Arial Cyr"/>
                    <a:cs typeface="Arial Cyr"/>
                  </a:defRPr>
                </a:pPr>
                <a:r>
                  <a:rPr lang="ru-RU"/>
                  <a:t>сума рангів</a:t>
                </a:r>
              </a:p>
            </c:rich>
          </c:tx>
          <c:layout>
            <c:manualLayout>
              <c:xMode val="edge"/>
              <c:yMode val="edge"/>
              <c:x val="0.10543130990415335"/>
              <c:y val="0.26754385964912281"/>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Cyr"/>
                <a:ea typeface="Arial Cyr"/>
                <a:cs typeface="Arial Cyr"/>
              </a:defRPr>
            </a:pPr>
            <a:endParaRPr lang="ru-RU"/>
          </a:p>
        </c:txPr>
        <c:crossAx val="107382784"/>
        <c:crosses val="autoZero"/>
        <c:crossBetween val="between"/>
      </c:valAx>
      <c:spPr>
        <a:no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5"/>
      <c:hPercent val="50"/>
      <c:rotY val="200"/>
      <c:rAngAx val="0"/>
      <c:perspective val="0"/>
    </c:view3D>
    <c:floor>
      <c:thickness val="0"/>
    </c:floor>
    <c:sideWall>
      <c:thickness val="0"/>
    </c:sideWall>
    <c:backWall>
      <c:thickness val="0"/>
    </c:backWall>
    <c:plotArea>
      <c:layout>
        <c:manualLayout>
          <c:layoutTarget val="inner"/>
          <c:xMode val="edge"/>
          <c:yMode val="edge"/>
          <c:x val="0.3390894819466248"/>
          <c:y val="0.14925373134328357"/>
          <c:w val="0.26687598116169547"/>
          <c:h val="0.61940298507462688"/>
        </c:manualLayout>
      </c:layout>
      <c:pie3DChart>
        <c:varyColors val="1"/>
        <c:ser>
          <c:idx val="0"/>
          <c:order val="0"/>
          <c:tx>
            <c:strRef>
              <c:f>Sheet1!$A$2</c:f>
              <c:strCache>
                <c:ptCount val="1"/>
              </c:strCache>
            </c:strRef>
          </c:tx>
          <c:spPr>
            <a:ln w="25386">
              <a:noFill/>
            </a:ln>
          </c:spPr>
          <c:explosion val="11"/>
          <c:dPt>
            <c:idx val="0"/>
            <c:bubble3D val="0"/>
            <c:spPr>
              <a:solidFill>
                <a:srgbClr val="FFFFFF"/>
              </a:solidFill>
              <a:ln w="12693">
                <a:solidFill>
                  <a:srgbClr val="000000"/>
                </a:solidFill>
                <a:prstDash val="solid"/>
              </a:ln>
            </c:spPr>
          </c:dPt>
          <c:dPt>
            <c:idx val="1"/>
            <c:bubble3D val="0"/>
            <c:spPr>
              <a:solidFill>
                <a:srgbClr val="969696"/>
              </a:solidFill>
              <a:ln w="12693">
                <a:solidFill>
                  <a:srgbClr val="000000"/>
                </a:solidFill>
                <a:prstDash val="solid"/>
              </a:ln>
            </c:spPr>
          </c:dPt>
          <c:dPt>
            <c:idx val="2"/>
            <c:bubble3D val="0"/>
            <c:explosion val="15"/>
            <c:spPr>
              <a:solidFill>
                <a:srgbClr val="FFFFFF"/>
              </a:solidFill>
              <a:ln w="12693">
                <a:solidFill>
                  <a:srgbClr val="000000"/>
                </a:solidFill>
                <a:prstDash val="solid"/>
              </a:ln>
            </c:spPr>
          </c:dPt>
          <c:dPt>
            <c:idx val="3"/>
            <c:bubble3D val="0"/>
            <c:spPr>
              <a:solidFill>
                <a:srgbClr val="C0C0C0"/>
              </a:solidFill>
              <a:ln w="25386">
                <a:noFill/>
              </a:ln>
            </c:spPr>
          </c:dPt>
          <c:dLbls>
            <c:dLbl>
              <c:idx val="1"/>
              <c:layout>
                <c:manualLayout>
                  <c:x val="1.8172532102637806E-2"/>
                  <c:y val="-8.2299776271747116E-2"/>
                </c:manualLayout>
              </c:layout>
              <c:dLblPos val="bestFit"/>
              <c:showLegendKey val="0"/>
              <c:showVal val="0"/>
              <c:showCatName val="0"/>
              <c:showSerName val="0"/>
              <c:showPercent val="1"/>
              <c:showBubbleSize val="0"/>
            </c:dLbl>
            <c:numFmt formatCode="0%" sourceLinked="0"/>
            <c:spPr>
              <a:noFill/>
              <a:ln w="25386">
                <a:noFill/>
              </a:ln>
            </c:spPr>
            <c:txPr>
              <a:bodyPr/>
              <a:lstStyle/>
              <a:p>
                <a:pPr>
                  <a:defRPr sz="1399" b="0" i="0" u="none" strike="noStrike" baseline="0">
                    <a:solidFill>
                      <a:srgbClr val="000000"/>
                    </a:solidFill>
                    <a:latin typeface="Times New Roman Cyr"/>
                    <a:ea typeface="Times New Roman Cyr"/>
                    <a:cs typeface="Times New Roman Cyr"/>
                  </a:defRPr>
                </a:pPr>
                <a:endParaRPr lang="ru-RU"/>
              </a:p>
            </c:txPr>
            <c:showLegendKey val="0"/>
            <c:showVal val="0"/>
            <c:showCatName val="0"/>
            <c:showSerName val="0"/>
            <c:showPercent val="1"/>
            <c:showBubbleSize val="0"/>
            <c:showLeaderLines val="0"/>
          </c:dLbls>
          <c:cat>
            <c:strRef>
              <c:f>Sheet1!$B$1:$C$1</c:f>
              <c:strCache>
                <c:ptCount val="2"/>
                <c:pt idx="0">
                  <c:v>Частка підприємств, що здійснюють ЗЕД</c:v>
                </c:pt>
                <c:pt idx="1">
                  <c:v>Частка підприємств, у яких відсутня ЗЕД</c:v>
                </c:pt>
              </c:strCache>
            </c:strRef>
          </c:cat>
          <c:val>
            <c:numRef>
              <c:f>Sheet1!$B$2:$C$2</c:f>
              <c:numCache>
                <c:formatCode>General</c:formatCode>
                <c:ptCount val="2"/>
                <c:pt idx="0">
                  <c:v>34.5</c:v>
                </c:pt>
                <c:pt idx="1">
                  <c:v>65.5</c:v>
                </c:pt>
              </c:numCache>
            </c:numRef>
          </c:val>
        </c:ser>
        <c:dLbls>
          <c:showLegendKey val="0"/>
          <c:showVal val="0"/>
          <c:showCatName val="0"/>
          <c:showSerName val="0"/>
          <c:showPercent val="1"/>
          <c:showBubbleSize val="0"/>
          <c:showLeaderLines val="0"/>
        </c:dLbls>
      </c:pie3DChart>
      <c:spPr>
        <a:noFill/>
        <a:ln w="25386">
          <a:noFill/>
        </a:ln>
      </c:spPr>
    </c:plotArea>
    <c:legend>
      <c:legendPos val="b"/>
      <c:layout>
        <c:manualLayout>
          <c:xMode val="edge"/>
          <c:yMode val="edge"/>
          <c:x val="0.11302982731554161"/>
          <c:y val="0.81343283582089554"/>
          <c:w val="0.71742543171114603"/>
          <c:h val="0.16417910447761194"/>
        </c:manualLayout>
      </c:layout>
      <c:overlay val="0"/>
      <c:spPr>
        <a:solidFill>
          <a:srgbClr val="FFFFFF"/>
        </a:solidFill>
        <a:ln w="3173">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ru-RU"/>
        </a:p>
      </c:txPr>
    </c:legend>
    <c:plotVisOnly val="1"/>
    <c:dispBlanksAs val="zero"/>
    <c:showDLblsOverMax val="0"/>
  </c:chart>
  <c:spPr>
    <a:solidFill>
      <a:srgbClr val="FFFFFF"/>
    </a:solidFill>
    <a:ln w="3173">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51207729468599"/>
          <c:y val="2.4830699774266364E-2"/>
          <c:w val="0.55716586151368763"/>
          <c:h val="0.71557562076749437"/>
        </c:manualLayout>
      </c:layout>
      <c:barChart>
        <c:barDir val="bar"/>
        <c:grouping val="clustered"/>
        <c:varyColors val="0"/>
        <c:ser>
          <c:idx val="0"/>
          <c:order val="0"/>
          <c:tx>
            <c:strRef>
              <c:f>Sheet1!$A$2</c:f>
              <c:strCache>
                <c:ptCount val="1"/>
                <c:pt idx="0">
                  <c:v>- позитивно впливає</c:v>
                </c:pt>
              </c:strCache>
            </c:strRef>
          </c:tx>
          <c:spPr>
            <a:solidFill>
              <a:srgbClr val="CC99FF"/>
            </a:solidFill>
            <a:ln w="12694">
              <a:solidFill>
                <a:srgbClr val="000000"/>
              </a:solidFill>
              <a:prstDash val="solid"/>
            </a:ln>
          </c:spPr>
          <c:invertIfNegative val="0"/>
          <c:cat>
            <c:strRef>
              <c:f>Sheet1!$B$1:$K$1</c:f>
              <c:strCache>
                <c:ptCount val="10"/>
                <c:pt idx="0">
                  <c:v>Лобіювання інтересів конкурентів у владних структурах</c:v>
                </c:pt>
                <c:pt idx="1">
                  <c:v>Часта зміна законодавства</c:v>
                </c:pt>
                <c:pt idx="2">
                  <c:v>Рівень тарифів на енергоносії</c:v>
                </c:pt>
                <c:pt idx="3">
                  <c:v>Кредитна політика комерційних банків</c:v>
                </c:pt>
                <c:pt idx="4">
                  <c:v>Політична ситуація в країні</c:v>
                </c:pt>
                <c:pt idx="5">
                  <c:v>Зміна форми діяльності</c:v>
                </c:pt>
                <c:pt idx="6">
                  <c:v>Наслідки вступу України в СОТ</c:v>
                </c:pt>
                <c:pt idx="7">
                  <c:v>Рішення облдержадміністрацій</c:v>
                </c:pt>
                <c:pt idx="8">
                  <c:v>Рішення райдержадміністрацій</c:v>
                </c:pt>
                <c:pt idx="9">
                  <c:v>Рішення органів самоврядування</c:v>
                </c:pt>
              </c:strCache>
            </c:strRef>
          </c:cat>
          <c:val>
            <c:numRef>
              <c:f>Sheet1!$B$2:$K$2</c:f>
              <c:numCache>
                <c:formatCode>General</c:formatCode>
                <c:ptCount val="10"/>
                <c:pt idx="0">
                  <c:v>0</c:v>
                </c:pt>
                <c:pt idx="1">
                  <c:v>0</c:v>
                </c:pt>
                <c:pt idx="2">
                  <c:v>0</c:v>
                </c:pt>
                <c:pt idx="3">
                  <c:v>0</c:v>
                </c:pt>
                <c:pt idx="4">
                  <c:v>0</c:v>
                </c:pt>
                <c:pt idx="5">
                  <c:v>42.1</c:v>
                </c:pt>
                <c:pt idx="6">
                  <c:v>15.8</c:v>
                </c:pt>
                <c:pt idx="7">
                  <c:v>26.3</c:v>
                </c:pt>
                <c:pt idx="8">
                  <c:v>10.5</c:v>
                </c:pt>
                <c:pt idx="9">
                  <c:v>15.8</c:v>
                </c:pt>
              </c:numCache>
            </c:numRef>
          </c:val>
        </c:ser>
        <c:ser>
          <c:idx val="1"/>
          <c:order val="1"/>
          <c:tx>
            <c:strRef>
              <c:f>Sheet1!$A$3</c:f>
              <c:strCache>
                <c:ptCount val="1"/>
                <c:pt idx="0">
                  <c:v>- не впливає</c:v>
                </c:pt>
              </c:strCache>
            </c:strRef>
          </c:tx>
          <c:spPr>
            <a:solidFill>
              <a:srgbClr val="FFFF99"/>
            </a:solidFill>
            <a:ln w="12694">
              <a:solidFill>
                <a:srgbClr val="000000"/>
              </a:solidFill>
              <a:prstDash val="solid"/>
            </a:ln>
          </c:spPr>
          <c:invertIfNegative val="0"/>
          <c:cat>
            <c:strRef>
              <c:f>Sheet1!$B$1:$K$1</c:f>
              <c:strCache>
                <c:ptCount val="10"/>
                <c:pt idx="0">
                  <c:v>Лобіювання інтересів конкурентів у владних структурах</c:v>
                </c:pt>
                <c:pt idx="1">
                  <c:v>Часта зміна законодавства</c:v>
                </c:pt>
                <c:pt idx="2">
                  <c:v>Рівень тарифів на енергоносії</c:v>
                </c:pt>
                <c:pt idx="3">
                  <c:v>Кредитна політика комерційних банків</c:v>
                </c:pt>
                <c:pt idx="4">
                  <c:v>Політична ситуація в країні</c:v>
                </c:pt>
                <c:pt idx="5">
                  <c:v>Зміна форми діяльності</c:v>
                </c:pt>
                <c:pt idx="6">
                  <c:v>Наслідки вступу України в СОТ</c:v>
                </c:pt>
                <c:pt idx="7">
                  <c:v>Рішення облдержадміністрацій</c:v>
                </c:pt>
                <c:pt idx="8">
                  <c:v>Рішення райдержадміністрацій</c:v>
                </c:pt>
                <c:pt idx="9">
                  <c:v>Рішення органів самоврядування</c:v>
                </c:pt>
              </c:strCache>
            </c:strRef>
          </c:cat>
          <c:val>
            <c:numRef>
              <c:f>Sheet1!$B$3:$K$3</c:f>
              <c:numCache>
                <c:formatCode>General</c:formatCode>
                <c:ptCount val="10"/>
                <c:pt idx="0">
                  <c:v>42.1</c:v>
                </c:pt>
                <c:pt idx="1">
                  <c:v>10.5</c:v>
                </c:pt>
                <c:pt idx="2">
                  <c:v>0</c:v>
                </c:pt>
                <c:pt idx="3">
                  <c:v>21</c:v>
                </c:pt>
                <c:pt idx="4">
                  <c:v>36.799999999999997</c:v>
                </c:pt>
                <c:pt idx="5">
                  <c:v>42.1</c:v>
                </c:pt>
                <c:pt idx="6">
                  <c:v>68.400000000000006</c:v>
                </c:pt>
                <c:pt idx="7">
                  <c:v>73.7</c:v>
                </c:pt>
                <c:pt idx="8">
                  <c:v>89.5</c:v>
                </c:pt>
                <c:pt idx="9">
                  <c:v>84.2</c:v>
                </c:pt>
              </c:numCache>
            </c:numRef>
          </c:val>
        </c:ser>
        <c:ser>
          <c:idx val="2"/>
          <c:order val="2"/>
          <c:tx>
            <c:strRef>
              <c:f>Sheet1!$A$4</c:f>
              <c:strCache>
                <c:ptCount val="1"/>
                <c:pt idx="0">
                  <c:v>- негативно впливає</c:v>
                </c:pt>
              </c:strCache>
            </c:strRef>
          </c:tx>
          <c:spPr>
            <a:solidFill>
              <a:srgbClr val="000080"/>
            </a:solidFill>
            <a:ln w="12694">
              <a:solidFill>
                <a:srgbClr val="000000"/>
              </a:solidFill>
              <a:prstDash val="solid"/>
            </a:ln>
          </c:spPr>
          <c:invertIfNegative val="0"/>
          <c:cat>
            <c:strRef>
              <c:f>Sheet1!$B$1:$K$1</c:f>
              <c:strCache>
                <c:ptCount val="10"/>
                <c:pt idx="0">
                  <c:v>Лобіювання інтересів конкурентів у владних структурах</c:v>
                </c:pt>
                <c:pt idx="1">
                  <c:v>Часта зміна законодавства</c:v>
                </c:pt>
                <c:pt idx="2">
                  <c:v>Рівень тарифів на енергоносії</c:v>
                </c:pt>
                <c:pt idx="3">
                  <c:v>Кредитна політика комерційних банків</c:v>
                </c:pt>
                <c:pt idx="4">
                  <c:v>Політична ситуація в країні</c:v>
                </c:pt>
                <c:pt idx="5">
                  <c:v>Зміна форми діяльності</c:v>
                </c:pt>
                <c:pt idx="6">
                  <c:v>Наслідки вступу України в СОТ</c:v>
                </c:pt>
                <c:pt idx="7">
                  <c:v>Рішення облдержадміністрацій</c:v>
                </c:pt>
                <c:pt idx="8">
                  <c:v>Рішення райдержадміністрацій</c:v>
                </c:pt>
                <c:pt idx="9">
                  <c:v>Рішення органів самоврядування</c:v>
                </c:pt>
              </c:strCache>
            </c:strRef>
          </c:cat>
          <c:val>
            <c:numRef>
              <c:f>Sheet1!$B$4:$K$4</c:f>
              <c:numCache>
                <c:formatCode>General</c:formatCode>
                <c:ptCount val="10"/>
                <c:pt idx="0">
                  <c:v>57.9</c:v>
                </c:pt>
                <c:pt idx="1">
                  <c:v>89.5</c:v>
                </c:pt>
                <c:pt idx="2">
                  <c:v>100</c:v>
                </c:pt>
                <c:pt idx="3">
                  <c:v>79</c:v>
                </c:pt>
                <c:pt idx="4">
                  <c:v>63.2</c:v>
                </c:pt>
                <c:pt idx="5">
                  <c:v>15.8</c:v>
                </c:pt>
                <c:pt idx="6">
                  <c:v>15.8</c:v>
                </c:pt>
                <c:pt idx="7">
                  <c:v>0</c:v>
                </c:pt>
                <c:pt idx="8">
                  <c:v>0</c:v>
                </c:pt>
                <c:pt idx="9">
                  <c:v>0</c:v>
                </c:pt>
              </c:numCache>
            </c:numRef>
          </c:val>
        </c:ser>
        <c:dLbls>
          <c:showLegendKey val="0"/>
          <c:showVal val="0"/>
          <c:showCatName val="0"/>
          <c:showSerName val="0"/>
          <c:showPercent val="0"/>
          <c:showBubbleSize val="0"/>
        </c:dLbls>
        <c:gapWidth val="90"/>
        <c:axId val="89994240"/>
        <c:axId val="169429824"/>
      </c:barChart>
      <c:catAx>
        <c:axId val="89994240"/>
        <c:scaling>
          <c:orientation val="minMax"/>
        </c:scaling>
        <c:delete val="0"/>
        <c:axPos val="l"/>
        <c:numFmt formatCode="General" sourceLinked="1"/>
        <c:majorTickMark val="out"/>
        <c:minorTickMark val="none"/>
        <c:tickLblPos val="nextTo"/>
        <c:spPr>
          <a:ln w="3173">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169429824"/>
        <c:crosses val="autoZero"/>
        <c:auto val="1"/>
        <c:lblAlgn val="ctr"/>
        <c:lblOffset val="0"/>
        <c:tickLblSkip val="2"/>
        <c:tickMarkSkip val="1"/>
        <c:noMultiLvlLbl val="0"/>
      </c:catAx>
      <c:valAx>
        <c:axId val="169429824"/>
        <c:scaling>
          <c:orientation val="minMax"/>
        </c:scaling>
        <c:delete val="0"/>
        <c:axPos val="b"/>
        <c:majorGridlines>
          <c:spPr>
            <a:ln w="3173">
              <a:solidFill>
                <a:srgbClr val="000000"/>
              </a:solidFill>
              <a:prstDash val="solid"/>
            </a:ln>
          </c:spPr>
        </c:majorGridlines>
        <c:title>
          <c:tx>
            <c:rich>
              <a:bodyPr/>
              <a:lstStyle/>
              <a:p>
                <a:pPr>
                  <a:defRPr sz="1099" b="0" i="0" u="none" strike="noStrike" baseline="0">
                    <a:solidFill>
                      <a:srgbClr val="000000"/>
                    </a:solidFill>
                    <a:latin typeface="Times New Roman Cyr"/>
                    <a:ea typeface="Times New Roman Cyr"/>
                    <a:cs typeface="Times New Roman Cyr"/>
                  </a:defRPr>
                </a:pPr>
                <a:r>
                  <a:rPr lang="ru-RU"/>
                  <a:t>% опитаних</a:t>
                </a:r>
              </a:p>
            </c:rich>
          </c:tx>
          <c:layout>
            <c:manualLayout>
              <c:xMode val="edge"/>
              <c:yMode val="edge"/>
              <c:x val="0.66183574879227058"/>
              <c:y val="0.8148984198645598"/>
            </c:manualLayout>
          </c:layout>
          <c:overlay val="0"/>
          <c:spPr>
            <a:noFill/>
            <a:ln w="25388">
              <a:noFill/>
            </a:ln>
          </c:spPr>
        </c:title>
        <c:numFmt formatCode="General" sourceLinked="1"/>
        <c:majorTickMark val="out"/>
        <c:minorTickMark val="none"/>
        <c:tickLblPos val="nextTo"/>
        <c:spPr>
          <a:ln w="3173">
            <a:solidFill>
              <a:srgbClr val="000000"/>
            </a:solidFill>
            <a:prstDash val="solid"/>
          </a:ln>
        </c:spPr>
        <c:txPr>
          <a:bodyPr rot="0" vert="horz"/>
          <a:lstStyle/>
          <a:p>
            <a:pPr>
              <a:defRPr sz="1099" b="0" i="0" u="none" strike="noStrike" baseline="0">
                <a:solidFill>
                  <a:srgbClr val="000000"/>
                </a:solidFill>
                <a:latin typeface="Times New Roman Cyr"/>
                <a:ea typeface="Times New Roman Cyr"/>
                <a:cs typeface="Times New Roman Cyr"/>
              </a:defRPr>
            </a:pPr>
            <a:endParaRPr lang="ru-RU"/>
          </a:p>
        </c:txPr>
        <c:crossAx val="89994240"/>
        <c:crosses val="autoZero"/>
        <c:crossBetween val="between"/>
        <c:majorUnit val="20"/>
      </c:valAx>
      <c:spPr>
        <a:solidFill>
          <a:srgbClr val="FFFFFF"/>
        </a:solidFill>
        <a:ln w="3173">
          <a:solidFill>
            <a:srgbClr val="000000"/>
          </a:solidFill>
          <a:prstDash val="solid"/>
        </a:ln>
      </c:spPr>
    </c:plotArea>
    <c:legend>
      <c:legendPos val="b"/>
      <c:layout>
        <c:manualLayout>
          <c:xMode val="edge"/>
          <c:yMode val="edge"/>
          <c:x val="5.6360708534621579E-2"/>
          <c:y val="0.90519187358916475"/>
          <c:w val="0.90338164251207731"/>
          <c:h val="5.6433408577878104E-2"/>
        </c:manualLayout>
      </c:layout>
      <c:overlay val="0"/>
      <c:spPr>
        <a:solidFill>
          <a:srgbClr val="FFFFFF"/>
        </a:solidFill>
        <a:ln w="3173">
          <a:solidFill>
            <a:srgbClr val="000000"/>
          </a:solidFill>
          <a:prstDash val="solid"/>
        </a:ln>
      </c:spPr>
      <c:txPr>
        <a:bodyPr/>
        <a:lstStyle/>
        <a:p>
          <a:pPr>
            <a:defRPr sz="1099" b="0" i="0" u="none" strike="noStrike" baseline="0">
              <a:solidFill>
                <a:srgbClr val="000000"/>
              </a:solidFill>
              <a:latin typeface="Times New Roman Cyr"/>
              <a:ea typeface="Times New Roman Cyr"/>
              <a:cs typeface="Times New Roman Cyr"/>
            </a:defRPr>
          </a:pPr>
          <a:endParaRPr lang="ru-RU"/>
        </a:p>
      </c:txPr>
    </c:legend>
    <c:plotVisOnly val="1"/>
    <c:dispBlanksAs val="gap"/>
    <c:showDLblsOverMax val="0"/>
  </c:chart>
  <c:spPr>
    <a:solidFill>
      <a:srgbClr val="FFFFFF"/>
    </a:solidFill>
    <a:ln w="3173">
      <a:solidFill>
        <a:srgbClr val="000000"/>
      </a:solidFill>
      <a:prstDash val="solid"/>
    </a:ln>
  </c:spPr>
  <c:txPr>
    <a:bodyPr/>
    <a:lstStyle/>
    <a:p>
      <a:pPr>
        <a:defRPr sz="1025" b="0" i="0" u="none" strike="noStrike" baseline="0">
          <a:solidFill>
            <a:srgbClr val="000000"/>
          </a:solidFill>
          <a:latin typeface="Times New Roman Cyr"/>
          <a:ea typeface="Times New Roman Cyr"/>
          <a:cs typeface="Times New Roman Cy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284"/>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0.47299509001636664"/>
          <c:y val="9.1324200913242004E-3"/>
          <c:w val="0.51718494271685767"/>
          <c:h val="0.88584474885844744"/>
        </c:manualLayout>
      </c:layout>
      <c:bar3DChart>
        <c:barDir val="bar"/>
        <c:grouping val="clustered"/>
        <c:varyColors val="0"/>
        <c:ser>
          <c:idx val="0"/>
          <c:order val="0"/>
          <c:tx>
            <c:strRef>
              <c:f>Sheet1!$A$2</c:f>
              <c:strCache>
                <c:ptCount val="1"/>
              </c:strCache>
            </c:strRef>
          </c:tx>
          <c:spPr>
            <a:solidFill>
              <a:srgbClr val="C0C0C0"/>
            </a:solidFill>
            <a:ln w="12705">
              <a:solidFill>
                <a:srgbClr val="000000"/>
              </a:solidFill>
              <a:prstDash val="solid"/>
            </a:ln>
          </c:spPr>
          <c:invertIfNegative val="0"/>
          <c:dLbls>
            <c:dLbl>
              <c:idx val="0"/>
              <c:layout>
                <c:manualLayout>
                  <c:x val="-6.5079115608837057E-3"/>
                  <c:y val="-3.7625721582662974E-2"/>
                </c:manualLayout>
              </c:layout>
              <c:showLegendKey val="0"/>
              <c:showVal val="1"/>
              <c:showCatName val="0"/>
              <c:showSerName val="0"/>
              <c:showPercent val="0"/>
              <c:showBubbleSize val="0"/>
            </c:dLbl>
            <c:dLbl>
              <c:idx val="1"/>
              <c:layout>
                <c:manualLayout>
                  <c:x val="-4.0374554981920108E-3"/>
                  <c:y val="-2.0450528827417824E-2"/>
                </c:manualLayout>
              </c:layout>
              <c:showLegendKey val="0"/>
              <c:showVal val="1"/>
              <c:showCatName val="0"/>
              <c:showSerName val="0"/>
              <c:showPercent val="0"/>
              <c:showBubbleSize val="0"/>
            </c:dLbl>
            <c:dLbl>
              <c:idx val="4"/>
              <c:layout>
                <c:manualLayout>
                  <c:x val="-7.2645493264631433E-3"/>
                  <c:y val="-4.6550521337938133E-2"/>
                </c:manualLayout>
              </c:layout>
              <c:showLegendKey val="0"/>
              <c:showVal val="1"/>
              <c:showCatName val="0"/>
              <c:showSerName val="0"/>
              <c:showPercent val="0"/>
              <c:showBubbleSize val="0"/>
            </c:dLbl>
            <c:dLbl>
              <c:idx val="5"/>
              <c:layout>
                <c:manualLayout>
                  <c:x val="-1.0970235356487112E-2"/>
                  <c:y val="-6.5905008947989785E-2"/>
                </c:manualLayout>
              </c:layout>
              <c:showLegendKey val="0"/>
              <c:showVal val="1"/>
              <c:showCatName val="0"/>
              <c:showSerName val="0"/>
              <c:showPercent val="0"/>
              <c:showBubbleSize val="0"/>
            </c:dLbl>
            <c:dLbl>
              <c:idx val="6"/>
              <c:layout>
                <c:manualLayout>
                  <c:x val="-1.5447855382109577E-2"/>
                  <c:y val="-0.10809054678635199"/>
                </c:manualLayout>
              </c:layout>
              <c:showLegendKey val="0"/>
              <c:showVal val="1"/>
              <c:showCatName val="0"/>
              <c:showSerName val="0"/>
              <c:showPercent val="0"/>
              <c:showBubbleSize val="0"/>
            </c:dLbl>
            <c:numFmt formatCode="0.0" sourceLinked="0"/>
            <c:spPr>
              <a:noFill/>
              <a:ln w="25410">
                <a:noFill/>
              </a:ln>
            </c:spPr>
            <c:txPr>
              <a:bodyPr/>
              <a:lstStyle/>
              <a:p>
                <a:pPr>
                  <a:defRPr sz="900" b="0" i="0" u="none" strike="noStrike" baseline="0">
                    <a:solidFill>
                      <a:srgbClr val="000000"/>
                    </a:solidFill>
                    <a:latin typeface="Times New Roman Cyr"/>
                    <a:ea typeface="Times New Roman Cyr"/>
                    <a:cs typeface="Times New Roman Cyr"/>
                  </a:defRPr>
                </a:pPr>
                <a:endParaRPr lang="ru-RU"/>
              </a:p>
            </c:txPr>
            <c:showLegendKey val="0"/>
            <c:showVal val="1"/>
            <c:showCatName val="0"/>
            <c:showSerName val="0"/>
            <c:showPercent val="0"/>
            <c:showBubbleSize val="0"/>
            <c:showLeaderLines val="0"/>
          </c:dLbls>
          <c:cat>
            <c:strRef>
              <c:f>Sheet1!$B$1:$H$1</c:f>
              <c:strCache>
                <c:ptCount val="7"/>
                <c:pt idx="0">
                  <c:v>Відсутність інформації про потенційні ринки збуту</c:v>
                </c:pt>
                <c:pt idx="1">
                  <c:v>Сумніви у реальності здійснення ЗЕД</c:v>
                </c:pt>
                <c:pt idx="2">
                  <c:v>Складність процедури ЗЕД</c:v>
                </c:pt>
                <c:pt idx="3">
                  <c:v>Відсутність досвіду на підприємстві</c:v>
                </c:pt>
                <c:pt idx="4">
                  <c:v>Відсутність механізму управління ЗЕД</c:v>
                </c:pt>
                <c:pt idx="5">
                  <c:v>Відсутність інформації про конкурентів</c:v>
                </c:pt>
                <c:pt idx="6">
                  <c:v>Сумніви у надійності закордонного партнера</c:v>
                </c:pt>
              </c:strCache>
            </c:strRef>
          </c:cat>
          <c:val>
            <c:numRef>
              <c:f>Sheet1!$B$2:$H$2</c:f>
              <c:numCache>
                <c:formatCode>General</c:formatCode>
                <c:ptCount val="7"/>
                <c:pt idx="0">
                  <c:v>16.899999999999999</c:v>
                </c:pt>
                <c:pt idx="1">
                  <c:v>8.9</c:v>
                </c:pt>
                <c:pt idx="2">
                  <c:v>19.8</c:v>
                </c:pt>
                <c:pt idx="3">
                  <c:v>12.8</c:v>
                </c:pt>
                <c:pt idx="4">
                  <c:v>11.4</c:v>
                </c:pt>
                <c:pt idx="5">
                  <c:v>12.8</c:v>
                </c:pt>
                <c:pt idx="6">
                  <c:v>11.4</c:v>
                </c:pt>
              </c:numCache>
            </c:numRef>
          </c:val>
        </c:ser>
        <c:dLbls>
          <c:showLegendKey val="0"/>
          <c:showVal val="0"/>
          <c:showCatName val="0"/>
          <c:showSerName val="0"/>
          <c:showPercent val="0"/>
          <c:showBubbleSize val="0"/>
        </c:dLbls>
        <c:gapWidth val="150"/>
        <c:shape val="box"/>
        <c:axId val="89995776"/>
        <c:axId val="169431552"/>
        <c:axId val="0"/>
      </c:bar3DChart>
      <c:catAx>
        <c:axId val="89995776"/>
        <c:scaling>
          <c:orientation val="minMax"/>
        </c:scaling>
        <c:delete val="0"/>
        <c:axPos val="l"/>
        <c:numFmt formatCode="General" sourceLinked="1"/>
        <c:majorTickMark val="out"/>
        <c:minorTickMark val="none"/>
        <c:tickLblPos val="low"/>
        <c:spPr>
          <a:ln w="3176">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169431552"/>
        <c:crosses val="autoZero"/>
        <c:auto val="1"/>
        <c:lblAlgn val="ctr"/>
        <c:lblOffset val="100"/>
        <c:tickLblSkip val="2"/>
        <c:tickMarkSkip val="1"/>
        <c:noMultiLvlLbl val="0"/>
      </c:catAx>
      <c:valAx>
        <c:axId val="169431552"/>
        <c:scaling>
          <c:orientation val="minMax"/>
        </c:scaling>
        <c:delete val="0"/>
        <c:axPos val="b"/>
        <c:majorGridlines>
          <c:spPr>
            <a:ln w="3176">
              <a:solidFill>
                <a:srgbClr val="000000"/>
              </a:solidFill>
              <a:prstDash val="solid"/>
            </a:ln>
          </c:spPr>
        </c:majorGridlines>
        <c:numFmt formatCode="General" sourceLinked="1"/>
        <c:majorTickMark val="out"/>
        <c:minorTickMark val="none"/>
        <c:tickLblPos val="nextTo"/>
        <c:spPr>
          <a:ln w="3176">
            <a:solidFill>
              <a:srgbClr val="000000"/>
            </a:solidFill>
            <a:prstDash val="solid"/>
          </a:ln>
        </c:spPr>
        <c:txPr>
          <a:bodyPr rot="0" vert="horz"/>
          <a:lstStyle/>
          <a:p>
            <a:pPr>
              <a:defRPr sz="900" b="0" i="0" u="none" strike="noStrike" baseline="0">
                <a:solidFill>
                  <a:srgbClr val="000000"/>
                </a:solidFill>
                <a:latin typeface="Times New Roman Cyr"/>
                <a:ea typeface="Times New Roman Cyr"/>
                <a:cs typeface="Times New Roman Cyr"/>
              </a:defRPr>
            </a:pPr>
            <a:endParaRPr lang="ru-RU"/>
          </a:p>
        </c:txPr>
        <c:crossAx val="89995776"/>
        <c:crosses val="autoZero"/>
        <c:crossBetween val="between"/>
      </c:valAx>
      <c:spPr>
        <a:noFill/>
        <a:ln w="3176">
          <a:solidFill>
            <a:srgbClr val="000000"/>
          </a:solidFill>
          <a:prstDash val="solid"/>
        </a:ln>
      </c:spPr>
    </c:plotArea>
    <c:plotVisOnly val="1"/>
    <c:dispBlanksAs val="gap"/>
    <c:showDLblsOverMax val="0"/>
  </c:chart>
  <c:spPr>
    <a:solidFill>
      <a:srgbClr val="FFFFFF"/>
    </a:solidFill>
    <a:ln w="3176">
      <a:solidFill>
        <a:srgbClr val="000000"/>
      </a:solidFill>
      <a:prstDash val="solid"/>
    </a:ln>
  </c:spPr>
  <c:txPr>
    <a:bodyPr/>
    <a:lstStyle/>
    <a:p>
      <a:pPr>
        <a:defRPr sz="1401" b="0" i="0" u="none" strike="noStrike" baseline="0">
          <a:solidFill>
            <a:srgbClr val="000000"/>
          </a:solidFill>
          <a:latin typeface="Times New Roman Cyr"/>
          <a:ea typeface="Times New Roman Cyr"/>
          <a:cs typeface="Times New Roman Cy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9173553719008264"/>
          <c:y val="4.0431266846361183E-2"/>
          <c:w val="0.57190082644628104"/>
          <c:h val="0.72237196765498657"/>
        </c:manualLayout>
      </c:layout>
      <c:barChart>
        <c:barDir val="bar"/>
        <c:grouping val="clustered"/>
        <c:varyColors val="0"/>
        <c:ser>
          <c:idx val="0"/>
          <c:order val="0"/>
          <c:tx>
            <c:strRef>
              <c:f>Sheet1!$A$2</c:f>
              <c:strCache>
                <c:ptCount val="1"/>
                <c:pt idx="0">
                  <c:v>Восток</c:v>
                </c:pt>
              </c:strCache>
            </c:strRef>
          </c:tx>
          <c:spPr>
            <a:solidFill>
              <a:srgbClr val="993366"/>
            </a:solidFill>
            <a:ln w="12699">
              <a:solidFill>
                <a:srgbClr val="000000"/>
              </a:solidFill>
              <a:prstDash val="solid"/>
            </a:ln>
          </c:spPr>
          <c:invertIfNegative val="0"/>
          <c:dLbls>
            <c:dLbl>
              <c:idx val="6"/>
              <c:layout>
                <c:manualLayout>
                  <c:x val="-1.0493736768517392E-2"/>
                  <c:y val="-1.4425870227656956E-2"/>
                </c:manualLayout>
              </c:layout>
              <c:dLblPos val="outEnd"/>
              <c:showLegendKey val="0"/>
              <c:showVal val="1"/>
              <c:showCatName val="0"/>
              <c:showSerName val="0"/>
              <c:showPercent val="0"/>
              <c:showBubbleSize val="0"/>
            </c:dLbl>
            <c:numFmt formatCode="0.0" sourceLinked="0"/>
            <c:spPr>
              <a:noFill/>
              <a:ln w="25397">
                <a:noFill/>
              </a:ln>
            </c:spPr>
            <c:txPr>
              <a:bodyPr/>
              <a:lstStyle/>
              <a:p>
                <a:pPr>
                  <a:defRPr sz="1200" b="0" i="0" u="none" strike="noStrike" baseline="0">
                    <a:solidFill>
                      <a:srgbClr val="000000"/>
                    </a:solidFill>
                    <a:latin typeface="Times New Roman Cyr"/>
                    <a:ea typeface="Times New Roman Cyr"/>
                    <a:cs typeface="Times New Roman Cyr"/>
                  </a:defRPr>
                </a:pPr>
                <a:endParaRPr lang="ru-RU"/>
              </a:p>
            </c:txPr>
            <c:showLegendKey val="0"/>
            <c:showVal val="1"/>
            <c:showCatName val="0"/>
            <c:showSerName val="0"/>
            <c:showPercent val="0"/>
            <c:showBubbleSize val="0"/>
            <c:showLeaderLines val="0"/>
          </c:dLbls>
          <c:cat>
            <c:strRef>
              <c:f>Sheet1!$B$1:$I$1</c:f>
              <c:strCache>
                <c:ptCount val="8"/>
                <c:pt idx="0">
                  <c:v>Реорганізація управлінської діяльності</c:v>
                </c:pt>
                <c:pt idx="1">
                  <c:v>Оптимізація виробничого процесу</c:v>
                </c:pt>
                <c:pt idx="2">
                  <c:v>Введення іновацій</c:v>
                </c:pt>
                <c:pt idx="3">
                  <c:v>Залучення інвестицій</c:v>
                </c:pt>
                <c:pt idx="4">
                  <c:v>Санація</c:v>
                </c:pt>
                <c:pt idx="5">
                  <c:v>Скорочення штатів працівників</c:v>
                </c:pt>
                <c:pt idx="6">
                  <c:v>Реструктуризація</c:v>
                </c:pt>
                <c:pt idx="7">
                  <c:v>Передача соціальної інфраструктури</c:v>
                </c:pt>
              </c:strCache>
            </c:strRef>
          </c:cat>
          <c:val>
            <c:numRef>
              <c:f>Sheet1!$B$2:$I$2</c:f>
              <c:numCache>
                <c:formatCode>General</c:formatCode>
                <c:ptCount val="8"/>
                <c:pt idx="0">
                  <c:v>18.7</c:v>
                </c:pt>
                <c:pt idx="1">
                  <c:v>26.6</c:v>
                </c:pt>
                <c:pt idx="2">
                  <c:v>7.8</c:v>
                </c:pt>
                <c:pt idx="3">
                  <c:v>7.8</c:v>
                </c:pt>
                <c:pt idx="4">
                  <c:v>6.3</c:v>
                </c:pt>
                <c:pt idx="5">
                  <c:v>12.5</c:v>
                </c:pt>
                <c:pt idx="6">
                  <c:v>9.4</c:v>
                </c:pt>
                <c:pt idx="7">
                  <c:v>10.9</c:v>
                </c:pt>
              </c:numCache>
            </c:numRef>
          </c:val>
        </c:ser>
        <c:dLbls>
          <c:showLegendKey val="0"/>
          <c:showVal val="1"/>
          <c:showCatName val="0"/>
          <c:showSerName val="0"/>
          <c:showPercent val="0"/>
          <c:showBubbleSize val="0"/>
        </c:dLbls>
        <c:gapWidth val="100"/>
        <c:axId val="89758720"/>
        <c:axId val="169433280"/>
      </c:barChart>
      <c:catAx>
        <c:axId val="89758720"/>
        <c:scaling>
          <c:orientation val="minMax"/>
        </c:scaling>
        <c:delete val="0"/>
        <c:axPos val="l"/>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169433280"/>
        <c:crosses val="autoZero"/>
        <c:auto val="1"/>
        <c:lblAlgn val="ctr"/>
        <c:lblOffset val="100"/>
        <c:tickLblSkip val="1"/>
        <c:tickMarkSkip val="1"/>
        <c:noMultiLvlLbl val="0"/>
      </c:catAx>
      <c:valAx>
        <c:axId val="169433280"/>
        <c:scaling>
          <c:orientation val="minMax"/>
        </c:scaling>
        <c:delete val="0"/>
        <c:axPos val="b"/>
        <c:majorGridlines>
          <c:spPr>
            <a:ln w="3175">
              <a:solidFill>
                <a:srgbClr val="000000"/>
              </a:solidFill>
              <a:prstDash val="solid"/>
            </a:ln>
          </c:spPr>
        </c:majorGridlines>
        <c:title>
          <c:tx>
            <c:rich>
              <a:bodyPr/>
              <a:lstStyle/>
              <a:p>
                <a:pPr>
                  <a:defRPr sz="1100" b="0" i="0" u="none" strike="noStrike" baseline="0">
                    <a:solidFill>
                      <a:srgbClr val="000000"/>
                    </a:solidFill>
                    <a:latin typeface="Times New Roman Cyr"/>
                    <a:ea typeface="Times New Roman Cyr"/>
                    <a:cs typeface="Times New Roman Cyr"/>
                  </a:defRPr>
                </a:pPr>
                <a:r>
                  <a:rPr lang="ru-RU"/>
                  <a:t>% опитаних</a:t>
                </a:r>
              </a:p>
            </c:rich>
          </c:tx>
          <c:layout>
            <c:manualLayout>
              <c:xMode val="edge"/>
              <c:yMode val="edge"/>
              <c:x val="0.61322314049586779"/>
              <c:y val="0.8867924528301887"/>
            </c:manualLayout>
          </c:layout>
          <c:overlay val="0"/>
          <c:spPr>
            <a:noFill/>
            <a:ln w="25397">
              <a:noFill/>
            </a:ln>
          </c:spPr>
        </c:title>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89758720"/>
        <c:crosses val="autoZero"/>
        <c:crossBetween val="between"/>
      </c:valAx>
      <c:spPr>
        <a:solidFill>
          <a:srgbClr val="FFFFFF"/>
        </a:solidFill>
        <a:ln w="3175">
          <a:solidFill>
            <a:srgbClr val="00000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Cyr"/>
          <a:ea typeface="Times New Roman Cyr"/>
          <a:cs typeface="Times New Roman Cy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5"/>
      <c:hPercent val="50"/>
      <c:rotY val="200"/>
      <c:rAngAx val="0"/>
      <c:perspective val="0"/>
    </c:view3D>
    <c:floor>
      <c:thickness val="0"/>
    </c:floor>
    <c:sideWall>
      <c:thickness val="0"/>
    </c:sideWall>
    <c:backWall>
      <c:thickness val="0"/>
    </c:backWall>
    <c:plotArea>
      <c:layout>
        <c:manualLayout>
          <c:layoutTarget val="inner"/>
          <c:xMode val="edge"/>
          <c:yMode val="edge"/>
          <c:x val="0.37318255250403876"/>
          <c:y val="4.3478260869565216E-2"/>
          <c:w val="0.29563812600969308"/>
          <c:h val="0.55279503105590067"/>
        </c:manualLayout>
      </c:layout>
      <c:pie3DChart>
        <c:varyColors val="1"/>
        <c:ser>
          <c:idx val="0"/>
          <c:order val="0"/>
          <c:tx>
            <c:strRef>
              <c:f>Sheet1!$A$2</c:f>
              <c:strCache>
                <c:ptCount val="1"/>
              </c:strCache>
            </c:strRef>
          </c:tx>
          <c:spPr>
            <a:solidFill>
              <a:srgbClr val="C0C0C0"/>
            </a:solidFill>
            <a:ln w="25382">
              <a:noFill/>
            </a:ln>
          </c:spPr>
          <c:explosion val="11"/>
          <c:dPt>
            <c:idx val="0"/>
            <c:bubble3D val="0"/>
            <c:spPr>
              <a:solidFill>
                <a:srgbClr val="808080"/>
              </a:solidFill>
              <a:ln w="25382">
                <a:noFill/>
              </a:ln>
            </c:spPr>
          </c:dPt>
          <c:dPt>
            <c:idx val="1"/>
            <c:bubble3D val="0"/>
            <c:spPr>
              <a:solidFill>
                <a:srgbClr val="800080"/>
              </a:solidFill>
              <a:ln w="25382">
                <a:noFill/>
              </a:ln>
            </c:spPr>
          </c:dPt>
          <c:dPt>
            <c:idx val="2"/>
            <c:bubble3D val="0"/>
            <c:explosion val="15"/>
          </c:dPt>
          <c:dLbls>
            <c:dLbl>
              <c:idx val="1"/>
              <c:dLblPos val="bestFit"/>
              <c:showLegendKey val="0"/>
              <c:showVal val="1"/>
              <c:showCatName val="0"/>
              <c:showSerName val="0"/>
              <c:showPercent val="0"/>
              <c:showBubbleSize val="0"/>
            </c:dLbl>
            <c:numFmt formatCode="0.0%" sourceLinked="0"/>
            <c:spPr>
              <a:noFill/>
              <a:ln w="25382">
                <a:noFill/>
              </a:ln>
            </c:spPr>
            <c:txPr>
              <a:bodyPr/>
              <a:lstStyle/>
              <a:p>
                <a:pPr>
                  <a:defRPr sz="1399" b="0" i="0" u="none" strike="noStrike" baseline="0">
                    <a:solidFill>
                      <a:srgbClr val="000000"/>
                    </a:solidFill>
                    <a:latin typeface="Times New Roman Cyr"/>
                    <a:ea typeface="Times New Roman Cyr"/>
                    <a:cs typeface="Times New Roman Cyr"/>
                  </a:defRPr>
                </a:pPr>
                <a:endParaRPr lang="ru-RU"/>
              </a:p>
            </c:txPr>
            <c:showLegendKey val="0"/>
            <c:showVal val="1"/>
            <c:showCatName val="0"/>
            <c:showSerName val="0"/>
            <c:showPercent val="0"/>
            <c:showBubbleSize val="0"/>
            <c:showLeaderLines val="0"/>
          </c:dLbls>
          <c:cat>
            <c:strRef>
              <c:f>Sheet1!$B$1:$D$1</c:f>
              <c:strCache>
                <c:ptCount val="3"/>
                <c:pt idx="0">
                  <c:v>до 10 %</c:v>
                </c:pt>
                <c:pt idx="1">
                  <c:v>10-49 %</c:v>
                </c:pt>
                <c:pt idx="2">
                  <c:v>50-75 %</c:v>
                </c:pt>
              </c:strCache>
            </c:strRef>
          </c:cat>
          <c:val>
            <c:numRef>
              <c:f>Sheet1!$B$2:$D$2</c:f>
              <c:numCache>
                <c:formatCode>0.00%</c:formatCode>
                <c:ptCount val="3"/>
                <c:pt idx="0">
                  <c:v>0.46200000000000002</c:v>
                </c:pt>
                <c:pt idx="1">
                  <c:v>0.308</c:v>
                </c:pt>
                <c:pt idx="2">
                  <c:v>0.23</c:v>
                </c:pt>
              </c:numCache>
            </c:numRef>
          </c:val>
        </c:ser>
        <c:dLbls>
          <c:showLegendKey val="0"/>
          <c:showVal val="0"/>
          <c:showCatName val="1"/>
          <c:showSerName val="0"/>
          <c:showPercent val="1"/>
          <c:showBubbleSize val="0"/>
          <c:showLeaderLines val="0"/>
        </c:dLbls>
      </c:pie3DChart>
      <c:spPr>
        <a:noFill/>
        <a:ln w="25382">
          <a:noFill/>
        </a:ln>
      </c:spPr>
    </c:plotArea>
    <c:legend>
      <c:legendPos val="b"/>
      <c:layout>
        <c:manualLayout>
          <c:xMode val="edge"/>
          <c:yMode val="edge"/>
          <c:x val="0.27140549273021003"/>
          <c:y val="0.7142857142857143"/>
          <c:w val="0.49596122778675283"/>
          <c:h val="0.21118012422360249"/>
        </c:manualLayout>
      </c:layout>
      <c:overlay val="0"/>
      <c:spPr>
        <a:solidFill>
          <a:srgbClr val="FFFFFF"/>
        </a:solidFill>
        <a:ln w="3173">
          <a:solidFill>
            <a:srgbClr val="000000"/>
          </a:solidFill>
          <a:prstDash val="solid"/>
        </a:ln>
      </c:spPr>
      <c:txPr>
        <a:bodyPr/>
        <a:lstStyle/>
        <a:p>
          <a:pPr>
            <a:defRPr sz="1284" b="0" i="0" u="none" strike="noStrike" baseline="0">
              <a:solidFill>
                <a:srgbClr val="000000"/>
              </a:solidFill>
              <a:latin typeface="Times New Roman Cyr"/>
              <a:ea typeface="Times New Roman Cyr"/>
              <a:cs typeface="Times New Roman Cyr"/>
            </a:defRPr>
          </a:pPr>
          <a:endParaRPr lang="ru-RU"/>
        </a:p>
      </c:txPr>
    </c:legend>
    <c:plotVisOnly val="1"/>
    <c:dispBlanksAs val="zero"/>
    <c:showDLblsOverMax val="0"/>
  </c:chart>
  <c:spPr>
    <a:solidFill>
      <a:srgbClr val="FFFFFF"/>
    </a:solidFill>
    <a:ln w="3173">
      <a:solidFill>
        <a:srgbClr val="000000"/>
      </a:solidFill>
      <a:prstDash val="solid"/>
    </a:ln>
  </c:spPr>
  <c:txPr>
    <a:bodyPr/>
    <a:lstStyle/>
    <a:p>
      <a:pPr>
        <a:defRPr sz="899" b="0" i="0" u="none" strike="noStrike" baseline="0">
          <a:solidFill>
            <a:srgbClr val="000000"/>
          </a:solidFill>
          <a:latin typeface="Arial"/>
          <a:ea typeface="Arial"/>
          <a:cs typeface="Arial"/>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5"/>
      <c:hPercent val="50"/>
      <c:rotY val="150"/>
      <c:rAngAx val="0"/>
      <c:perspective val="0"/>
    </c:view3D>
    <c:floor>
      <c:thickness val="0"/>
    </c:floor>
    <c:sideWall>
      <c:thickness val="0"/>
    </c:sideWall>
    <c:backWall>
      <c:thickness val="0"/>
    </c:backWall>
    <c:plotArea>
      <c:layout>
        <c:manualLayout>
          <c:layoutTarget val="inner"/>
          <c:xMode val="edge"/>
          <c:yMode val="edge"/>
          <c:x val="0.13114754098360656"/>
          <c:y val="8.4507042253521125E-2"/>
          <c:w val="0.3377049180327869"/>
          <c:h val="0.70422535211267601"/>
        </c:manualLayout>
      </c:layout>
      <c:pie3DChart>
        <c:varyColors val="1"/>
        <c:ser>
          <c:idx val="0"/>
          <c:order val="0"/>
          <c:tx>
            <c:strRef>
              <c:f>Sheet1!$A$2</c:f>
              <c:strCache>
                <c:ptCount val="1"/>
              </c:strCache>
            </c:strRef>
          </c:tx>
          <c:spPr>
            <a:pattFill prst="ltVert">
              <a:fgClr>
                <a:srgbClr xmlns:mc="http://schemas.openxmlformats.org/markup-compatibility/2006" xmlns:a14="http://schemas.microsoft.com/office/drawing/2010/main" val="808080" mc:Ignorable="a14" a14:legacySpreadsheetColorIndex="23"/>
              </a:fgClr>
              <a:bgClr>
                <a:srgbClr xmlns:mc="http://schemas.openxmlformats.org/markup-compatibility/2006" xmlns:a14="http://schemas.microsoft.com/office/drawing/2010/main" val="FFFFFF" mc:Ignorable="a14" a14:legacySpreadsheetColorIndex="9"/>
              </a:bgClr>
            </a:pattFill>
            <a:ln w="12708">
              <a:solidFill>
                <a:srgbClr val="000000"/>
              </a:solidFill>
              <a:prstDash val="solid"/>
            </a:ln>
          </c:spPr>
          <c:explosion val="13"/>
          <c:dPt>
            <c:idx val="0"/>
            <c:bubble3D val="0"/>
            <c:spPr>
              <a:solidFill>
                <a:srgbClr val="333333"/>
              </a:solidFill>
              <a:ln w="12708">
                <a:solidFill>
                  <a:srgbClr val="000000"/>
                </a:solidFill>
                <a:prstDash val="solid"/>
              </a:ln>
            </c:spPr>
          </c:dPt>
          <c:dPt>
            <c:idx val="1"/>
            <c:bubble3D val="0"/>
            <c:spPr>
              <a:solidFill>
                <a:srgbClr val="969696"/>
              </a:solidFill>
              <a:ln w="12708">
                <a:solidFill>
                  <a:srgbClr val="000000"/>
                </a:solidFill>
                <a:prstDash val="solid"/>
              </a:ln>
            </c:spPr>
          </c:dPt>
          <c:dPt>
            <c:idx val="2"/>
            <c:bubble3D val="0"/>
            <c:spPr>
              <a:solidFill>
                <a:srgbClr val="FFFFFF"/>
              </a:solidFill>
              <a:ln w="12708">
                <a:solidFill>
                  <a:srgbClr val="000000"/>
                </a:solidFill>
                <a:prstDash val="solid"/>
              </a:ln>
            </c:spPr>
          </c:dPt>
          <c:dLbls>
            <c:numFmt formatCode="0.0%" sourceLinked="0"/>
            <c:spPr>
              <a:noFill/>
              <a:ln w="25417">
                <a:noFill/>
              </a:ln>
            </c:spPr>
            <c:txPr>
              <a:bodyPr/>
              <a:lstStyle/>
              <a:p>
                <a:pPr>
                  <a:defRPr sz="926"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Sheet1!$B$1:$D$1</c:f>
              <c:strCache>
                <c:ptCount val="3"/>
                <c:pt idx="0">
                  <c:v>до 50 тис. дол. США</c:v>
                </c:pt>
                <c:pt idx="1">
                  <c:v>50-500 тис. дол. США</c:v>
                </c:pt>
                <c:pt idx="2">
                  <c:v>більше 500 тис.дол. США</c:v>
                </c:pt>
              </c:strCache>
            </c:strRef>
          </c:cat>
          <c:val>
            <c:numRef>
              <c:f>Sheet1!$B$2:$D$2</c:f>
              <c:numCache>
                <c:formatCode>0.00%</c:formatCode>
                <c:ptCount val="3"/>
                <c:pt idx="0">
                  <c:v>0.20699999999999999</c:v>
                </c:pt>
                <c:pt idx="1">
                  <c:v>0.379</c:v>
                </c:pt>
                <c:pt idx="2">
                  <c:v>0.41399999999999998</c:v>
                </c:pt>
              </c:numCache>
            </c:numRef>
          </c:val>
        </c:ser>
        <c:dLbls>
          <c:showLegendKey val="0"/>
          <c:showVal val="0"/>
          <c:showCatName val="1"/>
          <c:showSerName val="0"/>
          <c:showPercent val="1"/>
          <c:showBubbleSize val="0"/>
          <c:showLeaderLines val="0"/>
        </c:dLbls>
      </c:pie3DChart>
      <c:spPr>
        <a:noFill/>
        <a:ln w="25417">
          <a:noFill/>
        </a:ln>
      </c:spPr>
    </c:plotArea>
    <c:legend>
      <c:legendPos val="r"/>
      <c:layout>
        <c:manualLayout>
          <c:xMode val="edge"/>
          <c:yMode val="edge"/>
          <c:x val="0.5721311475409836"/>
          <c:y val="6.3380281690140844E-2"/>
          <c:w val="0.40491803278688526"/>
          <c:h val="0.823943661971831"/>
        </c:manualLayout>
      </c:layout>
      <c:overlay val="0"/>
      <c:spPr>
        <a:solidFill>
          <a:srgbClr val="FFFFFF"/>
        </a:solidFill>
        <a:ln w="3177">
          <a:solidFill>
            <a:srgbClr val="000000"/>
          </a:solidFill>
          <a:prstDash val="solid"/>
        </a:ln>
      </c:spPr>
      <c:txPr>
        <a:bodyPr/>
        <a:lstStyle/>
        <a:p>
          <a:pPr>
            <a:defRPr sz="851" b="0" i="0" u="none" strike="noStrike" baseline="0">
              <a:solidFill>
                <a:srgbClr val="000000"/>
              </a:solidFill>
              <a:latin typeface="Times New Roman"/>
              <a:ea typeface="Times New Roman"/>
              <a:cs typeface="Times New Roman"/>
            </a:defRPr>
          </a:pPr>
          <a:endParaRPr lang="ru-RU"/>
        </a:p>
      </c:txPr>
    </c:legend>
    <c:plotVisOnly val="1"/>
    <c:dispBlanksAs val="zero"/>
    <c:showDLblsOverMax val="0"/>
  </c:chart>
  <c:spPr>
    <a:solidFill>
      <a:srgbClr val="FFFFFF"/>
    </a:solidFill>
    <a:ln w="3177">
      <a:solidFill>
        <a:srgbClr val="000000"/>
      </a:solidFill>
      <a:prstDash val="solid"/>
    </a:ln>
  </c:spPr>
  <c:txPr>
    <a:bodyPr/>
    <a:lstStyle/>
    <a:p>
      <a:pPr>
        <a:defRPr sz="926" b="0" i="0" u="none" strike="noStrike" baseline="0">
          <a:solidFill>
            <a:srgbClr val="000000"/>
          </a:solidFill>
          <a:latin typeface="Times New Roman"/>
          <a:ea typeface="Times New Roman"/>
          <a:cs typeface="Times New Roman"/>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38273615635179153"/>
          <c:y val="5.3398058252427182E-2"/>
          <c:w val="0.5895765472312704"/>
          <c:h val="0.77184466019417475"/>
        </c:manualLayout>
      </c:layout>
      <c:barChart>
        <c:barDir val="bar"/>
        <c:grouping val="stacked"/>
        <c:varyColors val="0"/>
        <c:ser>
          <c:idx val="0"/>
          <c:order val="0"/>
          <c:spPr>
            <a:solidFill>
              <a:srgbClr val="9999FF"/>
            </a:solidFill>
            <a:ln w="12696">
              <a:solidFill>
                <a:srgbClr val="000000"/>
              </a:solidFill>
              <a:prstDash val="solid"/>
            </a:ln>
          </c:spPr>
          <c:invertIfNegative val="0"/>
          <c:dLbls>
            <c:spPr>
              <a:noFill/>
              <a:ln w="25391">
                <a:noFill/>
              </a:ln>
            </c:spPr>
            <c:txPr>
              <a:bodyPr/>
              <a:lstStyle/>
              <a:p>
                <a:pPr>
                  <a:defRPr sz="80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Лист1!$A$1:$F$1</c:f>
              <c:strCache>
                <c:ptCount val="6"/>
                <c:pt idx="0">
                  <c:v>Іноземні інвестори</c:v>
                </c:pt>
                <c:pt idx="1">
                  <c:v>Міжнародні фінансово-кредитні інститути</c:v>
                </c:pt>
                <c:pt idx="2">
                  <c:v>Національні фінансово-кредитні установи</c:v>
                </c:pt>
                <c:pt idx="3">
                  <c:v>Довгострокові кредити під низькі %</c:v>
                </c:pt>
                <c:pt idx="4">
                  <c:v>Приватні особи</c:v>
                </c:pt>
                <c:pt idx="5">
                  <c:v>Державне фінансування</c:v>
                </c:pt>
              </c:strCache>
            </c:strRef>
          </c:cat>
          <c:val>
            <c:numRef>
              <c:f>Лист1!$A$2:$F$2</c:f>
              <c:numCache>
                <c:formatCode>General</c:formatCode>
                <c:ptCount val="6"/>
                <c:pt idx="0">
                  <c:v>23.4</c:v>
                </c:pt>
                <c:pt idx="1">
                  <c:v>12.5</c:v>
                </c:pt>
                <c:pt idx="2">
                  <c:v>10.9</c:v>
                </c:pt>
                <c:pt idx="3">
                  <c:v>29.7</c:v>
                </c:pt>
                <c:pt idx="4">
                  <c:v>9.4</c:v>
                </c:pt>
                <c:pt idx="5">
                  <c:v>14.1</c:v>
                </c:pt>
              </c:numCache>
            </c:numRef>
          </c:val>
        </c:ser>
        <c:dLbls>
          <c:showLegendKey val="0"/>
          <c:showVal val="0"/>
          <c:showCatName val="0"/>
          <c:showSerName val="0"/>
          <c:showPercent val="0"/>
          <c:showBubbleSize val="0"/>
        </c:dLbls>
        <c:gapWidth val="150"/>
        <c:overlap val="100"/>
        <c:axId val="89995264"/>
        <c:axId val="194161472"/>
      </c:barChart>
      <c:catAx>
        <c:axId val="89995264"/>
        <c:scaling>
          <c:orientation val="minMax"/>
        </c:scaling>
        <c:delete val="0"/>
        <c:axPos val="l"/>
        <c:numFmt formatCode="General" sourceLinked="1"/>
        <c:majorTickMark val="out"/>
        <c:minorTickMark val="none"/>
        <c:tickLblPos val="nextTo"/>
        <c:spPr>
          <a:ln w="3174">
            <a:solidFill>
              <a:srgbClr val="000000"/>
            </a:solidFill>
            <a:prstDash val="solid"/>
          </a:ln>
        </c:spPr>
        <c:txPr>
          <a:bodyPr rot="0" vert="horz"/>
          <a:lstStyle/>
          <a:p>
            <a:pPr>
              <a:defRPr sz="800" b="0" i="0" u="none" strike="noStrike" baseline="0">
                <a:solidFill>
                  <a:srgbClr val="000000"/>
                </a:solidFill>
                <a:latin typeface="Arial Cyr"/>
                <a:ea typeface="Arial Cyr"/>
                <a:cs typeface="Arial Cyr"/>
              </a:defRPr>
            </a:pPr>
            <a:endParaRPr lang="ru-RU"/>
          </a:p>
        </c:txPr>
        <c:crossAx val="194161472"/>
        <c:crosses val="autoZero"/>
        <c:auto val="1"/>
        <c:lblAlgn val="ctr"/>
        <c:lblOffset val="100"/>
        <c:tickLblSkip val="1"/>
        <c:tickMarkSkip val="1"/>
        <c:noMultiLvlLbl val="0"/>
      </c:catAx>
      <c:valAx>
        <c:axId val="194161472"/>
        <c:scaling>
          <c:orientation val="minMax"/>
        </c:scaling>
        <c:delete val="0"/>
        <c:axPos val="b"/>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800" b="0" i="0" u="none" strike="noStrike" baseline="0">
                <a:solidFill>
                  <a:srgbClr val="000000"/>
                </a:solidFill>
                <a:latin typeface="Arial Cyr"/>
                <a:ea typeface="Arial Cyr"/>
                <a:cs typeface="Arial Cyr"/>
              </a:defRPr>
            </a:pPr>
            <a:endParaRPr lang="ru-RU"/>
          </a:p>
        </c:txPr>
        <c:crossAx val="89995264"/>
        <c:crosses val="autoZero"/>
        <c:crossBetween val="between"/>
      </c:valAx>
      <c:spPr>
        <a:solidFill>
          <a:srgbClr val="C0C0C0"/>
        </a:solidFill>
        <a:ln w="12696">
          <a:solidFill>
            <a:srgbClr val="808080"/>
          </a:solidFill>
          <a:prstDash val="solid"/>
        </a:ln>
      </c:spPr>
    </c:plotArea>
    <c:plotVisOnly val="1"/>
    <c:dispBlanksAs val="gap"/>
    <c:showDLblsOverMax val="0"/>
  </c:chart>
  <c:spPr>
    <a:solidFill>
      <a:srgbClr val="FFFFFF"/>
    </a:solidFill>
    <a:ln w="3174">
      <a:solidFill>
        <a:srgbClr val="000000"/>
      </a:solidFill>
      <a:prstDash val="solid"/>
    </a:ln>
  </c:spPr>
  <c:txPr>
    <a:bodyPr/>
    <a:lstStyle/>
    <a:p>
      <a:pPr>
        <a:defRPr sz="800"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23898305084745763"/>
          <c:y val="6.7164179104477612E-2"/>
          <c:w val="0.51525423728813557"/>
          <c:h val="0.90298507462686572"/>
        </c:manualLayout>
      </c:layout>
      <c:pie3DChart>
        <c:varyColors val="1"/>
        <c:ser>
          <c:idx val="0"/>
          <c:order val="0"/>
          <c:spPr>
            <a:solidFill>
              <a:srgbClr val="9999FF"/>
            </a:solidFill>
            <a:ln w="12699">
              <a:solidFill>
                <a:srgbClr val="000000"/>
              </a:solidFill>
              <a:prstDash val="solid"/>
            </a:ln>
          </c:spPr>
          <c:explosion val="25"/>
          <c:dPt>
            <c:idx val="0"/>
            <c:bubble3D val="0"/>
          </c:dPt>
          <c:dPt>
            <c:idx val="1"/>
            <c:bubble3D val="0"/>
            <c:spPr>
              <a:solidFill>
                <a:srgbClr val="993366"/>
              </a:solidFill>
              <a:ln w="12699">
                <a:solidFill>
                  <a:srgbClr val="000000"/>
                </a:solidFill>
                <a:prstDash val="solid"/>
              </a:ln>
            </c:spPr>
          </c:dPt>
          <c:dLbls>
            <c:spPr>
              <a:noFill/>
              <a:ln w="25398">
                <a:noFill/>
              </a:ln>
            </c:spPr>
            <c:txPr>
              <a:bodyPr/>
              <a:lstStyle/>
              <a:p>
                <a:pPr>
                  <a:defRPr sz="1200" b="0" i="0" u="none" strike="noStrike" baseline="0">
                    <a:solidFill>
                      <a:srgbClr val="000000"/>
                    </a:solidFill>
                    <a:latin typeface="Arial Cyr"/>
                    <a:ea typeface="Arial Cyr"/>
                    <a:cs typeface="Arial Cyr"/>
                  </a:defRPr>
                </a:pPr>
                <a:endParaRPr lang="ru-RU"/>
              </a:p>
            </c:txPr>
            <c:showLegendKey val="0"/>
            <c:showVal val="1"/>
            <c:showCatName val="1"/>
            <c:showSerName val="0"/>
            <c:showPercent val="0"/>
            <c:showBubbleSize val="0"/>
            <c:showLeaderLines val="1"/>
          </c:dLbls>
          <c:cat>
            <c:strRef>
              <c:f>Лист1!$A$1:$B$1</c:f>
              <c:strCache>
                <c:ptCount val="2"/>
                <c:pt idx="0">
                  <c:v>Так</c:v>
                </c:pt>
                <c:pt idx="1">
                  <c:v>Ні</c:v>
                </c:pt>
              </c:strCache>
            </c:strRef>
          </c:cat>
          <c:val>
            <c:numRef>
              <c:f>Лист1!$A$2:$B$2</c:f>
              <c:numCache>
                <c:formatCode>0.00%</c:formatCode>
                <c:ptCount val="2"/>
                <c:pt idx="0">
                  <c:v>0.68899999999999995</c:v>
                </c:pt>
                <c:pt idx="1">
                  <c:v>0.311</c:v>
                </c:pt>
              </c:numCache>
            </c:numRef>
          </c:val>
        </c:ser>
        <c:dLbls>
          <c:showLegendKey val="0"/>
          <c:showVal val="1"/>
          <c:showCatName val="1"/>
          <c:showSerName val="0"/>
          <c:showPercent val="0"/>
          <c:showBubbleSize val="0"/>
          <c:showLeaderLines val="1"/>
        </c:dLbls>
      </c:pie3DChart>
      <c:spPr>
        <a:noFill/>
        <a:ln w="25398">
          <a:noFill/>
        </a:ln>
      </c:spPr>
    </c:plotArea>
    <c:plotVisOnly val="1"/>
    <c:dispBlanksAs val="zero"/>
    <c:showDLblsOverMax val="0"/>
  </c:chart>
  <c:spPr>
    <a:solidFill>
      <a:srgbClr val="FFFFFF"/>
    </a:solidFill>
    <a:ln w="3175">
      <a:solidFill>
        <a:srgbClr val="000000"/>
      </a:solidFill>
      <a:prstDash val="solid"/>
    </a:ln>
  </c:spPr>
  <c:txPr>
    <a:bodyPr/>
    <a:lstStyle/>
    <a:p>
      <a:pPr>
        <a:defRPr sz="475" b="0" i="0" u="none" strike="noStrike" baseline="0">
          <a:solidFill>
            <a:srgbClr val="000000"/>
          </a:solidFill>
          <a:latin typeface="Arial Cyr"/>
          <a:ea typeface="Arial Cyr"/>
          <a:cs typeface="Arial Cy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4769</Words>
  <Characters>27188</Characters>
  <Application>Microsoft Office Word</Application>
  <DocSecurity>0</DocSecurity>
  <Lines>226</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2023-11-20T13:14:00Z</dcterms:created>
  <dcterms:modified xsi:type="dcterms:W3CDTF">2023-11-20T13:14:00Z</dcterms:modified>
</cp:coreProperties>
</file>