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7AE8" w:rsidRPr="001F7AE8" w:rsidRDefault="001F7AE8" w:rsidP="001F7AE8">
      <w:pPr>
        <w:spacing w:line="312" w:lineRule="auto"/>
        <w:ind w:firstLine="709"/>
        <w:jc w:val="right"/>
        <w:rPr>
          <w:sz w:val="24"/>
          <w:szCs w:val="24"/>
          <w:shd w:val="clear" w:color="auto" w:fill="FFFFFF"/>
        </w:rPr>
      </w:pPr>
      <w:r w:rsidRPr="001F7AE8">
        <w:rPr>
          <w:sz w:val="24"/>
          <w:szCs w:val="24"/>
          <w:shd w:val="clear" w:color="auto" w:fill="FFFFFF"/>
        </w:rPr>
        <w:t>Н.М. ТЮРІНА, Н.С. КАРВАЦКА,Т.В. НАЗАРЧУК</w:t>
      </w:r>
    </w:p>
    <w:p w:rsidR="001F7AE8" w:rsidRPr="001F7AE8" w:rsidRDefault="001F7AE8" w:rsidP="001F7AE8">
      <w:pPr>
        <w:spacing w:line="312" w:lineRule="auto"/>
        <w:ind w:firstLine="709"/>
        <w:jc w:val="right"/>
        <w:rPr>
          <w:sz w:val="24"/>
          <w:szCs w:val="24"/>
          <w:shd w:val="clear" w:color="auto" w:fill="FFFFFF"/>
        </w:rPr>
      </w:pPr>
      <w:r w:rsidRPr="001F7AE8">
        <w:rPr>
          <w:sz w:val="24"/>
          <w:szCs w:val="24"/>
          <w:shd w:val="clear" w:color="auto" w:fill="FFFFFF"/>
        </w:rPr>
        <w:t>Хмельницький національний університет</w:t>
      </w:r>
    </w:p>
    <w:p w:rsidR="001F7AE8" w:rsidRPr="001F7AE8" w:rsidRDefault="001F7AE8" w:rsidP="001F7AE8">
      <w:pPr>
        <w:ind w:firstLine="567"/>
        <w:jc w:val="center"/>
        <w:rPr>
          <w:sz w:val="24"/>
          <w:szCs w:val="24"/>
        </w:rPr>
      </w:pPr>
    </w:p>
    <w:p w:rsidR="001F7AE8" w:rsidRPr="001F7AE8" w:rsidRDefault="001F7AE8" w:rsidP="001F7AE8">
      <w:pPr>
        <w:ind w:firstLine="567"/>
        <w:jc w:val="center"/>
        <w:rPr>
          <w:sz w:val="24"/>
          <w:szCs w:val="24"/>
        </w:rPr>
      </w:pPr>
    </w:p>
    <w:p w:rsidR="00A55591" w:rsidRPr="001F7AE8" w:rsidRDefault="001F7AE8" w:rsidP="001F7AE8">
      <w:pPr>
        <w:ind w:firstLine="567"/>
        <w:jc w:val="center"/>
        <w:rPr>
          <w:b/>
          <w:sz w:val="24"/>
          <w:szCs w:val="24"/>
        </w:rPr>
      </w:pPr>
      <w:r>
        <w:rPr>
          <w:b/>
          <w:sz w:val="24"/>
          <w:szCs w:val="24"/>
        </w:rPr>
        <w:t xml:space="preserve">РОЗВИТОК </w:t>
      </w:r>
      <w:r w:rsidRPr="001F7AE8">
        <w:rPr>
          <w:b/>
          <w:sz w:val="24"/>
          <w:szCs w:val="24"/>
        </w:rPr>
        <w:t>ПРОЦЕС</w:t>
      </w:r>
      <w:r>
        <w:rPr>
          <w:b/>
          <w:sz w:val="24"/>
          <w:szCs w:val="24"/>
        </w:rPr>
        <w:t>ІВ</w:t>
      </w:r>
      <w:r w:rsidRPr="001F7AE8">
        <w:rPr>
          <w:b/>
          <w:sz w:val="24"/>
          <w:szCs w:val="24"/>
        </w:rPr>
        <w:t xml:space="preserve"> ДЕЦЕНТРАЛІЗАЦІЇ В УКРАЇНІ</w:t>
      </w:r>
    </w:p>
    <w:p w:rsidR="00A55591" w:rsidRPr="001F7AE8" w:rsidRDefault="00A55591" w:rsidP="001F7AE8">
      <w:pPr>
        <w:ind w:firstLine="567"/>
        <w:jc w:val="both"/>
        <w:rPr>
          <w:sz w:val="24"/>
          <w:szCs w:val="24"/>
        </w:rPr>
      </w:pPr>
    </w:p>
    <w:p w:rsidR="001F7AE8" w:rsidRDefault="001F7AE8" w:rsidP="001F7AE8">
      <w:pPr>
        <w:ind w:firstLine="567"/>
        <w:jc w:val="both"/>
        <w:rPr>
          <w:sz w:val="24"/>
          <w:szCs w:val="24"/>
        </w:rPr>
      </w:pPr>
    </w:p>
    <w:p w:rsidR="001F7AE8" w:rsidRPr="001F7AE8" w:rsidRDefault="001F7AE8" w:rsidP="001F7AE8">
      <w:pPr>
        <w:ind w:firstLine="567"/>
        <w:jc w:val="both"/>
        <w:rPr>
          <w:sz w:val="24"/>
          <w:szCs w:val="24"/>
        </w:rPr>
      </w:pPr>
    </w:p>
    <w:p w:rsidR="00A55591" w:rsidRPr="001F7AE8" w:rsidRDefault="00A55591" w:rsidP="001F7AE8">
      <w:pPr>
        <w:ind w:firstLine="567"/>
        <w:jc w:val="both"/>
        <w:rPr>
          <w:sz w:val="24"/>
          <w:szCs w:val="24"/>
        </w:rPr>
      </w:pPr>
      <w:r w:rsidRPr="001F7AE8">
        <w:rPr>
          <w:sz w:val="24"/>
          <w:szCs w:val="24"/>
        </w:rPr>
        <w:t>Основна складова  сучасних концепцій управління - децентралізація, передбачає передачу повноважень та відповідальності від центральної державної влади на нижні рівні управління й недержавному сектору.</w:t>
      </w:r>
      <w:r w:rsidR="001F7AE8">
        <w:rPr>
          <w:sz w:val="24"/>
          <w:szCs w:val="24"/>
        </w:rPr>
        <w:t xml:space="preserve"> </w:t>
      </w:r>
      <w:r w:rsidRPr="001F7AE8">
        <w:rPr>
          <w:sz w:val="24"/>
          <w:szCs w:val="24"/>
        </w:rPr>
        <w:t>В європейських країнах активно продовжуються процеси децентралізації й делегування більших прав для прийняття рішень місцевим адміністраціям. За даними [</w:t>
      </w:r>
      <w:r w:rsidR="001F7AE8">
        <w:rPr>
          <w:sz w:val="24"/>
          <w:szCs w:val="24"/>
        </w:rPr>
        <w:t>1</w:t>
      </w:r>
      <w:r w:rsidRPr="001F7AE8">
        <w:rPr>
          <w:sz w:val="24"/>
          <w:szCs w:val="24"/>
        </w:rPr>
        <w:t>], співвідношення кількості публічних і державних службовців в деяких країнах ЄС дорівнює (у відсотках): Австрія 54,5:45,5, Франція – 51:49; Іспанія – 50:50; Ірландія – 10:90; Нідерланди – 80:20; Португалія 10,3:89,7; Великобританія 62,3:37,7. Ефективність  дій місцевих органів влади знаходиться в прямій залежності  від  необхідного  рівня управлінської та фінансової незалежності, самостійності за умов дійового контролю й відповідальності.</w:t>
      </w:r>
      <w:r w:rsidRPr="001F7AE8">
        <w:rPr>
          <w:color w:val="FF0000"/>
          <w:sz w:val="24"/>
          <w:szCs w:val="24"/>
        </w:rPr>
        <w:t xml:space="preserve"> </w:t>
      </w:r>
      <w:r w:rsidRPr="001F7AE8">
        <w:rPr>
          <w:sz w:val="24"/>
          <w:szCs w:val="24"/>
        </w:rPr>
        <w:t xml:space="preserve">Головний критерій раціональної децентралізації - досягнення найвищої якості обслуговування громадян, а головний принцип – </w:t>
      </w:r>
      <w:proofErr w:type="spellStart"/>
      <w:r w:rsidRPr="001F7AE8">
        <w:rPr>
          <w:sz w:val="24"/>
          <w:szCs w:val="24"/>
        </w:rPr>
        <w:t>субсидіарність</w:t>
      </w:r>
      <w:proofErr w:type="spellEnd"/>
      <w:r w:rsidRPr="001F7AE8">
        <w:rPr>
          <w:sz w:val="24"/>
          <w:szCs w:val="24"/>
        </w:rPr>
        <w:t xml:space="preserve"> (</w:t>
      </w:r>
      <w:r w:rsidRPr="001F7AE8">
        <w:rPr>
          <w:rStyle w:val="tgc"/>
          <w:sz w:val="24"/>
          <w:szCs w:val="24"/>
        </w:rPr>
        <w:t xml:space="preserve">лат. </w:t>
      </w:r>
      <w:proofErr w:type="spellStart"/>
      <w:r w:rsidRPr="001F7AE8">
        <w:rPr>
          <w:rStyle w:val="tgc"/>
          <w:sz w:val="24"/>
          <w:szCs w:val="24"/>
        </w:rPr>
        <w:t>subsidium</w:t>
      </w:r>
      <w:proofErr w:type="spellEnd"/>
      <w:r w:rsidRPr="001F7AE8">
        <w:rPr>
          <w:rStyle w:val="tgc"/>
          <w:sz w:val="24"/>
          <w:szCs w:val="24"/>
        </w:rPr>
        <w:t xml:space="preserve"> - допомога</w:t>
      </w:r>
      <w:r w:rsidRPr="001F7AE8">
        <w:rPr>
          <w:sz w:val="24"/>
          <w:szCs w:val="24"/>
        </w:rPr>
        <w:t>), що визначає найнижчу оптимальну межу втручання уряду у діяльність органів місцевої влади.</w:t>
      </w:r>
    </w:p>
    <w:p w:rsidR="00A55591" w:rsidRPr="001F7AE8" w:rsidRDefault="00A55591" w:rsidP="001F7AE8">
      <w:pPr>
        <w:ind w:firstLine="567"/>
        <w:jc w:val="both"/>
        <w:rPr>
          <w:sz w:val="24"/>
          <w:szCs w:val="24"/>
        </w:rPr>
      </w:pPr>
      <w:r w:rsidRPr="001F7AE8">
        <w:rPr>
          <w:sz w:val="24"/>
          <w:szCs w:val="24"/>
        </w:rPr>
        <w:t>Процеси децентралізації в Україні розпочалась з ухвалення Кабінетом Міністрів у квітні 2014 року «Концепції реформування місцевого самоврядування та територіальної організації влади в Україні». Ця концепція  спрямована на створення  та  підтримку:  сприятливого для життя громадян середовища; забезпечення сталого соціально-економічного розвитку  відповідних адміністративно-територіальних одиниць;  задоволення інтересів громадян у всіх сферах життєдіяльності; надання населенню органами місцевого самоврядування високоякісних й доступних адміністративних, соціальних та інших послуг на відповідних територіях;  узгодження інтересів держави та територіальних громад.</w:t>
      </w:r>
    </w:p>
    <w:p w:rsidR="00A55591" w:rsidRPr="001F7AE8" w:rsidRDefault="00A55591" w:rsidP="001F7AE8">
      <w:pPr>
        <w:ind w:firstLine="567"/>
        <w:jc w:val="both"/>
        <w:rPr>
          <w:sz w:val="24"/>
          <w:szCs w:val="24"/>
        </w:rPr>
      </w:pPr>
      <w:r w:rsidRPr="001F7AE8">
        <w:rPr>
          <w:sz w:val="24"/>
          <w:szCs w:val="24"/>
        </w:rPr>
        <w:t xml:space="preserve">Концепція нового публічного менеджменту в Україні передбачає децентралізацію управління за рахунок розширення повноважень й відповідальності органів місцевого самоврядування. Основне завдання децентралізації </w:t>
      </w:r>
      <w:r w:rsidRPr="001F7AE8">
        <w:rPr>
          <w:sz w:val="24"/>
          <w:szCs w:val="24"/>
          <w:shd w:val="clear" w:color="auto" w:fill="FFFFFF"/>
        </w:rPr>
        <w:t>–</w:t>
      </w:r>
      <w:r w:rsidRPr="001F7AE8">
        <w:rPr>
          <w:sz w:val="24"/>
          <w:szCs w:val="24"/>
        </w:rPr>
        <w:t xml:space="preserve"> надати місцевим громадам можливість самостійно вирішувати свої проблеми і контролювати якість надаваних публічних послуг. Мета політики у сфері децентралізації </w:t>
      </w:r>
      <w:r w:rsidRPr="001F7AE8">
        <w:rPr>
          <w:sz w:val="24"/>
          <w:szCs w:val="24"/>
          <w:shd w:val="clear" w:color="auto" w:fill="FFFFFF"/>
        </w:rPr>
        <w:t>–</w:t>
      </w:r>
      <w:r w:rsidRPr="001F7AE8">
        <w:rPr>
          <w:sz w:val="24"/>
          <w:szCs w:val="24"/>
        </w:rPr>
        <w:t xml:space="preserve"> відхід від централізованої моделі управління в державі, забезпечення спроможності місцевого самоврядування та побудова ефективної системи територіальної організації влади в Україні, реалізація у повній мірі положень та принципів Європейської хартії місцевого самоврядування</w:t>
      </w:r>
      <w:bookmarkStart w:id="0" w:name="_GoBack"/>
      <w:bookmarkEnd w:id="0"/>
      <w:r w:rsidRPr="001F7AE8">
        <w:rPr>
          <w:sz w:val="24"/>
          <w:szCs w:val="24"/>
        </w:rPr>
        <w:t xml:space="preserve">.  Такий підхід співвідноситься з основними цінностями місцевого самоврядування: автономією, тобто децентралізованим управлінням; демократією;  цивільною участю і ефективністю;  близькістю влади до населення. </w:t>
      </w:r>
    </w:p>
    <w:p w:rsidR="00A55591" w:rsidRPr="001F7AE8" w:rsidRDefault="00A55591" w:rsidP="001F7AE8">
      <w:pPr>
        <w:pStyle w:val="a5"/>
        <w:shd w:val="clear" w:color="auto" w:fill="FFFFFF"/>
        <w:spacing w:before="0" w:beforeAutospacing="0" w:after="0" w:afterAutospacing="0"/>
        <w:ind w:firstLine="567"/>
        <w:jc w:val="both"/>
        <w:textAlignment w:val="baseline"/>
        <w:rPr>
          <w:color w:val="1D1D1B"/>
        </w:rPr>
      </w:pPr>
      <w:r w:rsidRPr="001F7AE8">
        <w:t>Для практичної реалізації процесів децентралізації в Україні було прийнято ряд таких законів: «Про співробітництво територіальних громад»</w:t>
      </w:r>
      <w:r w:rsidRPr="001F7AE8">
        <w:rPr>
          <w:color w:val="1D1D1B"/>
        </w:rPr>
        <w:t xml:space="preserve"> (17.06.2014 р.)</w:t>
      </w:r>
      <w:r w:rsidRPr="001F7AE8">
        <w:t>, «Про засади державної регіональної політики»(05.02.2015р.)  та «Про добровільне об’єднання громад»</w:t>
      </w:r>
      <w:r w:rsidRPr="001F7AE8">
        <w:rPr>
          <w:color w:val="1D1D1B"/>
        </w:rPr>
        <w:t xml:space="preserve"> (05.02.2015 р.) та зміни щодо фінансової децентралізації до Бюджетного і Податкового кодексів.</w:t>
      </w:r>
      <w:r w:rsidR="001F7AE8">
        <w:rPr>
          <w:color w:val="1D1D1B"/>
        </w:rPr>
        <w:t xml:space="preserve"> </w:t>
      </w:r>
      <w:r w:rsidRPr="001F7AE8">
        <w:t>Ці  законодавчі акти  визначили  організаційно-правові засади співробітництва територіальних громад; принципи, форми, механізми співпраці, її стимулювання, фінансування та контролю, тобто започатковано засади для функціонування фінансово незалежних громад.</w:t>
      </w:r>
    </w:p>
    <w:p w:rsidR="00A55591" w:rsidRPr="001F7AE8" w:rsidRDefault="00A55591" w:rsidP="001F7AE8">
      <w:pPr>
        <w:pStyle w:val="a5"/>
        <w:shd w:val="clear" w:color="auto" w:fill="FFFFFF"/>
        <w:spacing w:before="0" w:beforeAutospacing="0" w:after="0" w:afterAutospacing="0"/>
        <w:ind w:firstLine="567"/>
        <w:jc w:val="both"/>
        <w:textAlignment w:val="baseline"/>
      </w:pPr>
      <w:r w:rsidRPr="001F7AE8">
        <w:rPr>
          <w:color w:val="1D1D1B"/>
        </w:rPr>
        <w:t xml:space="preserve">Все це разом дозволило  сформувати, відповідно до положень Європейської хартії місцевого самоврядування, значний дієвий і спроможний інститут місцевого самоврядування на базовому рівні – об’єднані територіальні громади (ОТГ). </w:t>
      </w:r>
      <w:r w:rsidRPr="001F7AE8">
        <w:t xml:space="preserve"> І станом </w:t>
      </w:r>
      <w:r w:rsidRPr="001F7AE8">
        <w:rPr>
          <w:shd w:val="clear" w:color="auto" w:fill="FFFFFF"/>
        </w:rPr>
        <w:t xml:space="preserve">на вересень 2017 року в Україні було створено 648 об’єднаних територіальних громад (13,6% від загальної кількості населення України), що самостійно формують  та  наповнюють свої бюджети з податків, які залишаються у розпорядженні громад та отримують від держави фінансову підтримку.  </w:t>
      </w:r>
      <w:r w:rsidRPr="001F7AE8">
        <w:t xml:space="preserve">Однак, аналіз показників спроможності кожної ОТГ, утворених у 2015 р. (159) показав, що лише 20% є </w:t>
      </w:r>
      <w:r w:rsidR="001F7AE8">
        <w:lastRenderedPageBreak/>
        <w:t>фінансово спроможними</w:t>
      </w:r>
      <w:r w:rsidRPr="001F7AE8">
        <w:t>. За оцінкою фінансової спроможності 366 ОТГ за І півріччя 2017 року – 25% є фінансово спроможними та мають відповідну територіальну структуру [</w:t>
      </w:r>
      <w:r w:rsidR="001F7AE8">
        <w:rPr>
          <w:lang w:val="ru-RU"/>
        </w:rPr>
        <w:t>2</w:t>
      </w:r>
      <w:r w:rsidRPr="001F7AE8">
        <w:t xml:space="preserve">].  Поява значної кількості </w:t>
      </w:r>
      <w:proofErr w:type="spellStart"/>
      <w:r w:rsidRPr="001F7AE8">
        <w:t>низькоспроможних</w:t>
      </w:r>
      <w:proofErr w:type="spellEnd"/>
      <w:r w:rsidRPr="001F7AE8">
        <w:t xml:space="preserve"> ОТГ свідчить про роль суб’єктивного чинника, впливу великих бізнес-структур на реалізацію реформ в Україні, недостатній рівень кваліфікації експертного середовища, низький рівень готовності суспільства до реформи, низький рівень освіченості чиновників, на яких була покладена відповідальність за проведення реформи децентралізації влади в Україні. </w:t>
      </w:r>
    </w:p>
    <w:p w:rsidR="00A55591" w:rsidRPr="001F7AE8" w:rsidRDefault="00A55591" w:rsidP="001F7AE8">
      <w:pPr>
        <w:ind w:firstLine="567"/>
        <w:jc w:val="both"/>
        <w:rPr>
          <w:sz w:val="24"/>
          <w:szCs w:val="24"/>
        </w:rPr>
      </w:pPr>
      <w:r w:rsidRPr="001F7AE8">
        <w:rPr>
          <w:sz w:val="24"/>
          <w:szCs w:val="24"/>
        </w:rPr>
        <w:t>Важливим етапом у розвитку реформи місцевого самоврядування в Україні було створення в 2016 році  відокремлених  підрозділів установи «Центр розвитку місцевого самоврядування (ЦРМС)» - недержавних, неприбуткових організацій, основна мета яких -  сприяння зміцненню спроможності органів влади та місцевого самоврядування на центральному, регіональному  та місцевому рівнях. Основне  завдання  ЦРМС   - підтримка реалізації регіональної політики та реформи децентралізації, покращення надання місцевих адміністративних послуг на користь громадян. Для реалізації мети та основного завдання були створені регіональні  центри у всіх областях України, їх діяльність фінансується Європейським Союзом в рамках  Програми «</w:t>
      </w:r>
      <w:r w:rsidRPr="001F7AE8">
        <w:rPr>
          <w:sz w:val="24"/>
          <w:szCs w:val="24"/>
          <w:lang w:val="en-US"/>
        </w:rPr>
        <w:t>U</w:t>
      </w:r>
      <w:r w:rsidRPr="001F7AE8">
        <w:rPr>
          <w:sz w:val="24"/>
          <w:szCs w:val="24"/>
        </w:rPr>
        <w:t>-</w:t>
      </w:r>
      <w:r w:rsidRPr="001F7AE8">
        <w:rPr>
          <w:sz w:val="24"/>
          <w:szCs w:val="24"/>
          <w:lang w:val="en-US"/>
        </w:rPr>
        <w:t>LEAD</w:t>
      </w:r>
      <w:r w:rsidRPr="001F7AE8">
        <w:rPr>
          <w:sz w:val="24"/>
          <w:szCs w:val="24"/>
        </w:rPr>
        <w:t xml:space="preserve"> з Європою». Регіональні центри на постійні основі надають підтримку  органам місцевого самоврядування, передусім об’єднаним територіальним громадам. Це надзвичайно важливо зважаючи на те, що процес утворення ОТГ досить активно розвивається по усій Україні. Ефективна робота всіх регіональних центрів за підтримки Програми «</w:t>
      </w:r>
      <w:r w:rsidRPr="001F7AE8">
        <w:rPr>
          <w:sz w:val="24"/>
          <w:szCs w:val="24"/>
          <w:lang w:val="en-US"/>
        </w:rPr>
        <w:t>U</w:t>
      </w:r>
      <w:r w:rsidRPr="001F7AE8">
        <w:rPr>
          <w:sz w:val="24"/>
          <w:szCs w:val="24"/>
        </w:rPr>
        <w:t>-</w:t>
      </w:r>
      <w:r w:rsidRPr="001F7AE8">
        <w:rPr>
          <w:sz w:val="24"/>
          <w:szCs w:val="24"/>
          <w:lang w:val="en-US"/>
        </w:rPr>
        <w:t>LEAD</w:t>
      </w:r>
      <w:r w:rsidRPr="001F7AE8">
        <w:rPr>
          <w:sz w:val="24"/>
          <w:szCs w:val="24"/>
        </w:rPr>
        <w:t xml:space="preserve"> з Європою» сприяла створенню, заявленої вище кількості ОТГ в Україні та   центрів надання  адміністративних  послуг (ЦНАП).</w:t>
      </w:r>
    </w:p>
    <w:p w:rsidR="00A55591" w:rsidRPr="001F7AE8" w:rsidRDefault="00A55591" w:rsidP="001F7AE8">
      <w:pPr>
        <w:ind w:firstLine="567"/>
        <w:jc w:val="both"/>
        <w:rPr>
          <w:sz w:val="24"/>
          <w:szCs w:val="24"/>
        </w:rPr>
      </w:pPr>
      <w:r w:rsidRPr="001F7AE8">
        <w:rPr>
          <w:sz w:val="24"/>
          <w:szCs w:val="24"/>
        </w:rPr>
        <w:t>Діяльність цих і інших аналогічних організацій в Україні є  прикладом  того як  держава передає функції з надання публічних послуг недержавним (комерційним і суспільним) організаціям, залишаючи за собою функції контролю і вироблення загальної стратегії. До прикладу, у Великій Британії налічується 31 тис. постачальників соціальних послуг для дорослих, з яких близько 70 % – недержавні або приватні постачальники соціальних послуг.</w:t>
      </w:r>
    </w:p>
    <w:p w:rsidR="00A55591" w:rsidRPr="001F7AE8" w:rsidRDefault="00A55591" w:rsidP="001F7AE8">
      <w:pPr>
        <w:ind w:firstLine="567"/>
        <w:jc w:val="both"/>
        <w:rPr>
          <w:sz w:val="24"/>
          <w:szCs w:val="24"/>
        </w:rPr>
      </w:pPr>
      <w:r w:rsidRPr="001F7AE8">
        <w:rPr>
          <w:sz w:val="24"/>
          <w:szCs w:val="24"/>
        </w:rPr>
        <w:t xml:space="preserve">Підтримку децентралізації та реформи місцевого самоврядування визнано одним з ключових пріоритетів стратегії співробітництва Швейцарії з Україною. Розпочатий у 2007 р. у партнерстві з Міністерством регіонального розвитку, будівництва та житлово-комунального господарства України Швейцарсько-Український проект «Підтримка децентралізації в Україні – DESPRO» було сконцентровано на започаткуванні ефективної моделі управління та участі громадян у процесах ухвалення рішень як обов’язкової складової сталого розвитку держави та демократизації суспільства. Окрім цього розуміючи, що важливим є також  виховання відповідальних і активних громадян в Україні, починаючи з 2014 року розпочато реалізацію іншого Швейцарсько-Українського проекту «Розвиток демократичних </w:t>
      </w:r>
      <w:proofErr w:type="spellStart"/>
      <w:r w:rsidRPr="001F7AE8">
        <w:rPr>
          <w:sz w:val="24"/>
          <w:szCs w:val="24"/>
        </w:rPr>
        <w:t>компетентностей</w:t>
      </w:r>
      <w:proofErr w:type="spellEnd"/>
      <w:r w:rsidRPr="001F7AE8">
        <w:rPr>
          <w:sz w:val="24"/>
          <w:szCs w:val="24"/>
        </w:rPr>
        <w:t xml:space="preserve"> в Україні» (</w:t>
      </w:r>
      <w:r w:rsidRPr="001F7AE8">
        <w:rPr>
          <w:sz w:val="24"/>
          <w:szCs w:val="24"/>
          <w:lang w:val="en-US"/>
        </w:rPr>
        <w:t>DOCCU</w:t>
      </w:r>
      <w:r w:rsidRPr="001F7AE8">
        <w:rPr>
          <w:sz w:val="24"/>
          <w:szCs w:val="24"/>
        </w:rPr>
        <w:t xml:space="preserve">).  Проект має загальнонаціональний масштаб та значення, здійснюється спільно Національною академією державного управління при Президентові України та Інститутом міжнародних проектів в освіті Цюріхського педагогічного університету. </w:t>
      </w:r>
    </w:p>
    <w:p w:rsidR="00A55591" w:rsidRPr="001F7AE8" w:rsidRDefault="00A55591" w:rsidP="001F7AE8">
      <w:pPr>
        <w:ind w:firstLine="567"/>
        <w:jc w:val="both"/>
        <w:rPr>
          <w:sz w:val="24"/>
          <w:szCs w:val="24"/>
        </w:rPr>
      </w:pPr>
      <w:r w:rsidRPr="001F7AE8">
        <w:rPr>
          <w:sz w:val="24"/>
          <w:szCs w:val="24"/>
        </w:rPr>
        <w:t xml:space="preserve">Таким чином, проведені дослідження переконують, що за  сучасних умов проходить зміна моделі державного управління та її  трансформація у  модель  публічного управління. Ці процеси є безповоротними і відносини  держави та громадянського суспільства у світі будуються </w:t>
      </w:r>
      <w:r w:rsidRPr="001F7AE8">
        <w:rPr>
          <w:rFonts w:eastAsia="Times New Roman"/>
          <w:sz w:val="24"/>
          <w:szCs w:val="24"/>
          <w:lang w:eastAsia="uk-UA"/>
        </w:rPr>
        <w:t>на засадах</w:t>
      </w:r>
      <w:r w:rsidRPr="001F7AE8">
        <w:rPr>
          <w:sz w:val="24"/>
          <w:szCs w:val="24"/>
        </w:rPr>
        <w:t xml:space="preserve">  публічності,  демократії. Це підтверджує світова практика та  результати впровадження публічного управління в Україні. </w:t>
      </w:r>
    </w:p>
    <w:p w:rsidR="00A55591" w:rsidRPr="001F7AE8" w:rsidRDefault="001F7AE8" w:rsidP="001F7AE8">
      <w:pPr>
        <w:ind w:firstLine="567"/>
        <w:jc w:val="center"/>
        <w:rPr>
          <w:sz w:val="24"/>
          <w:szCs w:val="24"/>
        </w:rPr>
      </w:pPr>
      <w:r>
        <w:rPr>
          <w:sz w:val="24"/>
          <w:szCs w:val="24"/>
        </w:rPr>
        <w:t>Література:</w:t>
      </w:r>
    </w:p>
    <w:p w:rsidR="00A55591" w:rsidRPr="001F7AE8" w:rsidRDefault="001F7AE8" w:rsidP="001F7AE8">
      <w:pPr>
        <w:ind w:firstLine="567"/>
        <w:jc w:val="both"/>
        <w:rPr>
          <w:sz w:val="24"/>
          <w:szCs w:val="24"/>
        </w:rPr>
      </w:pPr>
      <w:r>
        <w:rPr>
          <w:sz w:val="24"/>
          <w:szCs w:val="24"/>
        </w:rPr>
        <w:t>1</w:t>
      </w:r>
      <w:r w:rsidR="00A55591" w:rsidRPr="001F7AE8">
        <w:rPr>
          <w:sz w:val="24"/>
          <w:szCs w:val="24"/>
        </w:rPr>
        <w:t xml:space="preserve">. Зарубіжний досвід публічного адміністрування: метод. </w:t>
      </w:r>
      <w:proofErr w:type="spellStart"/>
      <w:r w:rsidR="00A55591" w:rsidRPr="001F7AE8">
        <w:rPr>
          <w:sz w:val="24"/>
          <w:szCs w:val="24"/>
        </w:rPr>
        <w:t>рек</w:t>
      </w:r>
      <w:proofErr w:type="spellEnd"/>
      <w:r w:rsidR="00A55591" w:rsidRPr="001F7AE8">
        <w:rPr>
          <w:sz w:val="24"/>
          <w:szCs w:val="24"/>
        </w:rPr>
        <w:t xml:space="preserve">. / </w:t>
      </w:r>
      <w:proofErr w:type="spellStart"/>
      <w:r w:rsidR="00A55591" w:rsidRPr="001F7AE8">
        <w:rPr>
          <w:sz w:val="24"/>
          <w:szCs w:val="24"/>
        </w:rPr>
        <w:t>авт</w:t>
      </w:r>
      <w:proofErr w:type="spellEnd"/>
      <w:r w:rsidR="00A55591" w:rsidRPr="001F7AE8">
        <w:rPr>
          <w:sz w:val="24"/>
          <w:szCs w:val="24"/>
        </w:rPr>
        <w:t xml:space="preserve">. </w:t>
      </w:r>
      <w:proofErr w:type="spellStart"/>
      <w:r w:rsidR="00A55591" w:rsidRPr="001F7AE8">
        <w:rPr>
          <w:sz w:val="24"/>
          <w:szCs w:val="24"/>
        </w:rPr>
        <w:t>кол</w:t>
      </w:r>
      <w:proofErr w:type="spellEnd"/>
      <w:r w:rsidR="00A55591" w:rsidRPr="001F7AE8">
        <w:rPr>
          <w:sz w:val="24"/>
          <w:szCs w:val="24"/>
        </w:rPr>
        <w:t xml:space="preserve">. : Н. М. </w:t>
      </w:r>
      <w:proofErr w:type="spellStart"/>
      <w:r w:rsidR="00A55591" w:rsidRPr="001F7AE8">
        <w:rPr>
          <w:sz w:val="24"/>
          <w:szCs w:val="24"/>
        </w:rPr>
        <w:t>Мельтюхова</w:t>
      </w:r>
      <w:proofErr w:type="spellEnd"/>
      <w:r w:rsidR="00A55591" w:rsidRPr="001F7AE8">
        <w:rPr>
          <w:sz w:val="24"/>
          <w:szCs w:val="24"/>
        </w:rPr>
        <w:t xml:space="preserve">, В. В. </w:t>
      </w:r>
      <w:proofErr w:type="spellStart"/>
      <w:r w:rsidR="00A55591" w:rsidRPr="001F7AE8">
        <w:rPr>
          <w:sz w:val="24"/>
          <w:szCs w:val="24"/>
        </w:rPr>
        <w:t>Корженко</w:t>
      </w:r>
      <w:proofErr w:type="spellEnd"/>
      <w:r w:rsidR="00A55591" w:rsidRPr="001F7AE8">
        <w:rPr>
          <w:sz w:val="24"/>
          <w:szCs w:val="24"/>
        </w:rPr>
        <w:t xml:space="preserve">, Ю. В. Дідок та ін. ; за </w:t>
      </w:r>
      <w:proofErr w:type="spellStart"/>
      <w:r w:rsidR="00A55591" w:rsidRPr="001F7AE8">
        <w:rPr>
          <w:sz w:val="24"/>
          <w:szCs w:val="24"/>
        </w:rPr>
        <w:t>заг</w:t>
      </w:r>
      <w:proofErr w:type="spellEnd"/>
      <w:r w:rsidR="00A55591" w:rsidRPr="001F7AE8">
        <w:rPr>
          <w:sz w:val="24"/>
          <w:szCs w:val="24"/>
        </w:rPr>
        <w:t xml:space="preserve">. ред. Н. М. </w:t>
      </w:r>
      <w:proofErr w:type="spellStart"/>
      <w:r w:rsidR="00A55591" w:rsidRPr="001F7AE8">
        <w:rPr>
          <w:sz w:val="24"/>
          <w:szCs w:val="24"/>
        </w:rPr>
        <w:t>Мельтюхової</w:t>
      </w:r>
      <w:proofErr w:type="spellEnd"/>
      <w:r w:rsidR="00A55591" w:rsidRPr="001F7AE8">
        <w:rPr>
          <w:sz w:val="24"/>
          <w:szCs w:val="24"/>
        </w:rPr>
        <w:t xml:space="preserve">. – К. : НАДУ, 2010. – 28 с. </w:t>
      </w:r>
    </w:p>
    <w:p w:rsidR="00A55591" w:rsidRPr="001F7AE8" w:rsidRDefault="001F7AE8" w:rsidP="001F7AE8">
      <w:pPr>
        <w:ind w:firstLine="567"/>
        <w:jc w:val="both"/>
        <w:rPr>
          <w:sz w:val="24"/>
          <w:szCs w:val="24"/>
        </w:rPr>
      </w:pPr>
      <w:r>
        <w:rPr>
          <w:sz w:val="24"/>
          <w:szCs w:val="24"/>
        </w:rPr>
        <w:t>2</w:t>
      </w:r>
      <w:r w:rsidR="00A55591" w:rsidRPr="001F7AE8">
        <w:rPr>
          <w:sz w:val="24"/>
          <w:szCs w:val="24"/>
        </w:rPr>
        <w:t xml:space="preserve">.  Оцінка фінансової спроможності 366 ОТГ за І півріччя 2017 року. Група фінансового моніторингу Центрального офісу реформ при </w:t>
      </w:r>
      <w:proofErr w:type="spellStart"/>
      <w:r w:rsidR="00A55591" w:rsidRPr="001F7AE8">
        <w:rPr>
          <w:sz w:val="24"/>
          <w:szCs w:val="24"/>
        </w:rPr>
        <w:t>Мінрегіоні</w:t>
      </w:r>
      <w:proofErr w:type="spellEnd"/>
      <w:r w:rsidR="00A55591" w:rsidRPr="001F7AE8">
        <w:rPr>
          <w:sz w:val="24"/>
          <w:szCs w:val="24"/>
        </w:rPr>
        <w:t xml:space="preserve"> [Електронний ресурс]. – Режим доступу: </w:t>
      </w:r>
      <w:hyperlink r:id="rId5" w:history="1">
        <w:r w:rsidR="00A55591" w:rsidRPr="001F7AE8">
          <w:rPr>
            <w:sz w:val="24"/>
            <w:szCs w:val="24"/>
          </w:rPr>
          <w:t>http://www.minregion.gov.ua/wp-content/uploads/2017/07/Otsinka-fin-spromozhn-366-OTG-vlasni.pdf</w:t>
        </w:r>
      </w:hyperlink>
    </w:p>
    <w:p w:rsidR="00FC7981" w:rsidRPr="001F7AE8" w:rsidRDefault="00FC7981" w:rsidP="001F7AE8">
      <w:pPr>
        <w:ind w:firstLine="567"/>
        <w:rPr>
          <w:sz w:val="24"/>
          <w:szCs w:val="24"/>
        </w:rPr>
      </w:pPr>
    </w:p>
    <w:sectPr w:rsidR="00FC7981" w:rsidRPr="001F7AE8" w:rsidSect="001F7AE8">
      <w:pgSz w:w="11906" w:h="16838"/>
      <w:pgMar w:top="1134" w:right="567"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5591"/>
    <w:rsid w:val="000145A0"/>
    <w:rsid w:val="001A79C3"/>
    <w:rsid w:val="001F7AE8"/>
    <w:rsid w:val="002F67A2"/>
    <w:rsid w:val="005F129B"/>
    <w:rsid w:val="008033F1"/>
    <w:rsid w:val="00811277"/>
    <w:rsid w:val="00A55591"/>
    <w:rsid w:val="00B22E2B"/>
    <w:rsid w:val="00F86599"/>
    <w:rsid w:val="00FC798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5591"/>
    <w:pPr>
      <w:widowControl w:val="0"/>
      <w:autoSpaceDE w:val="0"/>
      <w:autoSpaceDN w:val="0"/>
      <w:adjustRightInd w:val="0"/>
      <w:spacing w:line="240" w:lineRule="auto"/>
    </w:pPr>
    <w:rPr>
      <w:rFonts w:ascii="Times New Roman" w:eastAsia="Calibri" w:hAnsi="Times New Roman" w:cs="Times New Roman"/>
      <w:sz w:val="20"/>
      <w:szCs w:val="20"/>
      <w:lang w:eastAsia="ru-RU"/>
    </w:rPr>
  </w:style>
  <w:style w:type="paragraph" w:styleId="1">
    <w:name w:val="heading 1"/>
    <w:basedOn w:val="a"/>
    <w:next w:val="a"/>
    <w:link w:val="10"/>
    <w:uiPriority w:val="9"/>
    <w:qFormat/>
    <w:rsid w:val="005F129B"/>
    <w:pPr>
      <w:keepNext/>
      <w:widowControl/>
      <w:autoSpaceDE/>
      <w:autoSpaceDN/>
      <w:adjustRightInd/>
      <w:spacing w:before="240" w:after="60" w:line="312" w:lineRule="auto"/>
      <w:ind w:firstLine="709"/>
      <w:jc w:val="both"/>
      <w:outlineLvl w:val="0"/>
    </w:pPr>
    <w:rPr>
      <w:rFonts w:ascii="Cambria" w:eastAsia="Times New Roman" w:hAnsi="Cambria"/>
      <w:b/>
      <w:bCs/>
      <w:kern w:val="32"/>
      <w:sz w:val="32"/>
      <w:szCs w:val="32"/>
      <w:lang w:eastAsia="en-US"/>
    </w:rPr>
  </w:style>
  <w:style w:type="paragraph" w:styleId="2">
    <w:name w:val="heading 2"/>
    <w:basedOn w:val="a"/>
    <w:next w:val="a"/>
    <w:link w:val="20"/>
    <w:qFormat/>
    <w:rsid w:val="005F129B"/>
    <w:pPr>
      <w:keepNext/>
      <w:widowControl/>
      <w:autoSpaceDE/>
      <w:autoSpaceDN/>
      <w:adjustRightInd/>
      <w:spacing w:before="240" w:after="60" w:line="312" w:lineRule="auto"/>
      <w:ind w:firstLine="709"/>
      <w:jc w:val="both"/>
      <w:outlineLvl w:val="1"/>
    </w:pPr>
    <w:rPr>
      <w:rFonts w:ascii="Arial" w:hAnsi="Arial" w:cs="Arial"/>
      <w:b/>
      <w:bCs/>
      <w:i/>
      <w:iCs/>
      <w:sz w:val="28"/>
      <w:szCs w:val="28"/>
      <w:lang w:eastAsia="en-US"/>
    </w:rPr>
  </w:style>
  <w:style w:type="paragraph" w:styleId="9">
    <w:name w:val="heading 9"/>
    <w:basedOn w:val="a"/>
    <w:next w:val="a"/>
    <w:link w:val="90"/>
    <w:qFormat/>
    <w:rsid w:val="005F129B"/>
    <w:pPr>
      <w:widowControl/>
      <w:autoSpaceDE/>
      <w:autoSpaceDN/>
      <w:adjustRightInd/>
      <w:spacing w:before="240" w:after="60" w:line="312" w:lineRule="auto"/>
      <w:ind w:firstLine="709"/>
      <w:jc w:val="both"/>
      <w:outlineLvl w:val="8"/>
    </w:pPr>
    <w:rPr>
      <w:rFonts w:ascii="Arial" w:hAnsi="Arial" w:cs="Arial"/>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F129B"/>
    <w:rPr>
      <w:rFonts w:ascii="Cambria" w:eastAsia="Times New Roman" w:hAnsi="Cambria" w:cs="Times New Roman"/>
      <w:b/>
      <w:bCs/>
      <w:kern w:val="32"/>
      <w:sz w:val="32"/>
      <w:szCs w:val="32"/>
    </w:rPr>
  </w:style>
  <w:style w:type="character" w:customStyle="1" w:styleId="20">
    <w:name w:val="Заголовок 2 Знак"/>
    <w:basedOn w:val="a0"/>
    <w:link w:val="2"/>
    <w:rsid w:val="005F129B"/>
    <w:rPr>
      <w:rFonts w:ascii="Arial" w:eastAsia="Calibri" w:hAnsi="Arial" w:cs="Arial"/>
      <w:b/>
      <w:bCs/>
      <w:i/>
      <w:iCs/>
      <w:sz w:val="28"/>
      <w:szCs w:val="28"/>
    </w:rPr>
  </w:style>
  <w:style w:type="character" w:customStyle="1" w:styleId="90">
    <w:name w:val="Заголовок 9 Знак"/>
    <w:basedOn w:val="a0"/>
    <w:link w:val="9"/>
    <w:rsid w:val="005F129B"/>
    <w:rPr>
      <w:rFonts w:ascii="Arial" w:eastAsia="Calibri" w:hAnsi="Arial" w:cs="Arial"/>
    </w:rPr>
  </w:style>
  <w:style w:type="character" w:styleId="a3">
    <w:name w:val="Strong"/>
    <w:uiPriority w:val="22"/>
    <w:qFormat/>
    <w:rsid w:val="005F129B"/>
    <w:rPr>
      <w:b/>
      <w:bCs/>
    </w:rPr>
  </w:style>
  <w:style w:type="paragraph" w:styleId="a4">
    <w:name w:val="List Paragraph"/>
    <w:basedOn w:val="a"/>
    <w:uiPriority w:val="34"/>
    <w:qFormat/>
    <w:rsid w:val="005F129B"/>
    <w:pPr>
      <w:widowControl/>
      <w:autoSpaceDE/>
      <w:autoSpaceDN/>
      <w:adjustRightInd/>
      <w:spacing w:after="200" w:line="276" w:lineRule="auto"/>
      <w:ind w:left="720"/>
      <w:contextualSpacing/>
    </w:pPr>
    <w:rPr>
      <w:rFonts w:ascii="Calibri" w:eastAsia="Times New Roman" w:hAnsi="Calibri"/>
      <w:sz w:val="22"/>
      <w:szCs w:val="22"/>
    </w:rPr>
  </w:style>
  <w:style w:type="paragraph" w:styleId="a5">
    <w:name w:val="Normal (Web)"/>
    <w:basedOn w:val="a"/>
    <w:uiPriority w:val="99"/>
    <w:unhideWhenUsed/>
    <w:rsid w:val="00A55591"/>
    <w:pPr>
      <w:widowControl/>
      <w:autoSpaceDE/>
      <w:autoSpaceDN/>
      <w:adjustRightInd/>
      <w:spacing w:before="100" w:beforeAutospacing="1" w:after="100" w:afterAutospacing="1"/>
    </w:pPr>
    <w:rPr>
      <w:rFonts w:eastAsia="Times New Roman"/>
      <w:sz w:val="24"/>
      <w:szCs w:val="24"/>
      <w:lang w:eastAsia="uk-UA"/>
    </w:rPr>
  </w:style>
  <w:style w:type="character" w:customStyle="1" w:styleId="tgc">
    <w:name w:val="_tgc"/>
    <w:basedOn w:val="a0"/>
    <w:rsid w:val="00A555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5591"/>
    <w:pPr>
      <w:widowControl w:val="0"/>
      <w:autoSpaceDE w:val="0"/>
      <w:autoSpaceDN w:val="0"/>
      <w:adjustRightInd w:val="0"/>
      <w:spacing w:line="240" w:lineRule="auto"/>
    </w:pPr>
    <w:rPr>
      <w:rFonts w:ascii="Times New Roman" w:eastAsia="Calibri" w:hAnsi="Times New Roman" w:cs="Times New Roman"/>
      <w:sz w:val="20"/>
      <w:szCs w:val="20"/>
      <w:lang w:eastAsia="ru-RU"/>
    </w:rPr>
  </w:style>
  <w:style w:type="paragraph" w:styleId="1">
    <w:name w:val="heading 1"/>
    <w:basedOn w:val="a"/>
    <w:next w:val="a"/>
    <w:link w:val="10"/>
    <w:uiPriority w:val="9"/>
    <w:qFormat/>
    <w:rsid w:val="005F129B"/>
    <w:pPr>
      <w:keepNext/>
      <w:widowControl/>
      <w:autoSpaceDE/>
      <w:autoSpaceDN/>
      <w:adjustRightInd/>
      <w:spacing w:before="240" w:after="60" w:line="312" w:lineRule="auto"/>
      <w:ind w:firstLine="709"/>
      <w:jc w:val="both"/>
      <w:outlineLvl w:val="0"/>
    </w:pPr>
    <w:rPr>
      <w:rFonts w:ascii="Cambria" w:eastAsia="Times New Roman" w:hAnsi="Cambria"/>
      <w:b/>
      <w:bCs/>
      <w:kern w:val="32"/>
      <w:sz w:val="32"/>
      <w:szCs w:val="32"/>
      <w:lang w:eastAsia="en-US"/>
    </w:rPr>
  </w:style>
  <w:style w:type="paragraph" w:styleId="2">
    <w:name w:val="heading 2"/>
    <w:basedOn w:val="a"/>
    <w:next w:val="a"/>
    <w:link w:val="20"/>
    <w:qFormat/>
    <w:rsid w:val="005F129B"/>
    <w:pPr>
      <w:keepNext/>
      <w:widowControl/>
      <w:autoSpaceDE/>
      <w:autoSpaceDN/>
      <w:adjustRightInd/>
      <w:spacing w:before="240" w:after="60" w:line="312" w:lineRule="auto"/>
      <w:ind w:firstLine="709"/>
      <w:jc w:val="both"/>
      <w:outlineLvl w:val="1"/>
    </w:pPr>
    <w:rPr>
      <w:rFonts w:ascii="Arial" w:hAnsi="Arial" w:cs="Arial"/>
      <w:b/>
      <w:bCs/>
      <w:i/>
      <w:iCs/>
      <w:sz w:val="28"/>
      <w:szCs w:val="28"/>
      <w:lang w:eastAsia="en-US"/>
    </w:rPr>
  </w:style>
  <w:style w:type="paragraph" w:styleId="9">
    <w:name w:val="heading 9"/>
    <w:basedOn w:val="a"/>
    <w:next w:val="a"/>
    <w:link w:val="90"/>
    <w:qFormat/>
    <w:rsid w:val="005F129B"/>
    <w:pPr>
      <w:widowControl/>
      <w:autoSpaceDE/>
      <w:autoSpaceDN/>
      <w:adjustRightInd/>
      <w:spacing w:before="240" w:after="60" w:line="312" w:lineRule="auto"/>
      <w:ind w:firstLine="709"/>
      <w:jc w:val="both"/>
      <w:outlineLvl w:val="8"/>
    </w:pPr>
    <w:rPr>
      <w:rFonts w:ascii="Arial" w:hAnsi="Arial" w:cs="Arial"/>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F129B"/>
    <w:rPr>
      <w:rFonts w:ascii="Cambria" w:eastAsia="Times New Roman" w:hAnsi="Cambria" w:cs="Times New Roman"/>
      <w:b/>
      <w:bCs/>
      <w:kern w:val="32"/>
      <w:sz w:val="32"/>
      <w:szCs w:val="32"/>
    </w:rPr>
  </w:style>
  <w:style w:type="character" w:customStyle="1" w:styleId="20">
    <w:name w:val="Заголовок 2 Знак"/>
    <w:basedOn w:val="a0"/>
    <w:link w:val="2"/>
    <w:rsid w:val="005F129B"/>
    <w:rPr>
      <w:rFonts w:ascii="Arial" w:eastAsia="Calibri" w:hAnsi="Arial" w:cs="Arial"/>
      <w:b/>
      <w:bCs/>
      <w:i/>
      <w:iCs/>
      <w:sz w:val="28"/>
      <w:szCs w:val="28"/>
    </w:rPr>
  </w:style>
  <w:style w:type="character" w:customStyle="1" w:styleId="90">
    <w:name w:val="Заголовок 9 Знак"/>
    <w:basedOn w:val="a0"/>
    <w:link w:val="9"/>
    <w:rsid w:val="005F129B"/>
    <w:rPr>
      <w:rFonts w:ascii="Arial" w:eastAsia="Calibri" w:hAnsi="Arial" w:cs="Arial"/>
    </w:rPr>
  </w:style>
  <w:style w:type="character" w:styleId="a3">
    <w:name w:val="Strong"/>
    <w:uiPriority w:val="22"/>
    <w:qFormat/>
    <w:rsid w:val="005F129B"/>
    <w:rPr>
      <w:b/>
      <w:bCs/>
    </w:rPr>
  </w:style>
  <w:style w:type="paragraph" w:styleId="a4">
    <w:name w:val="List Paragraph"/>
    <w:basedOn w:val="a"/>
    <w:uiPriority w:val="34"/>
    <w:qFormat/>
    <w:rsid w:val="005F129B"/>
    <w:pPr>
      <w:widowControl/>
      <w:autoSpaceDE/>
      <w:autoSpaceDN/>
      <w:adjustRightInd/>
      <w:spacing w:after="200" w:line="276" w:lineRule="auto"/>
      <w:ind w:left="720"/>
      <w:contextualSpacing/>
    </w:pPr>
    <w:rPr>
      <w:rFonts w:ascii="Calibri" w:eastAsia="Times New Roman" w:hAnsi="Calibri"/>
      <w:sz w:val="22"/>
      <w:szCs w:val="22"/>
    </w:rPr>
  </w:style>
  <w:style w:type="paragraph" w:styleId="a5">
    <w:name w:val="Normal (Web)"/>
    <w:basedOn w:val="a"/>
    <w:uiPriority w:val="99"/>
    <w:unhideWhenUsed/>
    <w:rsid w:val="00A55591"/>
    <w:pPr>
      <w:widowControl/>
      <w:autoSpaceDE/>
      <w:autoSpaceDN/>
      <w:adjustRightInd/>
      <w:spacing w:before="100" w:beforeAutospacing="1" w:after="100" w:afterAutospacing="1"/>
    </w:pPr>
    <w:rPr>
      <w:rFonts w:eastAsia="Times New Roman"/>
      <w:sz w:val="24"/>
      <w:szCs w:val="24"/>
      <w:lang w:eastAsia="uk-UA"/>
    </w:rPr>
  </w:style>
  <w:style w:type="character" w:customStyle="1" w:styleId="tgc">
    <w:name w:val="_tgc"/>
    <w:basedOn w:val="a0"/>
    <w:rsid w:val="00A555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minregion.gov.ua/wp-content/uploads/2017/07/Otsinka-fin-spromozhn-366-OTG-vlasni.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5165</Words>
  <Characters>2945</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2</cp:revision>
  <dcterms:created xsi:type="dcterms:W3CDTF">2018-03-02T10:43:00Z</dcterms:created>
  <dcterms:modified xsi:type="dcterms:W3CDTF">2018-03-02T10:43:00Z</dcterms:modified>
</cp:coreProperties>
</file>