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4B4A" w:rsidRDefault="007D4B4A" w:rsidP="00D456B4">
      <w:pPr>
        <w:spacing w:line="36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Коваль І.В.</w:t>
      </w:r>
    </w:p>
    <w:p w:rsidR="007D4B4A" w:rsidRPr="0031775D" w:rsidRDefault="0031775D" w:rsidP="00D456B4">
      <w:pPr>
        <w:spacing w:line="360" w:lineRule="auto"/>
        <w:ind w:firstLine="567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31775D">
        <w:rPr>
          <w:rFonts w:ascii="Times New Roman" w:hAnsi="Times New Roman" w:cs="Times New Roman"/>
          <w:b/>
          <w:i/>
          <w:sz w:val="28"/>
          <w:szCs w:val="28"/>
        </w:rPr>
        <w:t>к</w:t>
      </w:r>
      <w:r w:rsidR="007D4B4A" w:rsidRPr="0031775D">
        <w:rPr>
          <w:rFonts w:ascii="Times New Roman" w:hAnsi="Times New Roman" w:cs="Times New Roman"/>
          <w:b/>
          <w:i/>
          <w:sz w:val="28"/>
          <w:szCs w:val="28"/>
        </w:rPr>
        <w:t>андидат психологічних наук</w:t>
      </w:r>
      <w:r w:rsidRPr="0031775D">
        <w:rPr>
          <w:rFonts w:ascii="Times New Roman" w:hAnsi="Times New Roman" w:cs="Times New Roman"/>
          <w:b/>
          <w:i/>
          <w:sz w:val="28"/>
          <w:szCs w:val="28"/>
        </w:rPr>
        <w:t xml:space="preserve">, доцент </w:t>
      </w:r>
    </w:p>
    <w:p w:rsidR="0031775D" w:rsidRDefault="0031775D" w:rsidP="00D456B4">
      <w:pPr>
        <w:spacing w:line="360" w:lineRule="auto"/>
        <w:ind w:firstLine="567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31775D">
        <w:rPr>
          <w:rFonts w:ascii="Times New Roman" w:hAnsi="Times New Roman" w:cs="Times New Roman"/>
          <w:b/>
          <w:i/>
          <w:sz w:val="28"/>
          <w:szCs w:val="28"/>
        </w:rPr>
        <w:t>кафедри практики іноземної мови та методики викладання</w:t>
      </w:r>
    </w:p>
    <w:p w:rsidR="0031775D" w:rsidRDefault="0031775D" w:rsidP="00D456B4">
      <w:pPr>
        <w:spacing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Хмельницький національний університет</w:t>
      </w:r>
    </w:p>
    <w:p w:rsidR="0031775D" w:rsidRPr="0031775D" w:rsidRDefault="0031775D" w:rsidP="00D456B4">
      <w:pPr>
        <w:spacing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м.Хмельницький, Україна</w:t>
      </w:r>
    </w:p>
    <w:p w:rsidR="009A09E7" w:rsidRPr="009A09E7" w:rsidRDefault="009A09E7" w:rsidP="009A09E7">
      <w:pPr>
        <w:spacing w:after="24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A09E7">
        <w:rPr>
          <w:rFonts w:ascii="Times New Roman" w:hAnsi="Times New Roman" w:cs="Times New Roman"/>
          <w:b/>
          <w:sz w:val="28"/>
          <w:szCs w:val="28"/>
        </w:rPr>
        <w:t>ОСОБЛИВОСТІ ФОРМУВАННЯ ІНДИВІДУАЛЬНИХ СТИЛІВ НАВЧАЛЬНО-ПІЗНАВАЛЬНОЇ ДІЯЛЬНОСТІ СТУДЕНТІВ</w:t>
      </w:r>
    </w:p>
    <w:p w:rsidR="00BF165D" w:rsidRDefault="00BF165D" w:rsidP="00D456B4">
      <w:pPr>
        <w:spacing w:after="24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Аналіз психолого-педагогічних резервів підвищення ефективності групової спільної навчально-пізнавальної діяльності з вивчення іноземної мови на неспеціальних факультетах вузів був проведений Т.Б. Тихоновою, яка в ході впровадження лінгвістичних та рольових ігор продемонструвала можливість зміщення мети навчання з фактів мови як науки на її функції (мовлення, аудіювання, читання, письмо). З урахуванням індивідуальних особливостей не тільки кожного члена групи, але й групи в цілому як сукупного суб</w:t>
      </w:r>
      <w:r w:rsidRPr="00D456B4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єкта були виявлені особливості формування індивідуальних стилів навчально-пізнавальної діяльності студентів.</w:t>
      </w:r>
    </w:p>
    <w:p w:rsidR="00FA7DF0" w:rsidRDefault="00CC2810" w:rsidP="00D456B4">
      <w:pPr>
        <w:spacing w:after="24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FA7DF0">
        <w:rPr>
          <w:rFonts w:ascii="Times New Roman" w:hAnsi="Times New Roman" w:cs="Times New Roman"/>
          <w:sz w:val="28"/>
          <w:szCs w:val="28"/>
        </w:rPr>
        <w:t>Низкою вчених підкреслюється важливість формування стратегій оволодіння іноземною мовою у навчальній діяльності, коли свій вибір студенти можуть зупинити абсолютно на різних її видах. У дослідженнях Майкла О</w:t>
      </w:r>
      <w:r w:rsidR="00FA7DF0" w:rsidRPr="00D456B4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 w:rsidR="00FA7DF0">
        <w:rPr>
          <w:rFonts w:ascii="Times New Roman" w:hAnsi="Times New Roman" w:cs="Times New Roman"/>
          <w:sz w:val="28"/>
          <w:szCs w:val="28"/>
        </w:rPr>
        <w:t>Мейлі</w:t>
      </w:r>
      <w:proofErr w:type="spellEnd"/>
      <w:r w:rsidR="00FA7DF0">
        <w:rPr>
          <w:rFonts w:ascii="Times New Roman" w:hAnsi="Times New Roman" w:cs="Times New Roman"/>
          <w:sz w:val="28"/>
          <w:szCs w:val="28"/>
        </w:rPr>
        <w:t xml:space="preserve"> розглядається 24 стратегії, які можна розділити на три великі групи:</w:t>
      </w:r>
    </w:p>
    <w:p w:rsidR="00FA7DF0" w:rsidRDefault="00FA7DF0" w:rsidP="00D456B4">
      <w:pPr>
        <w:pStyle w:val="a3"/>
        <w:numPr>
          <w:ilvl w:val="0"/>
          <w:numId w:val="1"/>
        </w:numPr>
        <w:spacing w:after="24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металокогнітивні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стратегії, які включають попереднє планування навчання, усвідомлення процесу навчання, оцінку результатів та ін.;</w:t>
      </w:r>
    </w:p>
    <w:p w:rsidR="009A09E7" w:rsidRDefault="00FA7DF0" w:rsidP="007A3886">
      <w:pPr>
        <w:pStyle w:val="a3"/>
        <w:numPr>
          <w:ilvl w:val="0"/>
          <w:numId w:val="1"/>
        </w:numPr>
        <w:spacing w:after="24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9A09E7">
        <w:rPr>
          <w:rFonts w:ascii="Times New Roman" w:hAnsi="Times New Roman" w:cs="Times New Roman"/>
          <w:sz w:val="28"/>
          <w:szCs w:val="28"/>
        </w:rPr>
        <w:t xml:space="preserve">когнітивні стратегії, пов’язані безпосередньо з оперуванням навчальним матеріалом (повторення, групування, дедукція, </w:t>
      </w:r>
      <w:bookmarkStart w:id="0" w:name="_GoBack"/>
      <w:r w:rsidRPr="009A09E7">
        <w:rPr>
          <w:rFonts w:ascii="Times New Roman" w:hAnsi="Times New Roman" w:cs="Times New Roman"/>
          <w:sz w:val="28"/>
          <w:szCs w:val="28"/>
        </w:rPr>
        <w:t>конспектування, запам’ятовування ключових слів та ін.);</w:t>
      </w:r>
    </w:p>
    <w:bookmarkEnd w:id="0"/>
    <w:p w:rsidR="00FA7DF0" w:rsidRPr="009A09E7" w:rsidRDefault="00FA7DF0" w:rsidP="007A3886">
      <w:pPr>
        <w:pStyle w:val="a3"/>
        <w:numPr>
          <w:ilvl w:val="0"/>
          <w:numId w:val="1"/>
        </w:numPr>
        <w:spacing w:after="24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9A09E7">
        <w:rPr>
          <w:rFonts w:ascii="Times New Roman" w:hAnsi="Times New Roman" w:cs="Times New Roman"/>
          <w:sz w:val="28"/>
          <w:szCs w:val="28"/>
        </w:rPr>
        <w:lastRenderedPageBreak/>
        <w:t>соціоафективні</w:t>
      </w:r>
      <w:proofErr w:type="spellEnd"/>
      <w:r w:rsidRPr="009A09E7">
        <w:rPr>
          <w:rFonts w:ascii="Times New Roman" w:hAnsi="Times New Roman" w:cs="Times New Roman"/>
          <w:sz w:val="28"/>
          <w:szCs w:val="28"/>
        </w:rPr>
        <w:t xml:space="preserve"> стратегії, що передбачають співробітництво, а також компенсаторні стратегії</w:t>
      </w:r>
      <w:r w:rsidR="00CC2810" w:rsidRPr="009A09E7">
        <w:rPr>
          <w:rFonts w:ascii="Times New Roman" w:hAnsi="Times New Roman" w:cs="Times New Roman"/>
          <w:sz w:val="28"/>
          <w:szCs w:val="28"/>
        </w:rPr>
        <w:t xml:space="preserve"> з’ясування незрозумілого (перепитування, парафраз, приклади та ін.).</w:t>
      </w:r>
    </w:p>
    <w:p w:rsidR="00CC2810" w:rsidRDefault="00CC2810" w:rsidP="00D456B4">
      <w:pPr>
        <w:spacing w:after="24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Надання переваг тій або іншій стратегії є індивідуально обумовленим. Педагогами КНР та США у спільно розробленому дослідженні було показано, що процес розвитку стратегій та їх застосування опосередкований особистісним «</w:t>
      </w:r>
      <w:proofErr w:type="spellStart"/>
      <w:r>
        <w:rPr>
          <w:rFonts w:ascii="Times New Roman" w:hAnsi="Times New Roman" w:cs="Times New Roman"/>
          <w:sz w:val="28"/>
          <w:szCs w:val="28"/>
        </w:rPr>
        <w:t>мисленнєвим</w:t>
      </w:r>
      <w:proofErr w:type="spellEnd"/>
      <w:r>
        <w:rPr>
          <w:rFonts w:ascii="Times New Roman" w:hAnsi="Times New Roman" w:cs="Times New Roman"/>
          <w:sz w:val="28"/>
          <w:szCs w:val="28"/>
        </w:rPr>
        <w:t>» стилем суб</w:t>
      </w:r>
      <w:r w:rsidRPr="00D456B4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єктів навчання, яке відображає їх сприйняття, артефакти культури та взаємодію з викладачами, одногрупниками, родичами, тобто визначається соціальною культурою.</w:t>
      </w:r>
    </w:p>
    <w:p w:rsidR="00CC2810" w:rsidRDefault="00CC2810" w:rsidP="00D456B4">
      <w:pPr>
        <w:spacing w:after="24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Психологами було також виявлено два основних види стратегій у кожному виді мовленнєвої діяльності: «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серіальна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 і «глобальна». Зазначається, що види стратегій рецептивних і продуктивних видів мовленнєвої діяльності подібні, що пояснюється Н.М. </w:t>
      </w:r>
      <w:proofErr w:type="spellStart"/>
      <w:r>
        <w:rPr>
          <w:rFonts w:ascii="Times New Roman" w:hAnsi="Times New Roman" w:cs="Times New Roman"/>
          <w:sz w:val="28"/>
          <w:szCs w:val="28"/>
        </w:rPr>
        <w:t>Федорончук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іншими психологами спільністю даних мовленнєвих процесів, яка проявляється в їхньому предметному змісті та структурній організації.</w:t>
      </w:r>
    </w:p>
    <w:p w:rsidR="00CC2810" w:rsidRDefault="00CC2810" w:rsidP="00D456B4">
      <w:pPr>
        <w:spacing w:after="24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Студенти, які досягають кращих результатів, використовують «глобальну» стратегію, що включає прийоми смислового і вербального прогнозування. Студенти, показники рівня досягнень яких нижче, віддають перевагу «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серіальній</w:t>
      </w:r>
      <w:proofErr w:type="spellEnd"/>
      <w:r>
        <w:rPr>
          <w:rFonts w:ascii="Times New Roman" w:hAnsi="Times New Roman" w:cs="Times New Roman"/>
          <w:sz w:val="28"/>
          <w:szCs w:val="28"/>
        </w:rPr>
        <w:t>» стратегії, що полягає у просуванні</w:t>
      </w:r>
      <w:r w:rsidR="00307DE6">
        <w:rPr>
          <w:rFonts w:ascii="Times New Roman" w:hAnsi="Times New Roman" w:cs="Times New Roman"/>
          <w:sz w:val="28"/>
          <w:szCs w:val="28"/>
        </w:rPr>
        <w:t xml:space="preserve"> від установлення часткових деталей і значення окремих слів до визначення глобального значення, загального змісту висловлення.</w:t>
      </w:r>
    </w:p>
    <w:p w:rsidR="00307DE6" w:rsidRDefault="00307DE6" w:rsidP="00D456B4">
      <w:pPr>
        <w:spacing w:after="24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Функції стратегій у навчанні проявляються через здійснення студентами раціонального розподілу пізнавальних зусиль і своєчасної активізації мовних і фонових знань у ході вирішення навчально-мовленнєвих завдань, а також в усвідомленні студентами своїх пізнавальних можливостей, які, за результатами впровадження спеціально розроблених навчальних програм, зростають у навчальній діяльності, у відчутті суб</w:t>
      </w:r>
      <w:r w:rsidRPr="00D456B4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єктивної впевненості у досягненні успіху, у побудові позитивного образу себе як </w:t>
      </w:r>
      <w:r>
        <w:rPr>
          <w:rFonts w:ascii="Times New Roman" w:hAnsi="Times New Roman" w:cs="Times New Roman"/>
          <w:sz w:val="28"/>
          <w:szCs w:val="28"/>
        </w:rPr>
        <w:lastRenderedPageBreak/>
        <w:t>суб’єкта оволодіння іноземною мовою, у підвищенні захопленості змістом навчання та активності на заняттях, в емоційній готовності до виконання діяльності, позитивному емоційному тонусі навчальної групи, зниженні ситуативної тривожності під час виконання завдань.</w:t>
      </w:r>
    </w:p>
    <w:p w:rsidR="00307DE6" w:rsidRDefault="00307DE6" w:rsidP="00D456B4">
      <w:pPr>
        <w:spacing w:after="24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Pr="00307DE6">
        <w:rPr>
          <w:rFonts w:ascii="Times New Roman" w:hAnsi="Times New Roman" w:cs="Times New Roman"/>
          <w:b/>
          <w:sz w:val="28"/>
          <w:szCs w:val="28"/>
        </w:rPr>
        <w:t>Висновки.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Сформовані у студентів у повноцінній формі, тобто усвідомлювані і ті, що задовольняють якісним характеристикам, стратегії впливають на результати діяльності навчання, спрямованої на оволодіння іноземною мовою.</w:t>
      </w:r>
    </w:p>
    <w:p w:rsidR="00307DE6" w:rsidRDefault="007D4B4A" w:rsidP="00D456B4">
      <w:pPr>
        <w:spacing w:after="24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Список літератури:</w:t>
      </w:r>
    </w:p>
    <w:p w:rsidR="00307DE6" w:rsidRDefault="00307DE6" w:rsidP="00D456B4">
      <w:pPr>
        <w:pStyle w:val="a3"/>
        <w:numPr>
          <w:ilvl w:val="0"/>
          <w:numId w:val="2"/>
        </w:numPr>
        <w:spacing w:after="24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Тихонова Т.Б. Психолого-педагогічні резерви підвищення ефективності групової учбово-пізнавальної діяльно</w:t>
      </w:r>
      <w:r w:rsidR="00B37C0F">
        <w:rPr>
          <w:rFonts w:ascii="Times New Roman" w:hAnsi="Times New Roman" w:cs="Times New Roman"/>
          <w:sz w:val="28"/>
          <w:szCs w:val="28"/>
        </w:rPr>
        <w:t>сті з вивчення іноземної мови на</w:t>
      </w:r>
      <w:r>
        <w:rPr>
          <w:rFonts w:ascii="Times New Roman" w:hAnsi="Times New Roman" w:cs="Times New Roman"/>
          <w:sz w:val="28"/>
          <w:szCs w:val="28"/>
        </w:rPr>
        <w:t xml:space="preserve"> неспеціальних</w:t>
      </w:r>
      <w:r w:rsidR="00B37C0F">
        <w:rPr>
          <w:rFonts w:ascii="Times New Roman" w:hAnsi="Times New Roman" w:cs="Times New Roman"/>
          <w:sz w:val="28"/>
          <w:szCs w:val="28"/>
        </w:rPr>
        <w:t xml:space="preserve"> факультетах вузів: </w:t>
      </w:r>
      <w:proofErr w:type="spellStart"/>
      <w:r w:rsidR="00B37C0F">
        <w:rPr>
          <w:rFonts w:ascii="Times New Roman" w:hAnsi="Times New Roman" w:cs="Times New Roman"/>
          <w:sz w:val="28"/>
          <w:szCs w:val="28"/>
        </w:rPr>
        <w:t>дис.канд.психол.наук</w:t>
      </w:r>
      <w:proofErr w:type="spellEnd"/>
      <w:r w:rsidR="00B37C0F">
        <w:rPr>
          <w:rFonts w:ascii="Times New Roman" w:hAnsi="Times New Roman" w:cs="Times New Roman"/>
          <w:sz w:val="28"/>
          <w:szCs w:val="28"/>
        </w:rPr>
        <w:t xml:space="preserve">: 19.00.07 </w:t>
      </w:r>
      <w:r w:rsidR="00B37C0F" w:rsidRPr="00D456B4">
        <w:rPr>
          <w:rFonts w:ascii="Times New Roman" w:hAnsi="Times New Roman" w:cs="Times New Roman"/>
          <w:sz w:val="28"/>
          <w:szCs w:val="28"/>
        </w:rPr>
        <w:t>/</w:t>
      </w:r>
      <w:r w:rsidR="00B37C0F">
        <w:rPr>
          <w:rFonts w:ascii="Times New Roman" w:hAnsi="Times New Roman" w:cs="Times New Roman"/>
          <w:sz w:val="28"/>
          <w:szCs w:val="28"/>
        </w:rPr>
        <w:t xml:space="preserve"> Тетяна Борисівна Тихонова; Ін-т психології імені Г.С. Костюка НАПН України. – К., 1994. – 179 с.</w:t>
      </w:r>
    </w:p>
    <w:p w:rsidR="00B37C0F" w:rsidRDefault="00B37C0F" w:rsidP="00D456B4">
      <w:pPr>
        <w:pStyle w:val="a3"/>
        <w:numPr>
          <w:ilvl w:val="0"/>
          <w:numId w:val="2"/>
        </w:numPr>
        <w:spacing w:after="24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Федорончук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Н.М. Формування психологічних стратегій оволодіння іноземною мовою </w:t>
      </w:r>
      <w:r w:rsidRPr="00D456B4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Н.М. </w:t>
      </w:r>
      <w:proofErr w:type="spellStart"/>
      <w:r>
        <w:rPr>
          <w:rFonts w:ascii="Times New Roman" w:hAnsi="Times New Roman" w:cs="Times New Roman"/>
          <w:sz w:val="28"/>
          <w:szCs w:val="28"/>
        </w:rPr>
        <w:t>Федорончук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456B4">
        <w:rPr>
          <w:rFonts w:ascii="Times New Roman" w:hAnsi="Times New Roman" w:cs="Times New Roman"/>
          <w:sz w:val="28"/>
          <w:szCs w:val="28"/>
        </w:rPr>
        <w:t xml:space="preserve">// </w:t>
      </w:r>
      <w:r w:rsidR="00D668E4">
        <w:rPr>
          <w:rFonts w:ascii="Times New Roman" w:hAnsi="Times New Roman" w:cs="Times New Roman"/>
          <w:sz w:val="28"/>
          <w:szCs w:val="28"/>
        </w:rPr>
        <w:t xml:space="preserve">Проблеми загальної та педагогічної психології : Збірник наукових праць Інституту психології імені Г.С. Костюка НАПН України </w:t>
      </w:r>
      <w:r w:rsidR="00D668E4" w:rsidRPr="00D456B4">
        <w:rPr>
          <w:rFonts w:ascii="Times New Roman" w:hAnsi="Times New Roman" w:cs="Times New Roman"/>
          <w:sz w:val="28"/>
          <w:szCs w:val="28"/>
        </w:rPr>
        <w:t>/</w:t>
      </w:r>
      <w:r w:rsidR="00D668E4">
        <w:rPr>
          <w:rFonts w:ascii="Times New Roman" w:hAnsi="Times New Roman" w:cs="Times New Roman"/>
          <w:sz w:val="28"/>
          <w:szCs w:val="28"/>
        </w:rPr>
        <w:t xml:space="preserve"> </w:t>
      </w:r>
      <w:r w:rsidR="00D668E4" w:rsidRPr="00D456B4">
        <w:rPr>
          <w:rFonts w:ascii="Times New Roman" w:hAnsi="Times New Roman" w:cs="Times New Roman"/>
          <w:sz w:val="28"/>
          <w:szCs w:val="28"/>
        </w:rPr>
        <w:t>[</w:t>
      </w:r>
      <w:r w:rsidR="00D668E4">
        <w:rPr>
          <w:rFonts w:ascii="Times New Roman" w:hAnsi="Times New Roman" w:cs="Times New Roman"/>
          <w:sz w:val="28"/>
          <w:szCs w:val="28"/>
        </w:rPr>
        <w:t>ред.</w:t>
      </w:r>
      <w:proofErr w:type="spellStart"/>
      <w:r w:rsidR="00D668E4">
        <w:rPr>
          <w:rFonts w:ascii="Times New Roman" w:hAnsi="Times New Roman" w:cs="Times New Roman"/>
          <w:sz w:val="28"/>
          <w:szCs w:val="28"/>
        </w:rPr>
        <w:t>кол</w:t>
      </w:r>
      <w:proofErr w:type="spellEnd"/>
      <w:r w:rsidR="00D668E4">
        <w:rPr>
          <w:rFonts w:ascii="Times New Roman" w:hAnsi="Times New Roman" w:cs="Times New Roman"/>
          <w:sz w:val="28"/>
          <w:szCs w:val="28"/>
        </w:rPr>
        <w:t>.:С.Д. Максименко (</w:t>
      </w:r>
      <w:proofErr w:type="spellStart"/>
      <w:r w:rsidR="00D668E4">
        <w:rPr>
          <w:rFonts w:ascii="Times New Roman" w:hAnsi="Times New Roman" w:cs="Times New Roman"/>
          <w:sz w:val="28"/>
          <w:szCs w:val="28"/>
        </w:rPr>
        <w:t>гол.ред</w:t>
      </w:r>
      <w:proofErr w:type="spellEnd"/>
      <w:r w:rsidR="00D668E4">
        <w:rPr>
          <w:rFonts w:ascii="Times New Roman" w:hAnsi="Times New Roman" w:cs="Times New Roman"/>
          <w:sz w:val="28"/>
          <w:szCs w:val="28"/>
        </w:rPr>
        <w:t>.) та ін.</w:t>
      </w:r>
      <w:r w:rsidR="00D668E4" w:rsidRPr="00D456B4">
        <w:rPr>
          <w:rFonts w:ascii="Times New Roman" w:hAnsi="Times New Roman" w:cs="Times New Roman"/>
          <w:sz w:val="28"/>
          <w:szCs w:val="28"/>
        </w:rPr>
        <w:t>]</w:t>
      </w:r>
      <w:r w:rsidR="00D668E4">
        <w:rPr>
          <w:rFonts w:ascii="Times New Roman" w:hAnsi="Times New Roman" w:cs="Times New Roman"/>
          <w:sz w:val="28"/>
          <w:szCs w:val="28"/>
        </w:rPr>
        <w:t>. – К.: «ГНОЗІС», 2009. – Т.ХІ. – Част.3 – С.410-419.</w:t>
      </w:r>
    </w:p>
    <w:p w:rsidR="00307DE6" w:rsidRPr="007D4B4A" w:rsidRDefault="00D668E4" w:rsidP="00D456B4">
      <w:pPr>
        <w:pStyle w:val="a3"/>
        <w:numPr>
          <w:ilvl w:val="0"/>
          <w:numId w:val="2"/>
        </w:numPr>
        <w:spacing w:after="24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Asamura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Kaketa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K.,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Miyazki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T., Yoshino I. What Factors Reveal Individual Differences in Metaco</w:t>
      </w:r>
      <w:r w:rsidR="007D4B4A">
        <w:rPr>
          <w:rFonts w:ascii="Times New Roman" w:hAnsi="Times New Roman" w:cs="Times New Roman"/>
          <w:sz w:val="28"/>
          <w:szCs w:val="28"/>
          <w:lang w:val="en-US"/>
        </w:rPr>
        <w:t xml:space="preserve">gnition / </w:t>
      </w:r>
      <w:proofErr w:type="spellStart"/>
      <w:r w:rsidR="007D4B4A" w:rsidRPr="007D4B4A">
        <w:rPr>
          <w:rFonts w:ascii="Times New Roman" w:hAnsi="Times New Roman" w:cs="Times New Roman"/>
          <w:sz w:val="28"/>
          <w:szCs w:val="28"/>
          <w:lang w:val="en-US"/>
        </w:rPr>
        <w:t>Asamura</w:t>
      </w:r>
      <w:proofErr w:type="spellEnd"/>
      <w:r w:rsidR="007D4B4A" w:rsidRPr="007D4B4A">
        <w:rPr>
          <w:rFonts w:ascii="Times New Roman" w:hAnsi="Times New Roman" w:cs="Times New Roman"/>
          <w:sz w:val="28"/>
          <w:szCs w:val="28"/>
          <w:lang w:val="en-US"/>
        </w:rPr>
        <w:t xml:space="preserve"> A., </w:t>
      </w:r>
      <w:proofErr w:type="spellStart"/>
      <w:r w:rsidR="007D4B4A" w:rsidRPr="007D4B4A">
        <w:rPr>
          <w:rFonts w:ascii="Times New Roman" w:hAnsi="Times New Roman" w:cs="Times New Roman"/>
          <w:sz w:val="28"/>
          <w:szCs w:val="28"/>
          <w:lang w:val="en-US"/>
        </w:rPr>
        <w:t>Kaketa</w:t>
      </w:r>
      <w:proofErr w:type="spellEnd"/>
      <w:r w:rsidR="007D4B4A" w:rsidRPr="007D4B4A">
        <w:rPr>
          <w:rFonts w:ascii="Times New Roman" w:hAnsi="Times New Roman" w:cs="Times New Roman"/>
          <w:sz w:val="28"/>
          <w:szCs w:val="28"/>
          <w:lang w:val="en-US"/>
        </w:rPr>
        <w:t xml:space="preserve"> K., </w:t>
      </w:r>
      <w:proofErr w:type="spellStart"/>
      <w:r w:rsidR="007D4B4A" w:rsidRPr="007D4B4A">
        <w:rPr>
          <w:rFonts w:ascii="Times New Roman" w:hAnsi="Times New Roman" w:cs="Times New Roman"/>
          <w:sz w:val="28"/>
          <w:szCs w:val="28"/>
          <w:lang w:val="en-US"/>
        </w:rPr>
        <w:t>Miyazki</w:t>
      </w:r>
      <w:proofErr w:type="spellEnd"/>
      <w:r w:rsidR="007D4B4A" w:rsidRPr="007D4B4A">
        <w:rPr>
          <w:rFonts w:ascii="Times New Roman" w:hAnsi="Times New Roman" w:cs="Times New Roman"/>
          <w:sz w:val="28"/>
          <w:szCs w:val="28"/>
          <w:lang w:val="en-US"/>
        </w:rPr>
        <w:t xml:space="preserve"> T., Yoshino I.</w:t>
      </w:r>
      <w:r w:rsidR="007D4B4A">
        <w:rPr>
          <w:rFonts w:ascii="Times New Roman" w:hAnsi="Times New Roman" w:cs="Times New Roman"/>
          <w:sz w:val="28"/>
          <w:szCs w:val="28"/>
          <w:lang w:val="en-US"/>
        </w:rPr>
        <w:t xml:space="preserve"> / Abstracts of the 13</w:t>
      </w:r>
      <w:r w:rsidR="007D4B4A" w:rsidRPr="007D4B4A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 w:rsidR="007D4B4A">
        <w:rPr>
          <w:rFonts w:ascii="Times New Roman" w:hAnsi="Times New Roman" w:cs="Times New Roman"/>
          <w:sz w:val="28"/>
          <w:szCs w:val="28"/>
          <w:lang w:val="en-US"/>
        </w:rPr>
        <w:t xml:space="preserve"> European Congress of Psychology (9-12 July, Stockholm, Sweden. – P.26.</w:t>
      </w:r>
    </w:p>
    <w:p w:rsidR="007D4B4A" w:rsidRPr="007D4B4A" w:rsidRDefault="007D4B4A" w:rsidP="00D456B4">
      <w:pPr>
        <w:pStyle w:val="a3"/>
        <w:numPr>
          <w:ilvl w:val="0"/>
          <w:numId w:val="2"/>
        </w:numPr>
        <w:spacing w:after="24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Huang J., Andrews S. Situated development and use of language learner strategies: voices from EFL students / Huang </w:t>
      </w:r>
      <w:r w:rsidRPr="007D4B4A">
        <w:rPr>
          <w:rFonts w:ascii="Times New Roman" w:hAnsi="Times New Roman" w:cs="Times New Roman"/>
          <w:sz w:val="28"/>
          <w:szCs w:val="28"/>
          <w:lang w:val="en-US"/>
        </w:rPr>
        <w:t>J., Andrews 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// Language Learning Journal. – Vol.38. - </w:t>
      </w:r>
      <w:r>
        <w:rPr>
          <w:rFonts w:ascii="Times New Roman" w:hAnsi="Times New Roman" w:cs="Times New Roman"/>
          <w:sz w:val="28"/>
          <w:szCs w:val="28"/>
        </w:rPr>
        <w:t>№</w:t>
      </w:r>
      <w:r>
        <w:rPr>
          <w:rFonts w:ascii="Times New Roman" w:hAnsi="Times New Roman" w:cs="Times New Roman"/>
          <w:sz w:val="28"/>
          <w:szCs w:val="28"/>
          <w:lang w:val="en-US"/>
        </w:rPr>
        <w:t>1. – April 2010. – P.19-35.</w:t>
      </w:r>
    </w:p>
    <w:p w:rsidR="00CC2810" w:rsidRPr="00CC2810" w:rsidRDefault="00CC2810" w:rsidP="007D4B4A">
      <w:pPr>
        <w:spacing w:after="240" w:line="360" w:lineRule="auto"/>
        <w:rPr>
          <w:rFonts w:ascii="Times New Roman" w:hAnsi="Times New Roman" w:cs="Times New Roman"/>
          <w:sz w:val="28"/>
          <w:szCs w:val="28"/>
        </w:rPr>
      </w:pPr>
    </w:p>
    <w:sectPr w:rsidR="00CC2810" w:rsidRPr="00CC2810" w:rsidSect="00BF165D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charset w:val="CC"/>
    <w:family w:val="swiss"/>
    <w:pitch w:val="variable"/>
    <w:sig w:usb0="E00002FF" w:usb1="4000ACFF" w:usb2="00000001" w:usb3="00000000" w:csb0="0000019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EF603E"/>
    <w:multiLevelType w:val="hybridMultilevel"/>
    <w:tmpl w:val="10AAA80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DA4B68"/>
    <w:multiLevelType w:val="hybridMultilevel"/>
    <w:tmpl w:val="5EA8E7E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A54"/>
    <w:rsid w:val="00090A54"/>
    <w:rsid w:val="00307DE6"/>
    <w:rsid w:val="0031775D"/>
    <w:rsid w:val="00613553"/>
    <w:rsid w:val="007D4B4A"/>
    <w:rsid w:val="009A09E7"/>
    <w:rsid w:val="00A12557"/>
    <w:rsid w:val="00B37C0F"/>
    <w:rsid w:val="00BF165D"/>
    <w:rsid w:val="00CC2810"/>
    <w:rsid w:val="00D456B4"/>
    <w:rsid w:val="00D668E4"/>
    <w:rsid w:val="00FA7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A33725"/>
  <w15:docId w15:val="{8FE71D92-23FE-40BA-B850-1154E1E94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A7D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2640A3-0C70-4E67-8E36-CFB1D2D831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3106</Words>
  <Characters>1771</Characters>
  <Application>Microsoft Office Word</Application>
  <DocSecurity>0</DocSecurity>
  <Lines>14</Lines>
  <Paragraphs>9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 Анатолійович</dc:creator>
  <cp:lastModifiedBy>Роман Анатолійович</cp:lastModifiedBy>
  <cp:revision>2</cp:revision>
  <dcterms:created xsi:type="dcterms:W3CDTF">2018-10-16T09:05:00Z</dcterms:created>
  <dcterms:modified xsi:type="dcterms:W3CDTF">2018-10-16T09:05:00Z</dcterms:modified>
</cp:coreProperties>
</file>