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532C" w:rsidRDefault="008B5B8A" w:rsidP="008B5B8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</w:t>
      </w:r>
      <w:r w:rsidR="00352949" w:rsidRPr="00352949">
        <w:t xml:space="preserve"> </w:t>
      </w:r>
      <w:r w:rsidR="00352949" w:rsidRPr="00352949">
        <w:rPr>
          <w:rFonts w:ascii="Times New Roman" w:hAnsi="Times New Roman" w:cs="Times New Roman"/>
          <w:sz w:val="28"/>
          <w:szCs w:val="28"/>
        </w:rPr>
        <w:t>336.77</w:t>
      </w:r>
    </w:p>
    <w:p w:rsidR="00CE532C" w:rsidRDefault="008B5B8A" w:rsidP="008B5B8A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8B5B8A">
        <w:rPr>
          <w:rFonts w:ascii="Times New Roman" w:hAnsi="Times New Roman" w:cs="Times New Roman"/>
          <w:b/>
          <w:sz w:val="28"/>
          <w:szCs w:val="28"/>
        </w:rPr>
        <w:t>Ларіонова К.Л.</w:t>
      </w:r>
    </w:p>
    <w:p w:rsidR="008B5B8A" w:rsidRDefault="00D02A18" w:rsidP="008B5B8A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</w:t>
      </w:r>
      <w:r w:rsidR="008B5B8A" w:rsidRPr="008B5B8A">
        <w:rPr>
          <w:rFonts w:ascii="Times New Roman" w:hAnsi="Times New Roman" w:cs="Times New Roman"/>
          <w:sz w:val="28"/>
          <w:szCs w:val="28"/>
        </w:rPr>
        <w:t>.е.н</w:t>
      </w:r>
      <w:proofErr w:type="spellEnd"/>
      <w:r w:rsidR="008B5B8A" w:rsidRPr="008B5B8A">
        <w:rPr>
          <w:rFonts w:ascii="Times New Roman" w:hAnsi="Times New Roman" w:cs="Times New Roman"/>
          <w:sz w:val="28"/>
          <w:szCs w:val="28"/>
        </w:rPr>
        <w:t>.,</w:t>
      </w:r>
      <w:r>
        <w:rPr>
          <w:rFonts w:ascii="Times New Roman" w:hAnsi="Times New Roman" w:cs="Times New Roman"/>
          <w:sz w:val="28"/>
          <w:szCs w:val="28"/>
        </w:rPr>
        <w:t xml:space="preserve"> доцент,</w:t>
      </w:r>
    </w:p>
    <w:p w:rsidR="00D02A18" w:rsidRDefault="00D02A18" w:rsidP="008B5B8A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доцент кафедри фінансів, банківської справи та страхування</w:t>
      </w:r>
    </w:p>
    <w:p w:rsidR="00D02A18" w:rsidRDefault="00D02A18" w:rsidP="008B5B8A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Хмельницький національний університет</w:t>
      </w:r>
    </w:p>
    <w:p w:rsidR="00D02A18" w:rsidRPr="008B5B8A" w:rsidRDefault="00D02A18" w:rsidP="008B5B8A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CE532C" w:rsidRPr="00D02A18" w:rsidRDefault="00CE532C" w:rsidP="00CE532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02A18">
        <w:rPr>
          <w:rFonts w:ascii="Times New Roman" w:hAnsi="Times New Roman" w:cs="Times New Roman"/>
          <w:b/>
          <w:sz w:val="28"/>
          <w:szCs w:val="28"/>
        </w:rPr>
        <w:t xml:space="preserve">СУТНІСТЬ </w:t>
      </w:r>
      <w:r w:rsidR="00352949">
        <w:rPr>
          <w:rFonts w:ascii="Times New Roman" w:hAnsi="Times New Roman" w:cs="Times New Roman"/>
          <w:b/>
          <w:sz w:val="28"/>
          <w:szCs w:val="28"/>
        </w:rPr>
        <w:t>КРЕДИТНОГ</w:t>
      </w:r>
      <w:r w:rsidR="003528E8">
        <w:rPr>
          <w:rFonts w:ascii="Times New Roman" w:hAnsi="Times New Roman" w:cs="Times New Roman"/>
          <w:b/>
          <w:sz w:val="28"/>
          <w:szCs w:val="28"/>
        </w:rPr>
        <w:t>О</w:t>
      </w:r>
      <w:r w:rsidR="00D02A18">
        <w:rPr>
          <w:rFonts w:ascii="Times New Roman" w:hAnsi="Times New Roman" w:cs="Times New Roman"/>
          <w:b/>
          <w:sz w:val="28"/>
          <w:szCs w:val="28"/>
        </w:rPr>
        <w:t xml:space="preserve"> ПОРТФЕЛЯ</w:t>
      </w:r>
      <w:r w:rsidRPr="00D02A18">
        <w:rPr>
          <w:rFonts w:ascii="Times New Roman" w:hAnsi="Times New Roman" w:cs="Times New Roman"/>
          <w:b/>
          <w:sz w:val="28"/>
          <w:szCs w:val="28"/>
        </w:rPr>
        <w:t xml:space="preserve"> СПОЖИВЧОГО КРЕДИТУВАННЯ БАНКУ ТА ОСНОВНІ ФАКТОРИ ВПЛИВУ НА</w:t>
      </w:r>
      <w:r w:rsidR="00D02A18">
        <w:rPr>
          <w:rFonts w:ascii="Times New Roman" w:hAnsi="Times New Roman" w:cs="Times New Roman"/>
          <w:b/>
          <w:sz w:val="28"/>
          <w:szCs w:val="28"/>
        </w:rPr>
        <w:t xml:space="preserve"> НЬОГО</w:t>
      </w:r>
    </w:p>
    <w:p w:rsidR="00CE532C" w:rsidRPr="00352949" w:rsidRDefault="00CE532C" w:rsidP="00CE53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583501" w:rsidRDefault="00583501" w:rsidP="0058350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641D">
        <w:rPr>
          <w:rFonts w:ascii="Times New Roman" w:hAnsi="Times New Roman" w:cs="Times New Roman"/>
          <w:sz w:val="28"/>
          <w:szCs w:val="28"/>
        </w:rPr>
        <w:t>Визначення сутності основних економічних категорій є одним з найважливіш</w:t>
      </w:r>
      <w:r>
        <w:rPr>
          <w:rFonts w:ascii="Times New Roman" w:hAnsi="Times New Roman" w:cs="Times New Roman"/>
          <w:sz w:val="28"/>
          <w:szCs w:val="28"/>
        </w:rPr>
        <w:t>их напрямів наукових досліджень. В</w:t>
      </w:r>
      <w:r w:rsidRPr="00DA641D">
        <w:rPr>
          <w:rFonts w:ascii="Times New Roman" w:hAnsi="Times New Roman" w:cs="Times New Roman"/>
          <w:sz w:val="28"/>
          <w:szCs w:val="28"/>
        </w:rPr>
        <w:t>одночас складність дослідження будь-якого питання в сфері економічних відносин пов’язана з існуванням ряду дискусійних моментів і відсутністю єдиної наукової думки.</w:t>
      </w:r>
      <w:r>
        <w:rPr>
          <w:rFonts w:ascii="Times New Roman" w:hAnsi="Times New Roman" w:cs="Times New Roman"/>
          <w:sz w:val="28"/>
          <w:szCs w:val="28"/>
        </w:rPr>
        <w:t xml:space="preserve"> Проаналізувавши велику кількість наукових робіт з питання споживчого кредитування, необхідно зазначити, що відсутнє таке поняття як кредитний портфель споживчого кредитування банку. Тому спочатку проаналізуємо окремо такі економічні поняття як «кредитний портфель» та «споживче кредитування».</w:t>
      </w:r>
      <w:r w:rsidRPr="00620F1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B5B8A" w:rsidRDefault="008B5B8A" w:rsidP="008B5B8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Підсумовуючи аналіз визначень поняття «кредитний портфель» </w:t>
      </w:r>
      <w:r w:rsidR="00CD2C38">
        <w:rPr>
          <w:rFonts w:ascii="Times New Roman" w:hAnsi="Times New Roman" w:cs="Times New Roman"/>
          <w:sz w:val="28"/>
          <w:szCs w:val="28"/>
        </w:rPr>
        <w:t>[1, 2, 3</w:t>
      </w:r>
      <w:r w:rsidRPr="008B5B8A">
        <w:rPr>
          <w:rFonts w:ascii="Times New Roman" w:hAnsi="Times New Roman" w:cs="Times New Roman"/>
          <w:sz w:val="28"/>
          <w:szCs w:val="28"/>
        </w:rPr>
        <w:t>]</w:t>
      </w:r>
      <w:r w:rsidRPr="007A61A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можна </w:t>
      </w:r>
      <w:r w:rsidR="00CD2C3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зробити висновок, що в своїй основі вони</w:t>
      </w:r>
      <w:r w:rsidRPr="007A61A9">
        <w:rPr>
          <w:rFonts w:ascii="Times New Roman" w:hAnsi="Times New Roman" w:cs="Times New Roman"/>
          <w:sz w:val="28"/>
          <w:szCs w:val="28"/>
        </w:rPr>
        <w:t xml:space="preserve"> розглядають його як сукупність н</w:t>
      </w:r>
      <w:r w:rsidR="00CD2C3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A61A9">
        <w:rPr>
          <w:rFonts w:ascii="Times New Roman" w:hAnsi="Times New Roman" w:cs="Times New Roman"/>
          <w:sz w:val="28"/>
          <w:szCs w:val="28"/>
        </w:rPr>
        <w:t>аданих</w:t>
      </w:r>
      <w:proofErr w:type="spellEnd"/>
      <w:r w:rsidRPr="007A61A9">
        <w:rPr>
          <w:rFonts w:ascii="Times New Roman" w:hAnsi="Times New Roman" w:cs="Times New Roman"/>
          <w:sz w:val="28"/>
          <w:szCs w:val="28"/>
        </w:rPr>
        <w:t xml:space="preserve"> банком позичок і враховують фактор одержання доходу як стратегічної мети функціонування банку. Однак, </w:t>
      </w:r>
      <w:r>
        <w:rPr>
          <w:rFonts w:ascii="Times New Roman" w:hAnsi="Times New Roman" w:cs="Times New Roman"/>
          <w:sz w:val="28"/>
          <w:szCs w:val="28"/>
        </w:rPr>
        <w:t xml:space="preserve">на нашу думку, </w:t>
      </w:r>
      <w:r w:rsidRPr="007A61A9">
        <w:rPr>
          <w:rFonts w:ascii="Times New Roman" w:hAnsi="Times New Roman" w:cs="Times New Roman"/>
          <w:sz w:val="28"/>
          <w:szCs w:val="28"/>
        </w:rPr>
        <w:t xml:space="preserve">такі підходи мають дещо спрощений характер та не відображають ключової ролі кредитування в системі операцій комерційного банку. За таких умов при </w:t>
      </w:r>
      <w:r>
        <w:rPr>
          <w:rFonts w:ascii="Times New Roman" w:hAnsi="Times New Roman" w:cs="Times New Roman"/>
          <w:sz w:val="28"/>
          <w:szCs w:val="28"/>
        </w:rPr>
        <w:t>розробці</w:t>
      </w:r>
      <w:r w:rsidRPr="007A61A9">
        <w:rPr>
          <w:rFonts w:ascii="Times New Roman" w:hAnsi="Times New Roman" w:cs="Times New Roman"/>
          <w:sz w:val="28"/>
          <w:szCs w:val="28"/>
        </w:rPr>
        <w:t xml:space="preserve"> методичних основ формулювання поняття кредитного портфеля </w:t>
      </w:r>
      <w:r>
        <w:rPr>
          <w:rFonts w:ascii="Times New Roman" w:hAnsi="Times New Roman" w:cs="Times New Roman"/>
          <w:sz w:val="28"/>
          <w:szCs w:val="28"/>
        </w:rPr>
        <w:t>ще необхідно</w:t>
      </w:r>
      <w:r w:rsidRPr="007A61A9">
        <w:rPr>
          <w:rFonts w:ascii="Times New Roman" w:hAnsi="Times New Roman" w:cs="Times New Roman"/>
          <w:sz w:val="28"/>
          <w:szCs w:val="28"/>
        </w:rPr>
        <w:t xml:space="preserve"> спиратися передусім на основні принципи діяльності комерційного банку, які відображають конкретні умови функціонування його на ринку і стратегічні цілі </w:t>
      </w:r>
      <w:r>
        <w:rPr>
          <w:rFonts w:ascii="Times New Roman" w:hAnsi="Times New Roman" w:cs="Times New Roman"/>
          <w:sz w:val="28"/>
          <w:szCs w:val="28"/>
        </w:rPr>
        <w:t>банківської установи</w:t>
      </w:r>
      <w:r w:rsidRPr="007A61A9">
        <w:rPr>
          <w:rFonts w:ascii="Times New Roman" w:hAnsi="Times New Roman" w:cs="Times New Roman"/>
          <w:sz w:val="28"/>
          <w:szCs w:val="28"/>
        </w:rPr>
        <w:t>.</w:t>
      </w:r>
    </w:p>
    <w:p w:rsidR="00CE532C" w:rsidRDefault="00CE532C" w:rsidP="00CE53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6265">
        <w:rPr>
          <w:rFonts w:ascii="Times New Roman" w:hAnsi="Times New Roman" w:cs="Times New Roman"/>
          <w:sz w:val="28"/>
          <w:szCs w:val="28"/>
        </w:rPr>
        <w:t xml:space="preserve">Проведене дослідження </w:t>
      </w:r>
      <w:r w:rsidR="003528E8">
        <w:rPr>
          <w:rFonts w:ascii="Times New Roman" w:hAnsi="Times New Roman" w:cs="Times New Roman"/>
          <w:sz w:val="28"/>
          <w:szCs w:val="28"/>
        </w:rPr>
        <w:t xml:space="preserve">сутності споживчого кредиту </w:t>
      </w:r>
      <w:r w:rsidR="003528E8" w:rsidRPr="003528E8">
        <w:rPr>
          <w:rFonts w:ascii="Times New Roman" w:hAnsi="Times New Roman" w:cs="Times New Roman"/>
          <w:sz w:val="28"/>
          <w:szCs w:val="28"/>
        </w:rPr>
        <w:t>[</w:t>
      </w:r>
      <w:r w:rsidR="00CD2C38">
        <w:rPr>
          <w:rFonts w:ascii="Times New Roman" w:hAnsi="Times New Roman" w:cs="Times New Roman"/>
          <w:sz w:val="28"/>
          <w:szCs w:val="28"/>
        </w:rPr>
        <w:t>4, 5, 6</w:t>
      </w:r>
      <w:r w:rsidR="003528E8" w:rsidRPr="003528E8">
        <w:rPr>
          <w:rFonts w:ascii="Times New Roman" w:hAnsi="Times New Roman" w:cs="Times New Roman"/>
          <w:sz w:val="28"/>
          <w:szCs w:val="28"/>
        </w:rPr>
        <w:t>]</w:t>
      </w:r>
      <w:r w:rsidR="003528E8">
        <w:rPr>
          <w:rFonts w:ascii="Times New Roman" w:hAnsi="Times New Roman" w:cs="Times New Roman"/>
          <w:sz w:val="28"/>
          <w:szCs w:val="28"/>
        </w:rPr>
        <w:t xml:space="preserve">, </w:t>
      </w:r>
      <w:r w:rsidRPr="009C6265">
        <w:rPr>
          <w:rFonts w:ascii="Times New Roman" w:hAnsi="Times New Roman" w:cs="Times New Roman"/>
          <w:sz w:val="28"/>
          <w:szCs w:val="28"/>
        </w:rPr>
        <w:t>дозволяє зробити</w:t>
      </w:r>
      <w:r w:rsidRPr="00875F1B">
        <w:rPr>
          <w:rFonts w:ascii="Times New Roman" w:hAnsi="Times New Roman" w:cs="Times New Roman"/>
          <w:sz w:val="28"/>
          <w:szCs w:val="28"/>
        </w:rPr>
        <w:t xml:space="preserve"> </w:t>
      </w:r>
      <w:r w:rsidRPr="009C6265">
        <w:rPr>
          <w:rFonts w:ascii="Times New Roman" w:hAnsi="Times New Roman" w:cs="Times New Roman"/>
          <w:sz w:val="28"/>
          <w:szCs w:val="28"/>
        </w:rPr>
        <w:t>висновок, що споживчий кредит – це кредит, який</w:t>
      </w:r>
      <w:r w:rsidRPr="00875F1B">
        <w:rPr>
          <w:rFonts w:ascii="Times New Roman" w:hAnsi="Times New Roman" w:cs="Times New Roman"/>
          <w:sz w:val="28"/>
          <w:szCs w:val="28"/>
        </w:rPr>
        <w:t xml:space="preserve"> </w:t>
      </w:r>
      <w:r w:rsidRPr="009C6265">
        <w:rPr>
          <w:rFonts w:ascii="Times New Roman" w:hAnsi="Times New Roman" w:cs="Times New Roman"/>
          <w:sz w:val="28"/>
          <w:szCs w:val="28"/>
        </w:rPr>
        <w:t xml:space="preserve">надається банком або </w:t>
      </w:r>
      <w:r w:rsidRPr="009C6265">
        <w:rPr>
          <w:rFonts w:ascii="Times New Roman" w:hAnsi="Times New Roman" w:cs="Times New Roman"/>
          <w:sz w:val="28"/>
          <w:szCs w:val="28"/>
        </w:rPr>
        <w:lastRenderedPageBreak/>
        <w:t>небанківською фінансово-кредитною установою фізичній</w:t>
      </w:r>
      <w:r w:rsidRPr="00875F1B">
        <w:rPr>
          <w:rFonts w:ascii="Times New Roman" w:hAnsi="Times New Roman" w:cs="Times New Roman"/>
          <w:sz w:val="28"/>
          <w:szCs w:val="28"/>
        </w:rPr>
        <w:t xml:space="preserve"> </w:t>
      </w:r>
      <w:r w:rsidRPr="009C6265">
        <w:rPr>
          <w:rFonts w:ascii="Times New Roman" w:hAnsi="Times New Roman" w:cs="Times New Roman"/>
          <w:sz w:val="28"/>
          <w:szCs w:val="28"/>
        </w:rPr>
        <w:t>особі – резиденту в національній валюті для потреб, що не пов’язані з</w:t>
      </w:r>
      <w:r w:rsidRPr="00875F1B">
        <w:rPr>
          <w:rFonts w:ascii="Times New Roman" w:hAnsi="Times New Roman" w:cs="Times New Roman"/>
          <w:sz w:val="28"/>
          <w:szCs w:val="28"/>
        </w:rPr>
        <w:t xml:space="preserve"> </w:t>
      </w:r>
      <w:r w:rsidRPr="009C6265">
        <w:rPr>
          <w:rFonts w:ascii="Times New Roman" w:hAnsi="Times New Roman" w:cs="Times New Roman"/>
          <w:sz w:val="28"/>
          <w:szCs w:val="28"/>
        </w:rPr>
        <w:t>підприємницькою діяльністю на умовах повернення, строковості та платності. У</w:t>
      </w:r>
      <w:r w:rsidRPr="00875F1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C6265">
        <w:rPr>
          <w:rFonts w:ascii="Times New Roman" w:hAnsi="Times New Roman" w:cs="Times New Roman"/>
          <w:sz w:val="28"/>
          <w:szCs w:val="28"/>
        </w:rPr>
        <w:t xml:space="preserve">разі, якщо </w:t>
      </w:r>
      <w:proofErr w:type="spellStart"/>
      <w:r w:rsidRPr="009C6265">
        <w:rPr>
          <w:rFonts w:ascii="Times New Roman" w:hAnsi="Times New Roman" w:cs="Times New Roman"/>
          <w:sz w:val="28"/>
          <w:szCs w:val="28"/>
        </w:rPr>
        <w:t>кредитодавцем</w:t>
      </w:r>
      <w:proofErr w:type="spellEnd"/>
      <w:r w:rsidRPr="009C6265">
        <w:rPr>
          <w:rFonts w:ascii="Times New Roman" w:hAnsi="Times New Roman" w:cs="Times New Roman"/>
          <w:sz w:val="28"/>
          <w:szCs w:val="28"/>
        </w:rPr>
        <w:t xml:space="preserve"> є банк, такий кредит</w:t>
      </w:r>
      <w:r w:rsidRPr="00875F1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C6265">
        <w:rPr>
          <w:rFonts w:ascii="Times New Roman" w:hAnsi="Times New Roman" w:cs="Times New Roman"/>
          <w:sz w:val="28"/>
          <w:szCs w:val="28"/>
        </w:rPr>
        <w:t>називають банківським.</w:t>
      </w:r>
    </w:p>
    <w:p w:rsidR="00CE532C" w:rsidRPr="003528E8" w:rsidRDefault="00CE532C" w:rsidP="00CE53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528E8">
        <w:rPr>
          <w:rFonts w:ascii="Times New Roman" w:hAnsi="Times New Roman" w:cs="Times New Roman"/>
          <w:sz w:val="28"/>
          <w:szCs w:val="28"/>
        </w:rPr>
        <w:t>Підсумовуючи вищевикладені поняття «споживчого кредиту» та «кредитного портфеля», дамо власне визначення «кредитного портфеля споживчого кредитування».</w:t>
      </w:r>
    </w:p>
    <w:p w:rsidR="00CE532C" w:rsidRDefault="00CE532C" w:rsidP="00CE53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528E8">
        <w:rPr>
          <w:rFonts w:ascii="Times New Roman" w:hAnsi="Times New Roman" w:cs="Times New Roman"/>
          <w:sz w:val="28"/>
          <w:szCs w:val="28"/>
        </w:rPr>
        <w:t>Кредитний портфель споживчого кредитування можна визначити як сукупність кредитів, наданих банком або небанківською фінансово-кредитною установою</w:t>
      </w:r>
      <w:r w:rsidRPr="003528E8">
        <w:t xml:space="preserve"> </w:t>
      </w:r>
      <w:r w:rsidRPr="003528E8">
        <w:rPr>
          <w:rFonts w:ascii="Times New Roman" w:hAnsi="Times New Roman" w:cs="Times New Roman"/>
          <w:sz w:val="28"/>
          <w:szCs w:val="28"/>
        </w:rPr>
        <w:t>фізичній особі – резиденту в національній валюті для потреб, що не пов’язані з підприємницькою діяльністю, та сформовану з метою одержання прийнятного рівня доходу і забезпечення платоспроможності банку при мінімальному рівні кредитних ризиків.</w:t>
      </w:r>
      <w:r w:rsidRPr="00E768E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E532C" w:rsidRDefault="00CE532C" w:rsidP="00CE53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68E7">
        <w:rPr>
          <w:rFonts w:ascii="Times New Roman" w:hAnsi="Times New Roman" w:cs="Times New Roman"/>
          <w:sz w:val="28"/>
          <w:szCs w:val="28"/>
        </w:rPr>
        <w:t>В цьому понятті відтворені три ключові пов’язані мі</w:t>
      </w:r>
      <w:r>
        <w:rPr>
          <w:rFonts w:ascii="Times New Roman" w:hAnsi="Times New Roman" w:cs="Times New Roman"/>
          <w:sz w:val="28"/>
          <w:szCs w:val="28"/>
        </w:rPr>
        <w:t>ж собою аспекти діяльності банківської установи</w:t>
      </w:r>
      <w:r w:rsidRPr="00E768E7">
        <w:rPr>
          <w:rFonts w:ascii="Times New Roman" w:hAnsi="Times New Roman" w:cs="Times New Roman"/>
          <w:sz w:val="28"/>
          <w:szCs w:val="28"/>
        </w:rPr>
        <w:t xml:space="preserve"> – дохідність, ліквідність, ризик. Дані параметри найбільш доцільно аналізувати та управляти ними не так з точки зору окремих наданих банком позичок у взаєминах із конкретними клієнтами, як з позицій всієї сукупності виданих </w:t>
      </w:r>
      <w:r>
        <w:rPr>
          <w:rFonts w:ascii="Times New Roman" w:hAnsi="Times New Roman" w:cs="Times New Roman"/>
          <w:sz w:val="28"/>
          <w:szCs w:val="28"/>
        </w:rPr>
        <w:t xml:space="preserve">споживчих </w:t>
      </w:r>
      <w:r w:rsidRPr="00E768E7">
        <w:rPr>
          <w:rFonts w:ascii="Times New Roman" w:hAnsi="Times New Roman" w:cs="Times New Roman"/>
          <w:sz w:val="28"/>
          <w:szCs w:val="28"/>
        </w:rPr>
        <w:t>кредитів в рамках кредитного портфеля конкретного банку. Кредитний портфель</w:t>
      </w:r>
      <w:r>
        <w:rPr>
          <w:rFonts w:ascii="Times New Roman" w:hAnsi="Times New Roman" w:cs="Times New Roman"/>
          <w:sz w:val="28"/>
          <w:szCs w:val="28"/>
        </w:rPr>
        <w:t xml:space="preserve"> споживчого кредитування</w:t>
      </w:r>
      <w:r w:rsidRPr="00E768E7">
        <w:rPr>
          <w:rFonts w:ascii="Times New Roman" w:hAnsi="Times New Roman" w:cs="Times New Roman"/>
          <w:sz w:val="28"/>
          <w:szCs w:val="28"/>
        </w:rPr>
        <w:t xml:space="preserve"> повинен розглядатись комерційним банком як єдиний об’єкт управління зі структурою, що класифікована за типами позичальників, умовами кредитування, напрямами вкладень з відповідним рівнем дохідност</w:t>
      </w:r>
      <w:r>
        <w:rPr>
          <w:rFonts w:ascii="Times New Roman" w:hAnsi="Times New Roman" w:cs="Times New Roman"/>
          <w:sz w:val="28"/>
          <w:szCs w:val="28"/>
        </w:rPr>
        <w:t>і та кредитного ризику для банківської установи</w:t>
      </w:r>
      <w:r w:rsidRPr="00E768E7">
        <w:rPr>
          <w:rFonts w:ascii="Times New Roman" w:hAnsi="Times New Roman" w:cs="Times New Roman"/>
          <w:sz w:val="28"/>
          <w:szCs w:val="28"/>
        </w:rPr>
        <w:t>.</w:t>
      </w:r>
    </w:p>
    <w:p w:rsidR="00CE532C" w:rsidRDefault="00CE532C" w:rsidP="00CE53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677D">
        <w:rPr>
          <w:rFonts w:ascii="Times New Roman" w:hAnsi="Times New Roman" w:cs="Times New Roman"/>
          <w:sz w:val="28"/>
          <w:szCs w:val="28"/>
        </w:rPr>
        <w:t>Виникнення і розвиток споживчого кредиту, форми його прояву, роль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677D">
        <w:rPr>
          <w:rFonts w:ascii="Times New Roman" w:hAnsi="Times New Roman" w:cs="Times New Roman"/>
          <w:sz w:val="28"/>
          <w:szCs w:val="28"/>
        </w:rPr>
        <w:t xml:space="preserve">формуванні добробуту </w:t>
      </w:r>
      <w:r>
        <w:rPr>
          <w:rFonts w:ascii="Times New Roman" w:hAnsi="Times New Roman" w:cs="Times New Roman"/>
          <w:sz w:val="28"/>
          <w:szCs w:val="28"/>
        </w:rPr>
        <w:t>фізичних осіб</w:t>
      </w:r>
      <w:r w:rsidRPr="0059677D">
        <w:rPr>
          <w:rFonts w:ascii="Times New Roman" w:hAnsi="Times New Roman" w:cs="Times New Roman"/>
          <w:sz w:val="28"/>
          <w:szCs w:val="28"/>
        </w:rPr>
        <w:t xml:space="preserve"> і роль в економіці в цілому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677D">
        <w:rPr>
          <w:rFonts w:ascii="Times New Roman" w:hAnsi="Times New Roman" w:cs="Times New Roman"/>
          <w:sz w:val="28"/>
          <w:szCs w:val="28"/>
        </w:rPr>
        <w:t xml:space="preserve">обумовлюють залежність </w:t>
      </w:r>
      <w:r w:rsidR="003528E8">
        <w:rPr>
          <w:rFonts w:ascii="Times New Roman" w:hAnsi="Times New Roman" w:cs="Times New Roman"/>
          <w:sz w:val="28"/>
          <w:szCs w:val="28"/>
        </w:rPr>
        <w:t xml:space="preserve">кредитного портфеля </w:t>
      </w:r>
      <w:r w:rsidRPr="0059677D">
        <w:rPr>
          <w:rFonts w:ascii="Times New Roman" w:hAnsi="Times New Roman" w:cs="Times New Roman"/>
          <w:sz w:val="28"/>
          <w:szCs w:val="28"/>
        </w:rPr>
        <w:t>споживчого кредитування від низки чинників –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677D">
        <w:rPr>
          <w:rFonts w:ascii="Times New Roman" w:hAnsi="Times New Roman" w:cs="Times New Roman"/>
          <w:sz w:val="28"/>
          <w:szCs w:val="28"/>
        </w:rPr>
        <w:t>факторів, що виникають у результаті діяльності банк</w:t>
      </w:r>
      <w:r>
        <w:rPr>
          <w:rFonts w:ascii="Times New Roman" w:hAnsi="Times New Roman" w:cs="Times New Roman"/>
          <w:sz w:val="28"/>
          <w:szCs w:val="28"/>
        </w:rPr>
        <w:t>івської установи</w:t>
      </w:r>
      <w:r w:rsidRPr="0059677D">
        <w:rPr>
          <w:rFonts w:ascii="Times New Roman" w:hAnsi="Times New Roman" w:cs="Times New Roman"/>
          <w:sz w:val="28"/>
          <w:szCs w:val="28"/>
        </w:rPr>
        <w:t>, так і макроекономічних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677D">
        <w:rPr>
          <w:rFonts w:ascii="Times New Roman" w:hAnsi="Times New Roman" w:cs="Times New Roman"/>
          <w:sz w:val="28"/>
          <w:szCs w:val="28"/>
        </w:rPr>
        <w:t>соціальних. На підставі теоретичного аналізу особливостей споживчого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677D">
        <w:rPr>
          <w:rFonts w:ascii="Times New Roman" w:hAnsi="Times New Roman" w:cs="Times New Roman"/>
          <w:sz w:val="28"/>
          <w:szCs w:val="28"/>
        </w:rPr>
        <w:t>кредитування можна виділити певну сукупність факторів, що впливають на стан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677D">
        <w:rPr>
          <w:rFonts w:ascii="Times New Roman" w:hAnsi="Times New Roman" w:cs="Times New Roman"/>
          <w:sz w:val="28"/>
          <w:szCs w:val="28"/>
        </w:rPr>
        <w:t>розвиток споживчого кредиту</w:t>
      </w:r>
      <w:r>
        <w:rPr>
          <w:rFonts w:ascii="Times New Roman" w:hAnsi="Times New Roman" w:cs="Times New Roman"/>
          <w:sz w:val="28"/>
          <w:szCs w:val="28"/>
        </w:rPr>
        <w:t xml:space="preserve"> банку</w:t>
      </w:r>
      <w:r w:rsidRPr="0059677D">
        <w:rPr>
          <w:rFonts w:ascii="Times New Roman" w:hAnsi="Times New Roman" w:cs="Times New Roman"/>
          <w:sz w:val="28"/>
          <w:szCs w:val="28"/>
        </w:rPr>
        <w:t xml:space="preserve"> на кожному етапі </w:t>
      </w:r>
      <w:r w:rsidRPr="0059677D">
        <w:rPr>
          <w:rFonts w:ascii="Times New Roman" w:hAnsi="Times New Roman" w:cs="Times New Roman"/>
          <w:sz w:val="28"/>
          <w:szCs w:val="28"/>
        </w:rPr>
        <w:lastRenderedPageBreak/>
        <w:t>економічного розвитку. 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677D">
        <w:rPr>
          <w:rFonts w:ascii="Times New Roman" w:hAnsi="Times New Roman" w:cs="Times New Roman"/>
          <w:sz w:val="28"/>
          <w:szCs w:val="28"/>
        </w:rPr>
        <w:t>фактори можна поділити на зовнішні</w:t>
      </w:r>
      <w:r>
        <w:rPr>
          <w:rFonts w:ascii="Times New Roman" w:hAnsi="Times New Roman" w:cs="Times New Roman"/>
          <w:sz w:val="28"/>
          <w:szCs w:val="28"/>
        </w:rPr>
        <w:t xml:space="preserve"> та внутрішні. Зовнішні фактори - не залежать від роботи банку, а </w:t>
      </w:r>
      <w:r w:rsidRPr="0059677D">
        <w:rPr>
          <w:rFonts w:ascii="Times New Roman" w:hAnsi="Times New Roman" w:cs="Times New Roman"/>
          <w:sz w:val="28"/>
          <w:szCs w:val="28"/>
        </w:rPr>
        <w:t>внутрішні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59677D">
        <w:rPr>
          <w:rFonts w:ascii="Times New Roman" w:hAnsi="Times New Roman" w:cs="Times New Roman"/>
          <w:sz w:val="28"/>
          <w:szCs w:val="28"/>
        </w:rPr>
        <w:t>характеризують ефективність діяльності самого банку. Головна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677D">
        <w:rPr>
          <w:rFonts w:ascii="Times New Roman" w:hAnsi="Times New Roman" w:cs="Times New Roman"/>
          <w:sz w:val="28"/>
          <w:szCs w:val="28"/>
        </w:rPr>
        <w:t xml:space="preserve">відмінність між цими факторами полягає в тому, що </w:t>
      </w:r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Pr="0059677D">
        <w:rPr>
          <w:rFonts w:ascii="Times New Roman" w:hAnsi="Times New Roman" w:cs="Times New Roman"/>
          <w:sz w:val="28"/>
          <w:szCs w:val="28"/>
        </w:rPr>
        <w:t xml:space="preserve">зовнішні фактори </w:t>
      </w:r>
      <w:r>
        <w:rPr>
          <w:rFonts w:ascii="Times New Roman" w:hAnsi="Times New Roman" w:cs="Times New Roman"/>
          <w:sz w:val="28"/>
          <w:szCs w:val="28"/>
        </w:rPr>
        <w:t xml:space="preserve">не можливо впливати, а необхідно їх </w:t>
      </w:r>
      <w:r w:rsidRPr="0059677D">
        <w:rPr>
          <w:rFonts w:ascii="Times New Roman" w:hAnsi="Times New Roman" w:cs="Times New Roman"/>
          <w:sz w:val="28"/>
          <w:szCs w:val="28"/>
        </w:rPr>
        <w:t xml:space="preserve">об'єктивно </w:t>
      </w:r>
      <w:r>
        <w:rPr>
          <w:rFonts w:ascii="Times New Roman" w:hAnsi="Times New Roman" w:cs="Times New Roman"/>
          <w:sz w:val="28"/>
          <w:szCs w:val="28"/>
        </w:rPr>
        <w:t xml:space="preserve">враховувати при управлінні кредитним портфелем </w:t>
      </w:r>
      <w:r w:rsidR="00BC0B83">
        <w:rPr>
          <w:rFonts w:ascii="Times New Roman" w:hAnsi="Times New Roman" w:cs="Times New Roman"/>
          <w:sz w:val="28"/>
          <w:szCs w:val="28"/>
        </w:rPr>
        <w:t xml:space="preserve">споживчого кредитування </w:t>
      </w:r>
      <w:r>
        <w:rPr>
          <w:rFonts w:ascii="Times New Roman" w:hAnsi="Times New Roman" w:cs="Times New Roman"/>
          <w:sz w:val="28"/>
          <w:szCs w:val="28"/>
        </w:rPr>
        <w:t>банку</w:t>
      </w:r>
      <w:r w:rsidRPr="0059677D">
        <w:rPr>
          <w:rFonts w:ascii="Times New Roman" w:hAnsi="Times New Roman" w:cs="Times New Roman"/>
          <w:sz w:val="28"/>
          <w:szCs w:val="28"/>
        </w:rPr>
        <w:t>, а внутрішні підлягають оцінці та управлінню. Зазначені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677D">
        <w:rPr>
          <w:rFonts w:ascii="Times New Roman" w:hAnsi="Times New Roman" w:cs="Times New Roman"/>
          <w:sz w:val="28"/>
          <w:szCs w:val="28"/>
        </w:rPr>
        <w:t>фактори можна поділити на кілька основних груп</w:t>
      </w:r>
      <w:r w:rsidR="003528E8">
        <w:rPr>
          <w:rFonts w:ascii="Times New Roman" w:hAnsi="Times New Roman" w:cs="Times New Roman"/>
          <w:sz w:val="28"/>
          <w:szCs w:val="28"/>
        </w:rPr>
        <w:t xml:space="preserve"> (таблиця 1</w:t>
      </w:r>
      <w:r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CE532C" w:rsidRPr="00352949" w:rsidRDefault="00CE532C" w:rsidP="00CE53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CE532C" w:rsidRDefault="003528E8" w:rsidP="00D02A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Таблиця 1</w:t>
      </w:r>
      <w:r w:rsidR="00CE532C">
        <w:rPr>
          <w:rFonts w:ascii="Times New Roman" w:hAnsi="Times New Roman" w:cs="Times New Roman"/>
          <w:sz w:val="28"/>
          <w:szCs w:val="28"/>
        </w:rPr>
        <w:t xml:space="preserve"> – Фактори, що впливають на рівень кредитного портфеля споживчого кредитування  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7365"/>
      </w:tblGrid>
      <w:tr w:rsidR="00CE532C" w:rsidRPr="00211A7A" w:rsidTr="007540A2">
        <w:tc>
          <w:tcPr>
            <w:tcW w:w="2263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1A7A">
              <w:rPr>
                <w:rFonts w:ascii="Times New Roman" w:hAnsi="Times New Roman" w:cs="Times New Roman"/>
                <w:sz w:val="24"/>
                <w:szCs w:val="24"/>
              </w:rPr>
              <w:t>Ознака</w:t>
            </w:r>
          </w:p>
        </w:tc>
        <w:tc>
          <w:tcPr>
            <w:tcW w:w="7365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1A7A">
              <w:rPr>
                <w:rFonts w:ascii="Times New Roman" w:hAnsi="Times New Roman" w:cs="Times New Roman"/>
                <w:sz w:val="24"/>
                <w:szCs w:val="24"/>
              </w:rPr>
              <w:t>Фактори</w:t>
            </w:r>
          </w:p>
        </w:tc>
      </w:tr>
      <w:tr w:rsidR="00CE532C" w:rsidRPr="00211A7A" w:rsidTr="007540A2">
        <w:tc>
          <w:tcPr>
            <w:tcW w:w="2263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ind w:firstLine="2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Зовнішні фактори</w:t>
            </w:r>
          </w:p>
        </w:tc>
        <w:tc>
          <w:tcPr>
            <w:tcW w:w="7365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2C" w:rsidRPr="00211A7A" w:rsidTr="007540A2">
        <w:tc>
          <w:tcPr>
            <w:tcW w:w="2263" w:type="dxa"/>
          </w:tcPr>
          <w:p w:rsidR="00CE532C" w:rsidRPr="00211A7A" w:rsidRDefault="007540A2" w:rsidP="00CE532C">
            <w:pPr>
              <w:autoSpaceDE w:val="0"/>
              <w:autoSpaceDN w:val="0"/>
              <w:adjustRightInd w:val="0"/>
              <w:ind w:firstLine="2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02D0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E532C" w:rsidRPr="00702D03">
              <w:rPr>
                <w:rFonts w:ascii="Times New Roman" w:hAnsi="Times New Roman" w:cs="Times New Roman"/>
                <w:sz w:val="24"/>
                <w:szCs w:val="24"/>
              </w:rPr>
              <w:t>агальноекономіч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CE532C" w:rsidRPr="00702D03">
              <w:rPr>
                <w:rFonts w:ascii="Times New Roman" w:hAnsi="Times New Roman" w:cs="Times New Roman"/>
                <w:sz w:val="24"/>
                <w:szCs w:val="24"/>
              </w:rPr>
              <w:t>ні умови</w:t>
            </w:r>
          </w:p>
        </w:tc>
        <w:tc>
          <w:tcPr>
            <w:tcW w:w="7365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2D03">
              <w:rPr>
                <w:rFonts w:ascii="Times New Roman" w:hAnsi="Times New Roman" w:cs="Times New Roman"/>
                <w:sz w:val="24"/>
                <w:szCs w:val="24"/>
              </w:rPr>
              <w:t>рівень цін і темпи інфляції; рівень життя населення; очікування споживачів; структура пропозиції споживчих товарів і послуг; конкурентоспроможність вітчизняних товарів; промисловий потенціал; притік (відтік) капіталу; структура експорту та імпорту</w:t>
            </w:r>
          </w:p>
        </w:tc>
      </w:tr>
      <w:tr w:rsidR="00CE532C" w:rsidRPr="00211A7A" w:rsidTr="007540A2">
        <w:tc>
          <w:tcPr>
            <w:tcW w:w="2263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ind w:firstLine="2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2D03">
              <w:rPr>
                <w:rFonts w:ascii="Times New Roman" w:hAnsi="Times New Roman" w:cs="Times New Roman"/>
                <w:sz w:val="24"/>
                <w:szCs w:val="24"/>
              </w:rPr>
              <w:t>стан грошово-кредитного ринку</w:t>
            </w:r>
          </w:p>
        </w:tc>
        <w:tc>
          <w:tcPr>
            <w:tcW w:w="7365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2D03">
              <w:rPr>
                <w:rFonts w:ascii="Times New Roman" w:hAnsi="Times New Roman" w:cs="Times New Roman"/>
                <w:sz w:val="24"/>
                <w:szCs w:val="24"/>
              </w:rPr>
              <w:t>характер грошово-кредитної політики центрального банку; вартість національних грошей (ресурсів); динаміка валютного курсу; маржа за кредитами.</w:t>
            </w:r>
          </w:p>
        </w:tc>
      </w:tr>
      <w:tr w:rsidR="00CE532C" w:rsidRPr="00211A7A" w:rsidTr="007540A2">
        <w:tc>
          <w:tcPr>
            <w:tcW w:w="2263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ind w:firstLine="2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2D03">
              <w:rPr>
                <w:rFonts w:ascii="Times New Roman" w:hAnsi="Times New Roman" w:cs="Times New Roman"/>
                <w:sz w:val="24"/>
                <w:szCs w:val="24"/>
              </w:rPr>
              <w:t>соціально-економічна та політична ситуація</w:t>
            </w:r>
          </w:p>
        </w:tc>
        <w:tc>
          <w:tcPr>
            <w:tcW w:w="7365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2D03">
              <w:rPr>
                <w:rFonts w:ascii="Times New Roman" w:hAnsi="Times New Roman" w:cs="Times New Roman"/>
                <w:sz w:val="24"/>
                <w:szCs w:val="24"/>
              </w:rPr>
              <w:t>характер економічної політики уряду; політична стабільність в країні; залежність від регіональних і республіканських умов; сприятливі (несприятливі) зовнішньоекономічні умови</w:t>
            </w:r>
          </w:p>
        </w:tc>
      </w:tr>
      <w:tr w:rsidR="00CE532C" w:rsidRPr="00211A7A" w:rsidTr="007540A2">
        <w:tc>
          <w:tcPr>
            <w:tcW w:w="2263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ind w:firstLine="2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Внутрішні фактори</w:t>
            </w:r>
          </w:p>
        </w:tc>
        <w:tc>
          <w:tcPr>
            <w:tcW w:w="7365" w:type="dxa"/>
          </w:tcPr>
          <w:p w:rsidR="00CE532C" w:rsidRPr="00211A7A" w:rsidRDefault="00CE532C" w:rsidP="00CE532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2D03">
              <w:rPr>
                <w:rFonts w:ascii="Times New Roman" w:hAnsi="Times New Roman" w:cs="Times New Roman"/>
                <w:sz w:val="24"/>
                <w:szCs w:val="24"/>
              </w:rPr>
              <w:t>політика банку; стратегічне планування; рівень управління; кадрова політика, стимулювання і кваліфікація кадрів; якість системи управління всіма етапами кредитування; забезпеченість власними коштами; система ефективного внутрішнього аудиту; обсяги створених резервів.</w:t>
            </w:r>
          </w:p>
        </w:tc>
      </w:tr>
    </w:tbl>
    <w:p w:rsidR="00CE532C" w:rsidRPr="00352949" w:rsidRDefault="00CE532C" w:rsidP="00CE532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16"/>
          <w:szCs w:val="16"/>
          <w:lang w:val="ru-RU"/>
        </w:rPr>
      </w:pPr>
    </w:p>
    <w:p w:rsidR="00CE532C" w:rsidRDefault="00CE532C" w:rsidP="00CE532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</w:pP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Якісний кредитний портфель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споживчого кредитування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є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результатом цілеспрямованих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та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ефективних управлінських рішень посадових осіб,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які відповідають за кредитну діяльність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фізичних осіб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комерційного 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банку.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Процес формування кредитного портфеля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фізичних осіб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надзвичайно важливий для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банківських установ,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п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оскільки</w:t>
      </w:r>
      <w:proofErr w:type="spellEnd"/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дані 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кредитні операції хоча і є найбільш прибутковими,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водночас вони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й </w:t>
      </w:r>
      <w:r w:rsidRPr="00796B24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найбільш ризиковані.</w:t>
      </w:r>
    </w:p>
    <w:p w:rsidR="00CE532C" w:rsidRDefault="00CE532C" w:rsidP="00CE532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</w:pP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Під час фор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му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вання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кредитн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ого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портфел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я споживчого кредитування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, кредитор повинен мати на увазі, що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зростання кількості позичальників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і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обсягів кредитування з можливістю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одержання більшого очікуваного доходу є настільки ж позитивним, наскільки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і 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негативним явищем, зважаючи на зростаючу 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lastRenderedPageBreak/>
        <w:t xml:space="preserve">ризикованість портфеля </w:t>
      </w:r>
      <w:r w:rsidR="00CD2C38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банку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.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Здійснення оцінки, знаходження напрямів зниження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і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проведення контролю за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кредитним ризиком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по споживчим кредитам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виступає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ключовим завданням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в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процесі формування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в цілому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кредитного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</w:t>
      </w:r>
      <w:r w:rsidRPr="00856E73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портфеля банку. </w:t>
      </w:r>
    </w:p>
    <w:p w:rsidR="00CE532C" w:rsidRPr="00120845" w:rsidRDefault="00CE532C" w:rsidP="00CE532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</w:pPr>
      <w:r w:rsidRPr="00120845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З наведеного вище можна зробити наступні</w:t>
      </w:r>
      <w:r w:rsidR="00D02A18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висновки. Кредитний  портфель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споживчого кредитування </w:t>
      </w:r>
      <w:r w:rsidRPr="00120845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банку слід розглядати не як просту сукупність наданих позичок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фізичним особам</w:t>
      </w:r>
      <w:r w:rsidR="00D02A18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, що є  результатом  хаотичного</w:t>
      </w:r>
      <w:r w:rsidRPr="00120845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пров</w:t>
      </w:r>
      <w:r w:rsidR="00D02A18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едення  активних  операцій, а як структурований </w:t>
      </w:r>
      <w:r w:rsidRPr="00120845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портфель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кредитів</w:t>
      </w:r>
      <w:r w:rsidRPr="00120845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, що піддається оцінці, сегментації, класифікації та управлінню, ха</w:t>
      </w:r>
      <w:r w:rsidR="00D02A18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рактер </w:t>
      </w:r>
      <w:r w:rsidRPr="00120845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якого документально заздалегідь  визначається  кредитною політикою —  стратегією і тактикою  бан</w:t>
      </w:r>
      <w:r w:rsidR="00D02A18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ку  щодо залучення коштів та спрямування їх </w:t>
      </w:r>
      <w:r w:rsidRPr="00120845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на кредитування </w:t>
      </w:r>
      <w:r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>фізичних осіб</w:t>
      </w:r>
      <w:r w:rsidRPr="00120845">
        <w:rPr>
          <w:rFonts w:ascii="Times New Roman" w:eastAsia="Times New Roman" w:hAnsi="Times New Roman" w:cs="Times New Roman"/>
          <w:spacing w:val="-1"/>
          <w:sz w:val="28"/>
          <w:szCs w:val="20"/>
          <w:lang w:eastAsia="uk-UA"/>
        </w:rPr>
        <w:t xml:space="preserve"> на основі принципів кредитування.</w:t>
      </w:r>
    </w:p>
    <w:p w:rsidR="008D48CB" w:rsidRDefault="00CD2C38" w:rsidP="00CE532C">
      <w:pPr>
        <w:spacing w:after="0"/>
        <w:ind w:firstLine="709"/>
      </w:pPr>
    </w:p>
    <w:p w:rsidR="007540A2" w:rsidRDefault="007540A2" w:rsidP="007540A2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540A2">
        <w:rPr>
          <w:rFonts w:ascii="Times New Roman" w:hAnsi="Times New Roman" w:cs="Times New Roman"/>
          <w:sz w:val="28"/>
          <w:szCs w:val="28"/>
        </w:rPr>
        <w:t>Список використаних джерел</w:t>
      </w:r>
    </w:p>
    <w:p w:rsidR="007540A2" w:rsidRPr="007540A2" w:rsidRDefault="007540A2" w:rsidP="00352949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Кокин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А.С.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Оценка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лимита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риска при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кредитовании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банками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промышленных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предприятий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учетом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отраслевых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региональных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особенностей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/ А.С.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Кокин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, К.Г.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Шумкова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Нижний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Новгород: НИСОЦ, 2012. –180 с.</w:t>
      </w:r>
    </w:p>
    <w:p w:rsidR="007540A2" w:rsidRPr="007540A2" w:rsidRDefault="007540A2" w:rsidP="00352949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Лаврушин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О. И.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Банковское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дело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современная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кредитования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 xml:space="preserve"> / О. И.  </w:t>
      </w:r>
      <w:proofErr w:type="spellStart"/>
      <w:r w:rsidRPr="007540A2">
        <w:rPr>
          <w:rFonts w:ascii="Times New Roman" w:hAnsi="Times New Roman" w:cs="Times New Roman"/>
          <w:sz w:val="28"/>
          <w:szCs w:val="28"/>
        </w:rPr>
        <w:t>Лаврушин</w:t>
      </w:r>
      <w:proofErr w:type="spellEnd"/>
      <w:r w:rsidRPr="007540A2">
        <w:rPr>
          <w:rFonts w:ascii="Times New Roman" w:hAnsi="Times New Roman" w:cs="Times New Roman"/>
          <w:sz w:val="28"/>
          <w:szCs w:val="28"/>
        </w:rPr>
        <w:t>. – М. : КНОРУС, 2005. – 256 с.</w:t>
      </w:r>
    </w:p>
    <w:p w:rsidR="00352949" w:rsidRPr="00352949" w:rsidRDefault="00352949" w:rsidP="00352949">
      <w:pPr>
        <w:pStyle w:val="a4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52949">
        <w:rPr>
          <w:rFonts w:ascii="Times New Roman" w:hAnsi="Times New Roman" w:cs="Times New Roman"/>
          <w:sz w:val="28"/>
          <w:szCs w:val="28"/>
        </w:rPr>
        <w:t xml:space="preserve">Панова  Г.С. Напрями вдосконалення роботи банків України з проблемними активами в посткризовий період / Г.С. Панова // Вісник Національного банку України. – 2010. – № 4. – С. 35–46. </w:t>
      </w:r>
    </w:p>
    <w:p w:rsidR="00352949" w:rsidRPr="00E24798" w:rsidRDefault="00352949" w:rsidP="00352949">
      <w:pPr>
        <w:pStyle w:val="a4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4798">
        <w:rPr>
          <w:rFonts w:ascii="Times New Roman" w:hAnsi="Times New Roman" w:cs="Times New Roman"/>
          <w:sz w:val="28"/>
          <w:szCs w:val="28"/>
        </w:rPr>
        <w:t>Про споживче кредитування. Закон України від 15.11.2016 р. № 1734-VIII [Електронний ресурс]. – Режим доступу: http://zakon5.rada.gov.ua/laws/show/1734-19.</w:t>
      </w:r>
    </w:p>
    <w:p w:rsidR="00352949" w:rsidRPr="00352949" w:rsidRDefault="00352949" w:rsidP="00352949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52949">
        <w:rPr>
          <w:rFonts w:ascii="Times New Roman" w:hAnsi="Times New Roman" w:cs="Times New Roman"/>
          <w:sz w:val="28"/>
          <w:szCs w:val="28"/>
        </w:rPr>
        <w:t>Івасів Б. С. Гроші та кредит : [підручник] / Б. С. Івасів. – [3-те вид.] – Тернопіль : Карт-бланш, 2008. – 528 с.</w:t>
      </w:r>
    </w:p>
    <w:p w:rsidR="00352949" w:rsidRDefault="00352949" w:rsidP="00352949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352949">
        <w:rPr>
          <w:rFonts w:ascii="Times New Roman" w:hAnsi="Times New Roman" w:cs="Times New Roman"/>
          <w:sz w:val="28"/>
          <w:szCs w:val="28"/>
        </w:rPr>
        <w:t xml:space="preserve">Міщенко В.І. Банківські операції: підручник / В.І. Міщенко, Н.Г. </w:t>
      </w:r>
      <w:proofErr w:type="spellStart"/>
      <w:r w:rsidRPr="00352949">
        <w:rPr>
          <w:rFonts w:ascii="Times New Roman" w:hAnsi="Times New Roman" w:cs="Times New Roman"/>
          <w:sz w:val="28"/>
          <w:szCs w:val="28"/>
        </w:rPr>
        <w:t>Слав’янська</w:t>
      </w:r>
      <w:proofErr w:type="spellEnd"/>
      <w:r w:rsidRPr="00352949">
        <w:rPr>
          <w:rFonts w:ascii="Times New Roman" w:hAnsi="Times New Roman" w:cs="Times New Roman"/>
          <w:sz w:val="28"/>
          <w:szCs w:val="28"/>
        </w:rPr>
        <w:t xml:space="preserve">, О.Г. </w:t>
      </w:r>
      <w:proofErr w:type="spellStart"/>
      <w:r w:rsidRPr="00352949">
        <w:rPr>
          <w:rFonts w:ascii="Times New Roman" w:hAnsi="Times New Roman" w:cs="Times New Roman"/>
          <w:sz w:val="28"/>
          <w:szCs w:val="28"/>
        </w:rPr>
        <w:t>Коренєва</w:t>
      </w:r>
      <w:proofErr w:type="spellEnd"/>
      <w:r w:rsidRPr="00352949">
        <w:rPr>
          <w:rFonts w:ascii="Times New Roman" w:hAnsi="Times New Roman" w:cs="Times New Roman"/>
          <w:sz w:val="28"/>
          <w:szCs w:val="28"/>
        </w:rPr>
        <w:t xml:space="preserve">. – 2-ге вид., перероб. і </w:t>
      </w:r>
      <w:proofErr w:type="spellStart"/>
      <w:r w:rsidRPr="00352949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352949">
        <w:rPr>
          <w:rFonts w:ascii="Times New Roman" w:hAnsi="Times New Roman" w:cs="Times New Roman"/>
          <w:sz w:val="28"/>
          <w:szCs w:val="28"/>
        </w:rPr>
        <w:t>. – Київ: Знання, 2007. – 796 с.</w:t>
      </w:r>
    </w:p>
    <w:p w:rsidR="007540A2" w:rsidRPr="00352949" w:rsidRDefault="007540A2" w:rsidP="003529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540A2" w:rsidRPr="00352949" w:rsidSect="008B5B8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22B59"/>
    <w:multiLevelType w:val="hybridMultilevel"/>
    <w:tmpl w:val="71A653CC"/>
    <w:lvl w:ilvl="0" w:tplc="69928248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09A1E27"/>
    <w:multiLevelType w:val="hybridMultilevel"/>
    <w:tmpl w:val="DBCE2872"/>
    <w:lvl w:ilvl="0" w:tplc="0422000F">
      <w:start w:val="1"/>
      <w:numFmt w:val="decimal"/>
      <w:lvlText w:val="%1."/>
      <w:lvlJc w:val="left"/>
      <w:pPr>
        <w:ind w:left="1070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32C"/>
    <w:rsid w:val="003528E8"/>
    <w:rsid w:val="00352949"/>
    <w:rsid w:val="00583501"/>
    <w:rsid w:val="007540A2"/>
    <w:rsid w:val="007C20FC"/>
    <w:rsid w:val="008924B3"/>
    <w:rsid w:val="008B5B8A"/>
    <w:rsid w:val="00A94FA8"/>
    <w:rsid w:val="00BC0B83"/>
    <w:rsid w:val="00CD2C38"/>
    <w:rsid w:val="00CE532C"/>
    <w:rsid w:val="00D02A18"/>
    <w:rsid w:val="00D24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366A9"/>
  <w15:chartTrackingRefBased/>
  <w15:docId w15:val="{E4699CCC-6B2A-497E-AFDC-77B4FEB2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532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E53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540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6D9EB9-6912-4726-B984-6C2808260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4</Pages>
  <Words>4865</Words>
  <Characters>2774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3</cp:revision>
  <dcterms:created xsi:type="dcterms:W3CDTF">2019-05-26T20:32:00Z</dcterms:created>
  <dcterms:modified xsi:type="dcterms:W3CDTF">2019-05-27T16:15:00Z</dcterms:modified>
</cp:coreProperties>
</file>