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48CB" w:rsidRDefault="00FF2283" w:rsidP="000B7AB4">
      <w:pPr>
        <w:widowControl w:val="0"/>
        <w:spacing w:after="0" w:line="353" w:lineRule="auto"/>
        <w:rPr>
          <w:rFonts w:ascii="Times New Roman" w:hAnsi="Times New Roman" w:cs="Times New Roman"/>
          <w:sz w:val="24"/>
          <w:szCs w:val="24"/>
        </w:rPr>
      </w:pPr>
      <w:bookmarkStart w:id="0" w:name="_GoBack"/>
      <w:r w:rsidRPr="00FF2283">
        <w:rPr>
          <w:rFonts w:ascii="Times New Roman" w:hAnsi="Times New Roman" w:cs="Times New Roman"/>
          <w:sz w:val="24"/>
          <w:szCs w:val="24"/>
        </w:rPr>
        <w:t>УДК</w:t>
      </w:r>
      <w:r w:rsidR="007F0B0C" w:rsidRPr="007F0B0C">
        <w:rPr>
          <w:rFonts w:ascii="Times New Roman" w:hAnsi="Times New Roman" w:cs="Times New Roman"/>
          <w:sz w:val="24"/>
          <w:szCs w:val="24"/>
        </w:rPr>
        <w:t xml:space="preserve"> 336.77.567.22(477).</w:t>
      </w:r>
    </w:p>
    <w:p w:rsidR="00FF2283" w:rsidRDefault="00FF2283" w:rsidP="000B7AB4">
      <w:pPr>
        <w:widowControl w:val="0"/>
        <w:spacing w:after="0" w:line="353" w:lineRule="auto"/>
        <w:jc w:val="right"/>
        <w:rPr>
          <w:rFonts w:ascii="Times New Roman" w:hAnsi="Times New Roman" w:cs="Times New Roman"/>
          <w:sz w:val="24"/>
          <w:szCs w:val="24"/>
        </w:rPr>
      </w:pPr>
      <w:r>
        <w:rPr>
          <w:rFonts w:ascii="Times New Roman" w:hAnsi="Times New Roman" w:cs="Times New Roman"/>
          <w:sz w:val="24"/>
          <w:szCs w:val="24"/>
        </w:rPr>
        <w:t>К.Л. ЛАРІОНОВА</w:t>
      </w:r>
    </w:p>
    <w:p w:rsidR="00FF2283" w:rsidRDefault="00FF2283" w:rsidP="000B7AB4">
      <w:pPr>
        <w:widowControl w:val="0"/>
        <w:spacing w:after="0" w:line="353" w:lineRule="auto"/>
        <w:jc w:val="right"/>
        <w:rPr>
          <w:rFonts w:ascii="Times New Roman" w:hAnsi="Times New Roman" w:cs="Times New Roman"/>
          <w:sz w:val="20"/>
          <w:szCs w:val="20"/>
        </w:rPr>
      </w:pPr>
      <w:r>
        <w:rPr>
          <w:rFonts w:ascii="Times New Roman" w:hAnsi="Times New Roman" w:cs="Times New Roman"/>
          <w:sz w:val="20"/>
          <w:szCs w:val="20"/>
        </w:rPr>
        <w:t>Хмельницький національний університет</w:t>
      </w:r>
    </w:p>
    <w:p w:rsidR="00FF2283" w:rsidRDefault="00FF2283" w:rsidP="000B7AB4">
      <w:pPr>
        <w:widowControl w:val="0"/>
        <w:spacing w:after="0" w:line="353" w:lineRule="auto"/>
        <w:jc w:val="right"/>
        <w:rPr>
          <w:rFonts w:ascii="Times New Roman" w:hAnsi="Times New Roman" w:cs="Times New Roman"/>
          <w:sz w:val="20"/>
          <w:szCs w:val="20"/>
        </w:rPr>
      </w:pPr>
    </w:p>
    <w:p w:rsidR="00FF2283" w:rsidRDefault="00FF2283" w:rsidP="000B7AB4">
      <w:pPr>
        <w:widowControl w:val="0"/>
        <w:spacing w:after="0" w:line="353" w:lineRule="auto"/>
        <w:jc w:val="center"/>
        <w:rPr>
          <w:rFonts w:ascii="Times New Roman" w:hAnsi="Times New Roman" w:cs="Times New Roman"/>
          <w:b/>
          <w:sz w:val="24"/>
          <w:szCs w:val="24"/>
        </w:rPr>
      </w:pPr>
      <w:r w:rsidRPr="00FF2283">
        <w:rPr>
          <w:rFonts w:ascii="Times New Roman" w:hAnsi="Times New Roman" w:cs="Times New Roman"/>
          <w:b/>
          <w:sz w:val="24"/>
          <w:szCs w:val="24"/>
        </w:rPr>
        <w:t>СУТНІСТЬ КРЕДИТНОГО ПОРТФЕЛЯ СПОЖИВЧОГО КРЕДИТУВАННЯ БАНКУ</w:t>
      </w:r>
    </w:p>
    <w:p w:rsidR="00E9445D" w:rsidRDefault="00E9445D" w:rsidP="000B7AB4">
      <w:pPr>
        <w:widowControl w:val="0"/>
        <w:spacing w:after="0" w:line="353" w:lineRule="auto"/>
        <w:jc w:val="center"/>
        <w:rPr>
          <w:rFonts w:ascii="Times New Roman" w:hAnsi="Times New Roman" w:cs="Times New Roman"/>
          <w:b/>
          <w:sz w:val="24"/>
          <w:szCs w:val="24"/>
        </w:rPr>
      </w:pPr>
    </w:p>
    <w:p w:rsidR="00FF2283" w:rsidRPr="00FF2283" w:rsidRDefault="00FF2283" w:rsidP="000B7AB4">
      <w:pPr>
        <w:widowControl w:val="0"/>
        <w:autoSpaceDE w:val="0"/>
        <w:autoSpaceDN w:val="0"/>
        <w:adjustRightInd w:val="0"/>
        <w:spacing w:after="0" w:line="353" w:lineRule="auto"/>
        <w:ind w:firstLine="709"/>
        <w:jc w:val="both"/>
        <w:rPr>
          <w:rFonts w:ascii="Times New Roman" w:hAnsi="Times New Roman" w:cs="Times New Roman"/>
          <w:sz w:val="24"/>
          <w:szCs w:val="24"/>
        </w:rPr>
      </w:pPr>
      <w:r w:rsidRPr="00FF2283">
        <w:rPr>
          <w:rFonts w:ascii="Times New Roman" w:hAnsi="Times New Roman" w:cs="Times New Roman"/>
          <w:sz w:val="24"/>
          <w:szCs w:val="24"/>
        </w:rPr>
        <w:t>Визначення сутності основних економічних категорій є одним з найважливіших напрямів наукових досліджень. Водночас складність дослідження будь-якого питання в сфері економічних відносин пов’язана з існуванням ряду дискусійних моментів і відсутністю єдиної наукової думки. Проаналізувавши велику кількість наукових робіт з питання споживчого кредитування, необхідно зазначити, що відсутнє таке поняття як кредитний портфель споживчого кредитування банку. Тому спочатку проаналізуємо окремо такі економічні поняття як «кредитний портфель» та «споживче кредитування». У зв’язку з цим вважаємо логічним спочатку дослідити сутність «кредитного портфеля», а далі глибше вивчити його функціонування на основі його деталізації, а саме «кредитного портфеля споживчих осіб».</w:t>
      </w:r>
    </w:p>
    <w:p w:rsidR="00FF2283" w:rsidRPr="00FF2283" w:rsidRDefault="00FF2283" w:rsidP="000B7AB4">
      <w:pPr>
        <w:widowControl w:val="0"/>
        <w:spacing w:after="0" w:line="353" w:lineRule="auto"/>
        <w:ind w:firstLine="709"/>
        <w:jc w:val="both"/>
        <w:rPr>
          <w:rFonts w:ascii="Times New Roman" w:hAnsi="Times New Roman" w:cs="Times New Roman"/>
          <w:sz w:val="24"/>
          <w:szCs w:val="24"/>
        </w:rPr>
      </w:pPr>
      <w:r w:rsidRPr="00FF2283">
        <w:rPr>
          <w:rFonts w:ascii="Times New Roman" w:hAnsi="Times New Roman" w:cs="Times New Roman"/>
          <w:sz w:val="24"/>
          <w:szCs w:val="24"/>
        </w:rPr>
        <w:t xml:space="preserve">Насамперед, розглянемо головні наукові підходи до трактування сутності кредитного портфеля </w:t>
      </w:r>
      <w:r w:rsidR="001A0721">
        <w:rPr>
          <w:rFonts w:ascii="Times New Roman" w:hAnsi="Times New Roman" w:cs="Times New Roman"/>
          <w:sz w:val="24"/>
          <w:szCs w:val="24"/>
        </w:rPr>
        <w:t xml:space="preserve">і </w:t>
      </w:r>
      <w:r w:rsidRPr="00FF2283">
        <w:rPr>
          <w:rFonts w:ascii="Times New Roman" w:hAnsi="Times New Roman" w:cs="Times New Roman"/>
          <w:sz w:val="24"/>
          <w:szCs w:val="24"/>
        </w:rPr>
        <w:t>згрупуємо визначення даного поняття, сформульовані різними науковцями та практиками за основними ознаками.</w:t>
      </w:r>
    </w:p>
    <w:p w:rsidR="00FF228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Згрупуємо</w:t>
      </w:r>
      <w:r w:rsidR="00FF2283" w:rsidRPr="00FF2283">
        <w:rPr>
          <w:rFonts w:ascii="Times New Roman" w:hAnsi="Times New Roman" w:cs="Times New Roman"/>
          <w:sz w:val="24"/>
          <w:szCs w:val="24"/>
        </w:rPr>
        <w:t xml:space="preserve"> визначення поняття «кредитний портфель» за трьома ознаками. Зокрема, науковці, які при визначенні підходів до сутності кредитного портфелю </w:t>
      </w:r>
      <w:r>
        <w:rPr>
          <w:rFonts w:ascii="Times New Roman" w:hAnsi="Times New Roman" w:cs="Times New Roman"/>
          <w:sz w:val="24"/>
          <w:szCs w:val="24"/>
        </w:rPr>
        <w:t xml:space="preserve">були віднесені до першої групи </w:t>
      </w:r>
      <w:r w:rsidRPr="001A7DF3">
        <w:rPr>
          <w:rFonts w:ascii="Times New Roman" w:hAnsi="Times New Roman" w:cs="Times New Roman"/>
          <w:sz w:val="24"/>
          <w:szCs w:val="24"/>
        </w:rPr>
        <w:t>[</w:t>
      </w:r>
      <w:r w:rsidR="0002382C">
        <w:rPr>
          <w:rFonts w:ascii="Times New Roman" w:hAnsi="Times New Roman" w:cs="Times New Roman"/>
          <w:sz w:val="24"/>
          <w:szCs w:val="24"/>
        </w:rPr>
        <w:t>1; 2; 3; 4</w:t>
      </w:r>
      <w:r>
        <w:rPr>
          <w:rFonts w:ascii="Times New Roman" w:hAnsi="Times New Roman" w:cs="Times New Roman"/>
          <w:sz w:val="24"/>
          <w:szCs w:val="24"/>
        </w:rPr>
        <w:t>]</w:t>
      </w:r>
      <w:r w:rsidR="00FF2283" w:rsidRPr="00FF2283">
        <w:rPr>
          <w:rFonts w:ascii="Times New Roman" w:hAnsi="Times New Roman" w:cs="Times New Roman"/>
          <w:sz w:val="24"/>
          <w:szCs w:val="24"/>
        </w:rPr>
        <w:t>, розглядають кредитний портфель як сукупність виданих позичок, тим самим враховують лише здійснення кредитної операції банківською установою</w:t>
      </w:r>
      <w:r w:rsidR="00FF2283">
        <w:rPr>
          <w:rFonts w:ascii="Times New Roman" w:hAnsi="Times New Roman" w:cs="Times New Roman"/>
          <w:sz w:val="24"/>
          <w:szCs w:val="24"/>
        </w:rPr>
        <w:t>.</w:t>
      </w:r>
    </w:p>
    <w:p w:rsidR="00FF2283" w:rsidRPr="00FF2283" w:rsidRDefault="00FF2283" w:rsidP="000B7AB4">
      <w:pPr>
        <w:widowControl w:val="0"/>
        <w:spacing w:after="0" w:line="353" w:lineRule="auto"/>
        <w:ind w:firstLine="709"/>
        <w:jc w:val="both"/>
        <w:rPr>
          <w:rFonts w:ascii="Times New Roman" w:hAnsi="Times New Roman" w:cs="Times New Roman"/>
          <w:sz w:val="24"/>
          <w:szCs w:val="24"/>
        </w:rPr>
      </w:pPr>
      <w:r w:rsidRPr="00FF2283">
        <w:rPr>
          <w:rFonts w:ascii="Times New Roman" w:hAnsi="Times New Roman" w:cs="Times New Roman"/>
          <w:sz w:val="24"/>
          <w:szCs w:val="24"/>
        </w:rPr>
        <w:t>Другу групу визначень фо</w:t>
      </w:r>
      <w:r w:rsidR="001A7DF3">
        <w:rPr>
          <w:rFonts w:ascii="Times New Roman" w:hAnsi="Times New Roman" w:cs="Times New Roman"/>
          <w:sz w:val="24"/>
          <w:szCs w:val="24"/>
        </w:rPr>
        <w:t>рмують наукові підходи авторів [</w:t>
      </w:r>
      <w:r w:rsidR="0002382C">
        <w:rPr>
          <w:rFonts w:ascii="Times New Roman" w:hAnsi="Times New Roman" w:cs="Times New Roman"/>
          <w:sz w:val="24"/>
          <w:szCs w:val="24"/>
        </w:rPr>
        <w:t>5;</w:t>
      </w:r>
      <w:r w:rsidRPr="00FF2283">
        <w:rPr>
          <w:rFonts w:ascii="Times New Roman" w:hAnsi="Times New Roman" w:cs="Times New Roman"/>
          <w:sz w:val="24"/>
          <w:szCs w:val="24"/>
        </w:rPr>
        <w:t xml:space="preserve"> </w:t>
      </w:r>
      <w:r w:rsidR="0002382C">
        <w:rPr>
          <w:rFonts w:ascii="Times New Roman" w:hAnsi="Times New Roman" w:cs="Times New Roman"/>
          <w:sz w:val="24"/>
          <w:szCs w:val="24"/>
        </w:rPr>
        <w:t>6</w:t>
      </w:r>
      <w:r w:rsidR="001A7DF3" w:rsidRPr="001A7DF3">
        <w:rPr>
          <w:rFonts w:ascii="Times New Roman" w:hAnsi="Times New Roman" w:cs="Times New Roman"/>
          <w:sz w:val="24"/>
          <w:szCs w:val="24"/>
        </w:rPr>
        <w:t>]</w:t>
      </w:r>
      <w:r w:rsidRPr="00FF2283">
        <w:rPr>
          <w:rFonts w:ascii="Times New Roman" w:hAnsi="Times New Roman" w:cs="Times New Roman"/>
          <w:sz w:val="24"/>
          <w:szCs w:val="24"/>
        </w:rPr>
        <w:t xml:space="preserve">, які наголошують на тому, що кредитний портфель є складним управлінським процесом, що характеризує вибір напрямків вкладень, тобто плановані дії. Цим підкреслюється значення кредитування серед інших банківських послуг. </w:t>
      </w:r>
    </w:p>
    <w:p w:rsidR="00FF2283" w:rsidRDefault="0002382C"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Третя група [7</w:t>
      </w:r>
      <w:r w:rsidR="001A7DF3">
        <w:rPr>
          <w:rFonts w:ascii="Times New Roman" w:hAnsi="Times New Roman" w:cs="Times New Roman"/>
          <w:sz w:val="24"/>
          <w:szCs w:val="24"/>
        </w:rPr>
        <w:t>]</w:t>
      </w:r>
      <w:r w:rsidR="00FF2283" w:rsidRPr="00FF2283">
        <w:rPr>
          <w:rFonts w:ascii="Times New Roman" w:hAnsi="Times New Roman" w:cs="Times New Roman"/>
          <w:sz w:val="24"/>
          <w:szCs w:val="24"/>
        </w:rPr>
        <w:t xml:space="preserve"> відображає значення здійснення кредитних операцій на макрорівні, тобто розгадається роль та значення кредитного портфеля не тільки на рівні банківської установи, але і на </w:t>
      </w:r>
      <w:proofErr w:type="spellStart"/>
      <w:r w:rsidR="00FF2283" w:rsidRPr="00FF2283">
        <w:rPr>
          <w:rFonts w:ascii="Times New Roman" w:hAnsi="Times New Roman" w:cs="Times New Roman"/>
          <w:sz w:val="24"/>
          <w:szCs w:val="24"/>
        </w:rPr>
        <w:t>мегарівні</w:t>
      </w:r>
      <w:proofErr w:type="spellEnd"/>
      <w:r w:rsidR="00FF2283" w:rsidRPr="00FF2283">
        <w:rPr>
          <w:rFonts w:ascii="Times New Roman" w:hAnsi="Times New Roman" w:cs="Times New Roman"/>
          <w:sz w:val="24"/>
          <w:szCs w:val="24"/>
        </w:rPr>
        <w:t xml:space="preserve"> рівні.</w:t>
      </w:r>
    </w:p>
    <w:p w:rsidR="00FF2283" w:rsidRDefault="00FF2283" w:rsidP="000B7AB4">
      <w:pPr>
        <w:widowControl w:val="0"/>
        <w:spacing w:after="0" w:line="353" w:lineRule="auto"/>
        <w:ind w:firstLine="709"/>
        <w:jc w:val="both"/>
        <w:rPr>
          <w:rFonts w:ascii="Times New Roman" w:hAnsi="Times New Roman" w:cs="Times New Roman"/>
          <w:sz w:val="24"/>
          <w:szCs w:val="24"/>
        </w:rPr>
      </w:pPr>
      <w:r w:rsidRPr="00FF2283">
        <w:rPr>
          <w:rFonts w:ascii="Times New Roman" w:hAnsi="Times New Roman" w:cs="Times New Roman"/>
          <w:sz w:val="24"/>
          <w:szCs w:val="24"/>
        </w:rPr>
        <w:t xml:space="preserve">Підсумовуючи аналіз визначень поняття «кредитний портфель», які в своїй основі розглядають його як сукупність наданих банком позичок і враховують фактор одержання доходу як стратегічної мети функціонування банку. Однак, на нашу думку, такі підходи мають дещо спрощений характер та не відображають ключової ролі кредитування в системі операцій комерційного банку. За таких умов при розробці методичних основ формулювання поняття кредитного портфеля ще необхідно спиратися передусім на основні принципи діяльності комерційного банку, які відображають конкретні умови функціонування його на ринку і </w:t>
      </w:r>
      <w:r w:rsidRPr="00FF2283">
        <w:rPr>
          <w:rFonts w:ascii="Times New Roman" w:hAnsi="Times New Roman" w:cs="Times New Roman"/>
          <w:sz w:val="24"/>
          <w:szCs w:val="24"/>
        </w:rPr>
        <w:lastRenderedPageBreak/>
        <w:t>стратегічні цілі банківської установи.</w:t>
      </w:r>
    </w:p>
    <w:p w:rsidR="001A0721" w:rsidRP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Далі розглянемо головні наукові підходи до трактування сутності споживчого кредиту.</w:t>
      </w:r>
    </w:p>
    <w:p w:rsidR="00FF2283"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Споживчий кредит відіграє надзвичайно важливу роль як у швидкому задоволенні постійно зростаючих потреб фізичних осіб, так і у розвитку економіки в цілому.</w:t>
      </w:r>
    </w:p>
    <w:p w:rsid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Проведений аналіз підходів до визначення сутності споживчого кредиту, у нормативно-правових актах України та окремими науковцями</w:t>
      </w:r>
      <w:r w:rsidR="0002382C">
        <w:rPr>
          <w:rFonts w:ascii="Times New Roman" w:hAnsi="Times New Roman" w:cs="Times New Roman"/>
          <w:sz w:val="24"/>
          <w:szCs w:val="24"/>
        </w:rPr>
        <w:t xml:space="preserve"> [2, с. 180; 8, с. 198; 9; 10]</w:t>
      </w:r>
      <w:r w:rsidRPr="001A0721">
        <w:rPr>
          <w:rFonts w:ascii="Times New Roman" w:hAnsi="Times New Roman" w:cs="Times New Roman"/>
          <w:sz w:val="24"/>
          <w:szCs w:val="24"/>
        </w:rPr>
        <w:t>, дозволив зробити висновок, що визначення споживчого кредиту є дискусійним у кожній його частині. Таким чином, проблема визначення сутності споживчого кредиту полягає у чотирьох аспектах: у визначенні об’єкта кредитування, суб’єкта кредитування, валюти кредиту та принципів, відповідно до яких здійснюється кредитування</w:t>
      </w:r>
      <w:r>
        <w:rPr>
          <w:rFonts w:ascii="Times New Roman" w:hAnsi="Times New Roman" w:cs="Times New Roman"/>
          <w:sz w:val="24"/>
          <w:szCs w:val="24"/>
        </w:rPr>
        <w:t>.</w:t>
      </w:r>
    </w:p>
    <w:p w:rsidR="001A0721" w:rsidRP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 xml:space="preserve">Різні за змістом та характером визначення споживчого кредиту, наведені в науковій літературі, є свідченням того, що цей вид кредиту є недостатньо досліджуваним. Відсутність узгодженості у визначенні суб’єктів і об’єктів, а також чіткого переліку принципів і особливостей цієї форми кредиту обумовлює необхідність авторського визначення споживчого кредиту. </w:t>
      </w:r>
    </w:p>
    <w:p w:rsid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 xml:space="preserve">Проведене дослідження дозволяє зробити висновок, що споживчий кредит – це кредит, який надається банком або небанківською фінансово-кредитною установою фізичній особі – резиденту в національній валюті для потреб, що не пов’язані з підприємницькою діяльністю на умовах повернення, строковості та платності. У разі, якщо </w:t>
      </w:r>
      <w:proofErr w:type="spellStart"/>
      <w:r w:rsidRPr="001A0721">
        <w:rPr>
          <w:rFonts w:ascii="Times New Roman" w:hAnsi="Times New Roman" w:cs="Times New Roman"/>
          <w:sz w:val="24"/>
          <w:szCs w:val="24"/>
        </w:rPr>
        <w:t>кредитодавцем</w:t>
      </w:r>
      <w:proofErr w:type="spellEnd"/>
      <w:r w:rsidRPr="001A0721">
        <w:rPr>
          <w:rFonts w:ascii="Times New Roman" w:hAnsi="Times New Roman" w:cs="Times New Roman"/>
          <w:sz w:val="24"/>
          <w:szCs w:val="24"/>
        </w:rPr>
        <w:t xml:space="preserve"> є банк, такий кредит називають банківським.</w:t>
      </w:r>
    </w:p>
    <w:p w:rsidR="001A0721" w:rsidRP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Підсумовуючи вищевикладені поняття «споживчого кредиту» та «кредитного портфеля», дамо власне визначення «кредитного портфеля споживчого кредитування».</w:t>
      </w:r>
    </w:p>
    <w:p w:rsid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Кредитний портфель споживчого кредитування можна визначити як сукупність кредитів, наданих банком або небанківською фінансово-кредитною установою фізичній особі – резиденту в національній валюті для потреб, що не пов’язані з підприємницькою діяльністю, та сформовану з метою одержання прийнятного рівня доходу і забезпечення платоспроможності банку при мінімальному рівні кредитних ризиків.</w:t>
      </w:r>
    </w:p>
    <w:p w:rsid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В цьому понятті відтворені три ключові пов’язані між собою аспекти діяльності банківської установи – дохідність, ліквідність, ризик. Дані параметри найбільш доцільно аналізувати та управляти ними не так з точки зору окремих наданих банком позичок у взаєминах із конкретними клієнтами, як з позицій всієї сукупності виданих споживчих кредитів в рамках кредитного портфеля конкретного банку. Кредитний портфель споживчого кредитування повинен розглядатись комерційним банком як єдиний об’єкт управління зі структурою, що класифікована за типами позичальників, умовами кредитування, напрямами вкладень з відповідним рівнем дохідності та кредитного ризику для банківської установи.</w:t>
      </w:r>
    </w:p>
    <w:p w:rsidR="001A0721" w:rsidRDefault="001A0721" w:rsidP="000B7AB4">
      <w:pPr>
        <w:widowControl w:val="0"/>
        <w:spacing w:after="0" w:line="353" w:lineRule="auto"/>
        <w:ind w:firstLine="709"/>
        <w:jc w:val="both"/>
        <w:rPr>
          <w:rFonts w:ascii="Times New Roman" w:hAnsi="Times New Roman" w:cs="Times New Roman"/>
          <w:sz w:val="24"/>
          <w:szCs w:val="24"/>
        </w:rPr>
      </w:pPr>
      <w:r w:rsidRPr="001A0721">
        <w:rPr>
          <w:rFonts w:ascii="Times New Roman" w:hAnsi="Times New Roman" w:cs="Times New Roman"/>
          <w:sz w:val="24"/>
          <w:szCs w:val="24"/>
        </w:rPr>
        <w:t xml:space="preserve">Якісний кредитний портфель споживчого кредитування є результатом </w:t>
      </w:r>
      <w:r w:rsidRPr="001A0721">
        <w:rPr>
          <w:rFonts w:ascii="Times New Roman" w:hAnsi="Times New Roman" w:cs="Times New Roman"/>
          <w:sz w:val="24"/>
          <w:szCs w:val="24"/>
        </w:rPr>
        <w:lastRenderedPageBreak/>
        <w:t xml:space="preserve">цілеспрямованих та ефективних управлінських рішень посадових осіб, які відповідають за кредитну діяльність фізичних осіб комерційного банку. Процес формування кредитного портфеля фізичних осіб надзвичайно важливий для банківських установ, </w:t>
      </w:r>
      <w:proofErr w:type="spellStart"/>
      <w:r w:rsidRPr="001A0721">
        <w:rPr>
          <w:rFonts w:ascii="Times New Roman" w:hAnsi="Times New Roman" w:cs="Times New Roman"/>
          <w:sz w:val="24"/>
          <w:szCs w:val="24"/>
        </w:rPr>
        <w:t>поскільки</w:t>
      </w:r>
      <w:proofErr w:type="spellEnd"/>
      <w:r w:rsidRPr="001A0721">
        <w:rPr>
          <w:rFonts w:ascii="Times New Roman" w:hAnsi="Times New Roman" w:cs="Times New Roman"/>
          <w:sz w:val="24"/>
          <w:szCs w:val="24"/>
        </w:rPr>
        <w:t xml:space="preserve"> дані кредитні операції хоча і є найбільш прибутковими, водночас вони й найбільш ризиковані.</w:t>
      </w:r>
    </w:p>
    <w:p w:rsidR="001A7DF3" w:rsidRDefault="001A7DF3" w:rsidP="000B7AB4">
      <w:pPr>
        <w:widowControl w:val="0"/>
        <w:spacing w:after="0" w:line="353" w:lineRule="auto"/>
        <w:ind w:firstLine="709"/>
        <w:jc w:val="both"/>
        <w:rPr>
          <w:rFonts w:ascii="Times New Roman" w:hAnsi="Times New Roman" w:cs="Times New Roman"/>
          <w:sz w:val="24"/>
          <w:szCs w:val="24"/>
        </w:rPr>
      </w:pPr>
      <w:r w:rsidRPr="001A7DF3">
        <w:rPr>
          <w:rFonts w:ascii="Times New Roman" w:hAnsi="Times New Roman" w:cs="Times New Roman"/>
          <w:sz w:val="24"/>
          <w:szCs w:val="24"/>
        </w:rPr>
        <w:t>З наведеного вище можна зробити наступні висновки. Кредитний  портфель  споживчого кредитування банку слід розглядати не як просту сукупність наданих позичок фізичним особам, що є  результатом  хаотичного  проведення  активних  операцій,  а  як  структурований  портфель кредитів, що піддається оцінці, сегментації, класифікації та управлінню, характер  якого документально заздалегідь  визначається  кредитною політикою —  стратегією і тактикою  банку  щодо залучення  коштів  та  спрямування їх  на кредитування фізичних осіб на основі принципів кредитування.</w:t>
      </w:r>
    </w:p>
    <w:p w:rsidR="001A7DF3" w:rsidRDefault="001A7DF3" w:rsidP="000B7AB4">
      <w:pPr>
        <w:widowControl w:val="0"/>
        <w:spacing w:after="0" w:line="353" w:lineRule="auto"/>
        <w:ind w:firstLine="709"/>
        <w:jc w:val="both"/>
        <w:rPr>
          <w:rFonts w:ascii="Times New Roman" w:hAnsi="Times New Roman" w:cs="Times New Roman"/>
          <w:sz w:val="24"/>
          <w:szCs w:val="24"/>
        </w:rPr>
      </w:pPr>
    </w:p>
    <w:p w:rsidR="001A7DF3" w:rsidRDefault="001A7DF3" w:rsidP="000B7AB4">
      <w:pPr>
        <w:widowControl w:val="0"/>
        <w:spacing w:after="0" w:line="353" w:lineRule="auto"/>
        <w:ind w:firstLine="709"/>
        <w:jc w:val="center"/>
        <w:rPr>
          <w:rFonts w:ascii="Times New Roman" w:hAnsi="Times New Roman" w:cs="Times New Roman"/>
          <w:b/>
          <w:sz w:val="24"/>
          <w:szCs w:val="24"/>
        </w:rPr>
      </w:pPr>
      <w:r w:rsidRPr="001A7DF3">
        <w:rPr>
          <w:rFonts w:ascii="Times New Roman" w:hAnsi="Times New Roman" w:cs="Times New Roman"/>
          <w:b/>
          <w:sz w:val="24"/>
          <w:szCs w:val="24"/>
        </w:rPr>
        <w:t>Список використаних джерел</w:t>
      </w:r>
    </w:p>
    <w:p w:rsidR="001A7DF3" w:rsidRDefault="001A7DF3" w:rsidP="000B7AB4">
      <w:pPr>
        <w:widowControl w:val="0"/>
        <w:spacing w:after="0" w:line="353" w:lineRule="auto"/>
        <w:ind w:firstLine="709"/>
        <w:jc w:val="center"/>
        <w:rPr>
          <w:rFonts w:ascii="Times New Roman" w:hAnsi="Times New Roman" w:cs="Times New Roman"/>
          <w:b/>
          <w:sz w:val="24"/>
          <w:szCs w:val="24"/>
        </w:rPr>
      </w:pPr>
    </w:p>
    <w:p w:rsidR="001A7DF3" w:rsidRDefault="001A7DF3" w:rsidP="000B7AB4">
      <w:pPr>
        <w:widowControl w:val="0"/>
        <w:tabs>
          <w:tab w:val="left" w:pos="993"/>
        </w:tabs>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1A7DF3">
        <w:rPr>
          <w:rFonts w:ascii="Times New Roman" w:hAnsi="Times New Roman" w:cs="Times New Roman"/>
          <w:sz w:val="24"/>
          <w:szCs w:val="24"/>
        </w:rPr>
        <w:t>.</w:t>
      </w:r>
      <w:r w:rsidRPr="001A7DF3">
        <w:rPr>
          <w:rFonts w:ascii="Times New Roman" w:hAnsi="Times New Roman" w:cs="Times New Roman"/>
          <w:sz w:val="24"/>
          <w:szCs w:val="24"/>
        </w:rPr>
        <w:tab/>
      </w:r>
      <w:proofErr w:type="spellStart"/>
      <w:r w:rsidRPr="001A7DF3">
        <w:rPr>
          <w:rFonts w:ascii="Times New Roman" w:hAnsi="Times New Roman" w:cs="Times New Roman"/>
          <w:sz w:val="24"/>
          <w:szCs w:val="24"/>
        </w:rPr>
        <w:t>Кокин</w:t>
      </w:r>
      <w:proofErr w:type="spellEnd"/>
      <w:r w:rsidRPr="001A7DF3">
        <w:rPr>
          <w:rFonts w:ascii="Times New Roman" w:hAnsi="Times New Roman" w:cs="Times New Roman"/>
          <w:sz w:val="24"/>
          <w:szCs w:val="24"/>
        </w:rPr>
        <w:t xml:space="preserve"> А.С. </w:t>
      </w:r>
      <w:proofErr w:type="spellStart"/>
      <w:r w:rsidRPr="001A7DF3">
        <w:rPr>
          <w:rFonts w:ascii="Times New Roman" w:hAnsi="Times New Roman" w:cs="Times New Roman"/>
          <w:sz w:val="24"/>
          <w:szCs w:val="24"/>
        </w:rPr>
        <w:t>Оценка</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лимита</w:t>
      </w:r>
      <w:proofErr w:type="spellEnd"/>
      <w:r w:rsidRPr="001A7DF3">
        <w:rPr>
          <w:rFonts w:ascii="Times New Roman" w:hAnsi="Times New Roman" w:cs="Times New Roman"/>
          <w:sz w:val="24"/>
          <w:szCs w:val="24"/>
        </w:rPr>
        <w:t xml:space="preserve"> риска при </w:t>
      </w:r>
      <w:proofErr w:type="spellStart"/>
      <w:r w:rsidRPr="001A7DF3">
        <w:rPr>
          <w:rFonts w:ascii="Times New Roman" w:hAnsi="Times New Roman" w:cs="Times New Roman"/>
          <w:sz w:val="24"/>
          <w:szCs w:val="24"/>
        </w:rPr>
        <w:t>кредитовании</w:t>
      </w:r>
      <w:proofErr w:type="spellEnd"/>
      <w:r w:rsidRPr="001A7DF3">
        <w:rPr>
          <w:rFonts w:ascii="Times New Roman" w:hAnsi="Times New Roman" w:cs="Times New Roman"/>
          <w:sz w:val="24"/>
          <w:szCs w:val="24"/>
        </w:rPr>
        <w:t xml:space="preserve"> банками </w:t>
      </w:r>
      <w:proofErr w:type="spellStart"/>
      <w:r w:rsidRPr="001A7DF3">
        <w:rPr>
          <w:rFonts w:ascii="Times New Roman" w:hAnsi="Times New Roman" w:cs="Times New Roman"/>
          <w:sz w:val="24"/>
          <w:szCs w:val="24"/>
        </w:rPr>
        <w:t>промышленных</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предприятий</w:t>
      </w:r>
      <w:proofErr w:type="spellEnd"/>
      <w:r w:rsidRPr="001A7DF3">
        <w:rPr>
          <w:rFonts w:ascii="Times New Roman" w:hAnsi="Times New Roman" w:cs="Times New Roman"/>
          <w:sz w:val="24"/>
          <w:szCs w:val="24"/>
        </w:rPr>
        <w:t xml:space="preserve"> с </w:t>
      </w:r>
      <w:proofErr w:type="spellStart"/>
      <w:r w:rsidRPr="001A7DF3">
        <w:rPr>
          <w:rFonts w:ascii="Times New Roman" w:hAnsi="Times New Roman" w:cs="Times New Roman"/>
          <w:sz w:val="24"/>
          <w:szCs w:val="24"/>
        </w:rPr>
        <w:t>учетом</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отраслев</w:t>
      </w:r>
      <w:r>
        <w:rPr>
          <w:rFonts w:ascii="Times New Roman" w:hAnsi="Times New Roman" w:cs="Times New Roman"/>
          <w:sz w:val="24"/>
          <w:szCs w:val="24"/>
        </w:rPr>
        <w:t>ых</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региональных</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особенностей</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Учебник</w:t>
      </w:r>
      <w:proofErr w:type="spellEnd"/>
      <w:r w:rsidRPr="001A7DF3">
        <w:rPr>
          <w:rFonts w:ascii="Times New Roman" w:hAnsi="Times New Roman" w:cs="Times New Roman"/>
          <w:sz w:val="24"/>
          <w:szCs w:val="24"/>
        </w:rPr>
        <w:t xml:space="preserve"> / А.С. </w:t>
      </w:r>
      <w:proofErr w:type="spellStart"/>
      <w:r w:rsidRPr="001A7DF3">
        <w:rPr>
          <w:rFonts w:ascii="Times New Roman" w:hAnsi="Times New Roman" w:cs="Times New Roman"/>
          <w:sz w:val="24"/>
          <w:szCs w:val="24"/>
        </w:rPr>
        <w:t>Кокин</w:t>
      </w:r>
      <w:proofErr w:type="spellEnd"/>
      <w:r w:rsidRPr="001A7DF3">
        <w:rPr>
          <w:rFonts w:ascii="Times New Roman" w:hAnsi="Times New Roman" w:cs="Times New Roman"/>
          <w:sz w:val="24"/>
          <w:szCs w:val="24"/>
        </w:rPr>
        <w:t xml:space="preserve">, К.Г. </w:t>
      </w:r>
      <w:proofErr w:type="spellStart"/>
      <w:r w:rsidRPr="001A7DF3">
        <w:rPr>
          <w:rFonts w:ascii="Times New Roman" w:hAnsi="Times New Roman" w:cs="Times New Roman"/>
          <w:sz w:val="24"/>
          <w:szCs w:val="24"/>
        </w:rPr>
        <w:t>Шумкова</w:t>
      </w:r>
      <w:proofErr w:type="spellEnd"/>
      <w:r w:rsidRPr="001A7DF3">
        <w:rPr>
          <w:rFonts w:ascii="Times New Roman" w:hAnsi="Times New Roman" w:cs="Times New Roman"/>
          <w:sz w:val="24"/>
          <w:szCs w:val="24"/>
        </w:rPr>
        <w:t xml:space="preserve"> – </w:t>
      </w:r>
      <w:proofErr w:type="spellStart"/>
      <w:r w:rsidRPr="001A7DF3">
        <w:rPr>
          <w:rFonts w:ascii="Times New Roman" w:hAnsi="Times New Roman" w:cs="Times New Roman"/>
          <w:sz w:val="24"/>
          <w:szCs w:val="24"/>
        </w:rPr>
        <w:t>Нижний</w:t>
      </w:r>
      <w:proofErr w:type="spellEnd"/>
      <w:r w:rsidRPr="001A7DF3">
        <w:rPr>
          <w:rFonts w:ascii="Times New Roman" w:hAnsi="Times New Roman" w:cs="Times New Roman"/>
          <w:sz w:val="24"/>
          <w:szCs w:val="24"/>
        </w:rPr>
        <w:t xml:space="preserve"> Новгород: НИСОЦ, 2012. –180 с.</w:t>
      </w:r>
    </w:p>
    <w:p w:rsidR="001A7DF3" w:rsidRDefault="001A7DF3" w:rsidP="000B7AB4">
      <w:pPr>
        <w:widowControl w:val="0"/>
        <w:tabs>
          <w:tab w:val="left" w:pos="993"/>
        </w:tabs>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1A7DF3">
        <w:rPr>
          <w:rFonts w:ascii="Times New Roman" w:hAnsi="Times New Roman" w:cs="Times New Roman"/>
          <w:sz w:val="24"/>
          <w:szCs w:val="24"/>
        </w:rPr>
        <w:tab/>
      </w:r>
      <w:proofErr w:type="spellStart"/>
      <w:r w:rsidRPr="001A7DF3">
        <w:rPr>
          <w:rFonts w:ascii="Times New Roman" w:hAnsi="Times New Roman" w:cs="Times New Roman"/>
          <w:sz w:val="24"/>
          <w:szCs w:val="24"/>
        </w:rPr>
        <w:t>Лаврушин</w:t>
      </w:r>
      <w:proofErr w:type="spellEnd"/>
      <w:r w:rsidRPr="001A7DF3">
        <w:rPr>
          <w:rFonts w:ascii="Times New Roman" w:hAnsi="Times New Roman" w:cs="Times New Roman"/>
          <w:sz w:val="24"/>
          <w:szCs w:val="24"/>
        </w:rPr>
        <w:t xml:space="preserve"> О. И. </w:t>
      </w:r>
      <w:proofErr w:type="spellStart"/>
      <w:r w:rsidRPr="001A7DF3">
        <w:rPr>
          <w:rFonts w:ascii="Times New Roman" w:hAnsi="Times New Roman" w:cs="Times New Roman"/>
          <w:sz w:val="24"/>
          <w:szCs w:val="24"/>
        </w:rPr>
        <w:t>Банковское</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дело</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современная</w:t>
      </w:r>
      <w:proofErr w:type="spellEnd"/>
      <w:r w:rsidRPr="001A7DF3">
        <w:rPr>
          <w:rFonts w:ascii="Times New Roman" w:hAnsi="Times New Roman" w:cs="Times New Roman"/>
          <w:sz w:val="24"/>
          <w:szCs w:val="24"/>
        </w:rPr>
        <w:t xml:space="preserve"> система </w:t>
      </w:r>
      <w:proofErr w:type="spellStart"/>
      <w:r w:rsidRPr="001A7DF3">
        <w:rPr>
          <w:rFonts w:ascii="Times New Roman" w:hAnsi="Times New Roman" w:cs="Times New Roman"/>
          <w:sz w:val="24"/>
          <w:szCs w:val="24"/>
        </w:rPr>
        <w:t>кредитования</w:t>
      </w:r>
      <w:proofErr w:type="spellEnd"/>
      <w:r w:rsidRPr="001A7DF3">
        <w:rPr>
          <w:rFonts w:ascii="Times New Roman" w:hAnsi="Times New Roman" w:cs="Times New Roman"/>
          <w:sz w:val="24"/>
          <w:szCs w:val="24"/>
        </w:rPr>
        <w:t xml:space="preserve"> / О. И.  </w:t>
      </w:r>
      <w:proofErr w:type="spellStart"/>
      <w:r w:rsidRPr="001A7DF3">
        <w:rPr>
          <w:rFonts w:ascii="Times New Roman" w:hAnsi="Times New Roman" w:cs="Times New Roman"/>
          <w:sz w:val="24"/>
          <w:szCs w:val="24"/>
        </w:rPr>
        <w:t>Лаврушин</w:t>
      </w:r>
      <w:proofErr w:type="spellEnd"/>
      <w:r w:rsidRPr="001A7DF3">
        <w:rPr>
          <w:rFonts w:ascii="Times New Roman" w:hAnsi="Times New Roman" w:cs="Times New Roman"/>
          <w:sz w:val="24"/>
          <w:szCs w:val="24"/>
        </w:rPr>
        <w:t>. – М. : КНОРУС, 2005. – 256 с.</w:t>
      </w:r>
    </w:p>
    <w:p w:rsidR="001A7DF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Pr="001A7DF3">
        <w:rPr>
          <w:rFonts w:ascii="Times New Roman" w:hAnsi="Times New Roman" w:cs="Times New Roman"/>
          <w:sz w:val="24"/>
          <w:szCs w:val="24"/>
        </w:rPr>
        <w:t>Пашков</w:t>
      </w:r>
      <w:proofErr w:type="spellEnd"/>
      <w:r w:rsidRPr="001A7DF3">
        <w:rPr>
          <w:rFonts w:ascii="Times New Roman" w:hAnsi="Times New Roman" w:cs="Times New Roman"/>
          <w:sz w:val="24"/>
          <w:szCs w:val="24"/>
        </w:rPr>
        <w:t xml:space="preserve">  А.И. </w:t>
      </w:r>
      <w:proofErr w:type="spellStart"/>
      <w:r w:rsidRPr="001A7DF3">
        <w:rPr>
          <w:rFonts w:ascii="Times New Roman" w:hAnsi="Times New Roman" w:cs="Times New Roman"/>
          <w:sz w:val="24"/>
          <w:szCs w:val="24"/>
        </w:rPr>
        <w:t>Оценка</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качества</w:t>
      </w:r>
      <w:proofErr w:type="spellEnd"/>
      <w:r w:rsidRPr="001A7DF3">
        <w:rPr>
          <w:rFonts w:ascii="Times New Roman" w:hAnsi="Times New Roman" w:cs="Times New Roman"/>
          <w:sz w:val="24"/>
          <w:szCs w:val="24"/>
        </w:rPr>
        <w:t xml:space="preserve"> кредитного портфеля / А.И </w:t>
      </w:r>
      <w:proofErr w:type="spellStart"/>
      <w:r w:rsidRPr="001A7DF3">
        <w:rPr>
          <w:rFonts w:ascii="Times New Roman" w:hAnsi="Times New Roman" w:cs="Times New Roman"/>
          <w:sz w:val="24"/>
          <w:szCs w:val="24"/>
        </w:rPr>
        <w:t>Пашков</w:t>
      </w:r>
      <w:proofErr w:type="spellEnd"/>
      <w:r w:rsidRPr="001A7DF3">
        <w:rPr>
          <w:rFonts w:ascii="Times New Roman" w:hAnsi="Times New Roman" w:cs="Times New Roman"/>
          <w:sz w:val="24"/>
          <w:szCs w:val="24"/>
        </w:rPr>
        <w:t xml:space="preserve"> // </w:t>
      </w:r>
      <w:proofErr w:type="spellStart"/>
      <w:r w:rsidRPr="001A7DF3">
        <w:rPr>
          <w:rFonts w:ascii="Times New Roman" w:hAnsi="Times New Roman" w:cs="Times New Roman"/>
          <w:sz w:val="24"/>
          <w:szCs w:val="24"/>
        </w:rPr>
        <w:t>Деньги</w:t>
      </w:r>
      <w:proofErr w:type="spellEnd"/>
      <w:r w:rsidRPr="001A7DF3">
        <w:rPr>
          <w:rFonts w:ascii="Times New Roman" w:hAnsi="Times New Roman" w:cs="Times New Roman"/>
          <w:sz w:val="24"/>
          <w:szCs w:val="24"/>
        </w:rPr>
        <w:t xml:space="preserve"> и кредит. – 2010. – № 5. – С. 29–30.</w:t>
      </w:r>
    </w:p>
    <w:p w:rsidR="001A7DF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1A7DF3">
        <w:rPr>
          <w:rFonts w:ascii="Times New Roman" w:hAnsi="Times New Roman" w:cs="Times New Roman"/>
          <w:sz w:val="24"/>
          <w:szCs w:val="24"/>
        </w:rPr>
        <w:t xml:space="preserve">Челноков В.А. Банки и </w:t>
      </w:r>
      <w:proofErr w:type="spellStart"/>
      <w:r w:rsidRPr="001A7DF3">
        <w:rPr>
          <w:rFonts w:ascii="Times New Roman" w:hAnsi="Times New Roman" w:cs="Times New Roman"/>
          <w:sz w:val="24"/>
          <w:szCs w:val="24"/>
        </w:rPr>
        <w:t>банковские</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операции</w:t>
      </w:r>
      <w:proofErr w:type="spellEnd"/>
      <w:r w:rsidRPr="001A7DF3">
        <w:rPr>
          <w:rFonts w:ascii="Times New Roman" w:hAnsi="Times New Roman" w:cs="Times New Roman"/>
          <w:sz w:val="24"/>
          <w:szCs w:val="24"/>
        </w:rPr>
        <w:t xml:space="preserve"> : </w:t>
      </w:r>
      <w:proofErr w:type="spellStart"/>
      <w:r w:rsidRPr="001A7DF3">
        <w:rPr>
          <w:rFonts w:ascii="Times New Roman" w:hAnsi="Times New Roman" w:cs="Times New Roman"/>
          <w:sz w:val="24"/>
          <w:szCs w:val="24"/>
        </w:rPr>
        <w:t>Учебное</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пособие</w:t>
      </w:r>
      <w:proofErr w:type="spellEnd"/>
      <w:r w:rsidRPr="001A7DF3">
        <w:rPr>
          <w:rFonts w:ascii="Times New Roman" w:hAnsi="Times New Roman" w:cs="Times New Roman"/>
          <w:sz w:val="24"/>
          <w:szCs w:val="24"/>
        </w:rPr>
        <w:t xml:space="preserve"> / В.А. Челноков. – М.: </w:t>
      </w:r>
      <w:proofErr w:type="spellStart"/>
      <w:r w:rsidRPr="001A7DF3">
        <w:rPr>
          <w:rFonts w:ascii="Times New Roman" w:hAnsi="Times New Roman" w:cs="Times New Roman"/>
          <w:sz w:val="24"/>
          <w:szCs w:val="24"/>
        </w:rPr>
        <w:t>Высшая</w:t>
      </w:r>
      <w:proofErr w:type="spellEnd"/>
      <w:r w:rsidRPr="001A7DF3">
        <w:rPr>
          <w:rFonts w:ascii="Times New Roman" w:hAnsi="Times New Roman" w:cs="Times New Roman"/>
          <w:sz w:val="24"/>
          <w:szCs w:val="24"/>
        </w:rPr>
        <w:t xml:space="preserve"> школа. – 2009 – 296 с.</w:t>
      </w:r>
    </w:p>
    <w:p w:rsidR="001A7DF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1A7DF3">
        <w:rPr>
          <w:rFonts w:ascii="Times New Roman" w:hAnsi="Times New Roman" w:cs="Times New Roman"/>
          <w:sz w:val="24"/>
          <w:szCs w:val="24"/>
        </w:rPr>
        <w:t xml:space="preserve">Бугель Ю. В. Оптимізація шляхів визначення кредитоспроможності позичальника / Ю. В. Бугель // Матеріали Міжнародної науково-практичної конференції „Фінансові ресурси регіону: організація і управління». – Івано-Франківськ :   ПП </w:t>
      </w:r>
      <w:proofErr w:type="spellStart"/>
      <w:r w:rsidRPr="001A7DF3">
        <w:rPr>
          <w:rFonts w:ascii="Times New Roman" w:hAnsi="Times New Roman" w:cs="Times New Roman"/>
          <w:sz w:val="24"/>
          <w:szCs w:val="24"/>
        </w:rPr>
        <w:t>Курилюк</w:t>
      </w:r>
      <w:proofErr w:type="spellEnd"/>
      <w:r w:rsidRPr="001A7DF3">
        <w:rPr>
          <w:rFonts w:ascii="Times New Roman" w:hAnsi="Times New Roman" w:cs="Times New Roman"/>
          <w:sz w:val="24"/>
          <w:szCs w:val="24"/>
        </w:rPr>
        <w:t>, 2007. – С. 117–119.</w:t>
      </w:r>
    </w:p>
    <w:p w:rsidR="001A7DF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Pr="001A7DF3">
        <w:rPr>
          <w:rFonts w:ascii="Times New Roman" w:hAnsi="Times New Roman" w:cs="Times New Roman"/>
          <w:sz w:val="24"/>
          <w:szCs w:val="24"/>
        </w:rPr>
        <w:t xml:space="preserve">Карпенко Г.В. Кредитна діяльність вітчизняних банків та можливості їх інтеграції до світової фінансової системи / </w:t>
      </w:r>
      <w:proofErr w:type="spellStart"/>
      <w:r w:rsidRPr="001A7DF3">
        <w:rPr>
          <w:rFonts w:ascii="Times New Roman" w:hAnsi="Times New Roman" w:cs="Times New Roman"/>
          <w:sz w:val="24"/>
          <w:szCs w:val="24"/>
        </w:rPr>
        <w:t>Г.В.Карпенко</w:t>
      </w:r>
      <w:proofErr w:type="spellEnd"/>
      <w:r w:rsidRPr="001A7DF3">
        <w:rPr>
          <w:rFonts w:ascii="Times New Roman" w:hAnsi="Times New Roman" w:cs="Times New Roman"/>
          <w:sz w:val="24"/>
          <w:szCs w:val="24"/>
        </w:rPr>
        <w:t xml:space="preserve"> // Фінанси України. – 2007. – № 2. – С.89-96.</w:t>
      </w:r>
    </w:p>
    <w:p w:rsidR="001A7DF3" w:rsidRDefault="001A7DF3"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Pr="001A7DF3">
        <w:rPr>
          <w:rFonts w:ascii="Times New Roman" w:hAnsi="Times New Roman" w:cs="Times New Roman"/>
          <w:sz w:val="24"/>
          <w:szCs w:val="24"/>
        </w:rPr>
        <w:t>.</w:t>
      </w:r>
      <w:r w:rsidRPr="001A7DF3">
        <w:rPr>
          <w:rFonts w:ascii="Times New Roman" w:hAnsi="Times New Roman" w:cs="Times New Roman"/>
          <w:sz w:val="24"/>
          <w:szCs w:val="24"/>
        </w:rPr>
        <w:tab/>
        <w:t xml:space="preserve">Голуб  В.М. Управління кредитним портфелем комерційного банку [Текст]: </w:t>
      </w:r>
      <w:proofErr w:type="spellStart"/>
      <w:r w:rsidRPr="001A7DF3">
        <w:rPr>
          <w:rFonts w:ascii="Times New Roman" w:hAnsi="Times New Roman" w:cs="Times New Roman"/>
          <w:sz w:val="24"/>
          <w:szCs w:val="24"/>
        </w:rPr>
        <w:t>Автореф</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дис</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канд.екон</w:t>
      </w:r>
      <w:proofErr w:type="spellEnd"/>
      <w:r w:rsidRPr="001A7DF3">
        <w:rPr>
          <w:rFonts w:ascii="Times New Roman" w:hAnsi="Times New Roman" w:cs="Times New Roman"/>
          <w:sz w:val="24"/>
          <w:szCs w:val="24"/>
        </w:rPr>
        <w:t xml:space="preserve">. наук: 08.04.01 / В.М. Голуб; Київ. </w:t>
      </w:r>
      <w:proofErr w:type="spellStart"/>
      <w:r w:rsidRPr="001A7DF3">
        <w:rPr>
          <w:rFonts w:ascii="Times New Roman" w:hAnsi="Times New Roman" w:cs="Times New Roman"/>
          <w:sz w:val="24"/>
          <w:szCs w:val="24"/>
        </w:rPr>
        <w:t>нац</w:t>
      </w:r>
      <w:proofErr w:type="spellEnd"/>
      <w:r w:rsidRPr="001A7DF3">
        <w:rPr>
          <w:rFonts w:ascii="Times New Roman" w:hAnsi="Times New Roman" w:cs="Times New Roman"/>
          <w:sz w:val="24"/>
          <w:szCs w:val="24"/>
        </w:rPr>
        <w:t xml:space="preserve">. </w:t>
      </w:r>
      <w:proofErr w:type="spellStart"/>
      <w:r w:rsidRPr="001A7DF3">
        <w:rPr>
          <w:rFonts w:ascii="Times New Roman" w:hAnsi="Times New Roman" w:cs="Times New Roman"/>
          <w:sz w:val="24"/>
          <w:szCs w:val="24"/>
        </w:rPr>
        <w:t>екон</w:t>
      </w:r>
      <w:proofErr w:type="spellEnd"/>
      <w:r w:rsidRPr="001A7DF3">
        <w:rPr>
          <w:rFonts w:ascii="Times New Roman" w:hAnsi="Times New Roman" w:cs="Times New Roman"/>
          <w:sz w:val="24"/>
          <w:szCs w:val="24"/>
        </w:rPr>
        <w:t>. ун-т. – К., 2004. – 19 с.</w:t>
      </w:r>
    </w:p>
    <w:p w:rsidR="0002382C" w:rsidRDefault="0002382C" w:rsidP="000B7AB4">
      <w:pPr>
        <w:widowControl w:val="0"/>
        <w:spacing w:after="0" w:line="353" w:lineRule="auto"/>
        <w:ind w:firstLine="709"/>
        <w:jc w:val="both"/>
        <w:rPr>
          <w:rFonts w:ascii="Times New Roman" w:hAnsi="Times New Roman" w:cs="Times New Roman"/>
          <w:sz w:val="24"/>
          <w:szCs w:val="24"/>
        </w:rPr>
      </w:pPr>
      <w:r w:rsidRPr="0002382C">
        <w:rPr>
          <w:rFonts w:ascii="Times New Roman" w:hAnsi="Times New Roman" w:cs="Times New Roman"/>
          <w:sz w:val="24"/>
          <w:szCs w:val="24"/>
        </w:rPr>
        <w:t>8</w:t>
      </w:r>
      <w:r>
        <w:rPr>
          <w:rFonts w:ascii="Times New Roman" w:hAnsi="Times New Roman" w:cs="Times New Roman"/>
          <w:sz w:val="24"/>
          <w:szCs w:val="24"/>
        </w:rPr>
        <w:t xml:space="preserve">. </w:t>
      </w:r>
      <w:r w:rsidRPr="0002382C">
        <w:rPr>
          <w:rFonts w:ascii="Times New Roman" w:hAnsi="Times New Roman" w:cs="Times New Roman"/>
          <w:sz w:val="24"/>
          <w:szCs w:val="24"/>
        </w:rPr>
        <w:tab/>
        <w:t xml:space="preserve">Міщенко В.І. Банківські операції: підручник / В.І. Міщенко, Н.Г. </w:t>
      </w:r>
      <w:proofErr w:type="spellStart"/>
      <w:r w:rsidRPr="0002382C">
        <w:rPr>
          <w:rFonts w:ascii="Times New Roman" w:hAnsi="Times New Roman" w:cs="Times New Roman"/>
          <w:sz w:val="24"/>
          <w:szCs w:val="24"/>
        </w:rPr>
        <w:t>Слав’янська</w:t>
      </w:r>
      <w:proofErr w:type="spellEnd"/>
      <w:r w:rsidRPr="0002382C">
        <w:rPr>
          <w:rFonts w:ascii="Times New Roman" w:hAnsi="Times New Roman" w:cs="Times New Roman"/>
          <w:sz w:val="24"/>
          <w:szCs w:val="24"/>
        </w:rPr>
        <w:t xml:space="preserve">, О.Г. </w:t>
      </w:r>
      <w:proofErr w:type="spellStart"/>
      <w:r w:rsidRPr="0002382C">
        <w:rPr>
          <w:rFonts w:ascii="Times New Roman" w:hAnsi="Times New Roman" w:cs="Times New Roman"/>
          <w:sz w:val="24"/>
          <w:szCs w:val="24"/>
        </w:rPr>
        <w:t>Коренєва</w:t>
      </w:r>
      <w:proofErr w:type="spellEnd"/>
      <w:r w:rsidRPr="0002382C">
        <w:rPr>
          <w:rFonts w:ascii="Times New Roman" w:hAnsi="Times New Roman" w:cs="Times New Roman"/>
          <w:sz w:val="24"/>
          <w:szCs w:val="24"/>
        </w:rPr>
        <w:t xml:space="preserve">. – 2-ге вид., перероб. і </w:t>
      </w:r>
      <w:proofErr w:type="spellStart"/>
      <w:r w:rsidRPr="0002382C">
        <w:rPr>
          <w:rFonts w:ascii="Times New Roman" w:hAnsi="Times New Roman" w:cs="Times New Roman"/>
          <w:sz w:val="24"/>
          <w:szCs w:val="24"/>
        </w:rPr>
        <w:t>доп</w:t>
      </w:r>
      <w:proofErr w:type="spellEnd"/>
      <w:r w:rsidRPr="0002382C">
        <w:rPr>
          <w:rFonts w:ascii="Times New Roman" w:hAnsi="Times New Roman" w:cs="Times New Roman"/>
          <w:sz w:val="24"/>
          <w:szCs w:val="24"/>
        </w:rPr>
        <w:t>. – Київ: Знання, 2007. – 796 с.</w:t>
      </w:r>
    </w:p>
    <w:p w:rsidR="0002382C" w:rsidRDefault="0002382C" w:rsidP="000B7AB4">
      <w:pPr>
        <w:widowControl w:val="0"/>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9. </w:t>
      </w:r>
      <w:r w:rsidRPr="0002382C">
        <w:rPr>
          <w:rFonts w:ascii="Times New Roman" w:hAnsi="Times New Roman" w:cs="Times New Roman"/>
          <w:sz w:val="24"/>
          <w:szCs w:val="24"/>
        </w:rPr>
        <w:t xml:space="preserve">Про споживче кредитування. Закон України від 15.11.2016 р. № 1734-VIII [Електронний ресурс]. – Режим доступу: </w:t>
      </w:r>
      <w:hyperlink r:id="rId4" w:history="1">
        <w:r w:rsidRPr="006E69B2">
          <w:rPr>
            <w:rStyle w:val="a4"/>
            <w:rFonts w:ascii="Times New Roman" w:hAnsi="Times New Roman" w:cs="Times New Roman"/>
            <w:sz w:val="24"/>
            <w:szCs w:val="24"/>
          </w:rPr>
          <w:t>http://zakon5.rada.gov.ua/laws/show/1734-19</w:t>
        </w:r>
      </w:hyperlink>
      <w:r w:rsidRPr="0002382C">
        <w:rPr>
          <w:rFonts w:ascii="Times New Roman" w:hAnsi="Times New Roman" w:cs="Times New Roman"/>
          <w:sz w:val="24"/>
          <w:szCs w:val="24"/>
        </w:rPr>
        <w:t>.</w:t>
      </w:r>
    </w:p>
    <w:p w:rsidR="0002382C" w:rsidRPr="0002382C" w:rsidRDefault="0002382C" w:rsidP="000B7AB4">
      <w:pPr>
        <w:widowControl w:val="0"/>
        <w:tabs>
          <w:tab w:val="left" w:pos="1134"/>
        </w:tabs>
        <w:spacing w:after="0" w:line="353"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10. </w:t>
      </w:r>
      <w:r w:rsidRPr="0002382C">
        <w:rPr>
          <w:rFonts w:ascii="Times New Roman" w:hAnsi="Times New Roman" w:cs="Times New Roman"/>
          <w:sz w:val="24"/>
          <w:szCs w:val="24"/>
        </w:rPr>
        <w:tab/>
        <w:t>Про банки і банківську діяльність : Закон України від 07.12.2000 № 2121-III [Електронний ресурс]. – Режим доступу: http://zakon3.rada.gov.ua/laws/show/2121-14</w:t>
      </w:r>
      <w:bookmarkEnd w:id="0"/>
    </w:p>
    <w:sectPr w:rsidR="0002382C" w:rsidRPr="0002382C" w:rsidSect="0002382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283"/>
    <w:rsid w:val="0002382C"/>
    <w:rsid w:val="000B7AB4"/>
    <w:rsid w:val="001A0721"/>
    <w:rsid w:val="001A7DF3"/>
    <w:rsid w:val="00281797"/>
    <w:rsid w:val="007C20FC"/>
    <w:rsid w:val="007F0B0C"/>
    <w:rsid w:val="008924B3"/>
    <w:rsid w:val="00A0493B"/>
    <w:rsid w:val="00E9445D"/>
    <w:rsid w:val="00FF22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EA93F6-F11B-4F3E-B79F-722186601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7DF3"/>
    <w:pPr>
      <w:ind w:left="720"/>
      <w:contextualSpacing/>
    </w:pPr>
  </w:style>
  <w:style w:type="character" w:styleId="a4">
    <w:name w:val="Hyperlink"/>
    <w:basedOn w:val="a0"/>
    <w:uiPriority w:val="99"/>
    <w:unhideWhenUsed/>
    <w:rsid w:val="0002382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zakon5.rada.gov.ua/laws/show/1734-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5051</Words>
  <Characters>2880</Characters>
  <Application>Microsoft Office Word</Application>
  <DocSecurity>0</DocSecurity>
  <Lines>24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4</cp:revision>
  <dcterms:created xsi:type="dcterms:W3CDTF">2019-03-15T21:10:00Z</dcterms:created>
  <dcterms:modified xsi:type="dcterms:W3CDTF">2019-03-16T21:59:00Z</dcterms:modified>
</cp:coreProperties>
</file>