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7391" w:rsidRDefault="00807391" w:rsidP="000F3FA3">
      <w:pPr>
        <w:spacing w:after="0" w:line="240" w:lineRule="auto"/>
        <w:ind w:firstLine="567"/>
        <w:jc w:val="right"/>
        <w:rPr>
          <w:rFonts w:ascii="Times New Roman" w:hAnsi="Times New Roman"/>
          <w:sz w:val="20"/>
          <w:szCs w:val="20"/>
          <w:lang w:val="uk-UA"/>
        </w:rPr>
      </w:pPr>
      <w:r>
        <w:rPr>
          <w:rFonts w:ascii="Times New Roman" w:hAnsi="Times New Roman"/>
          <w:sz w:val="20"/>
          <w:szCs w:val="20"/>
          <w:lang w:val="uk-UA"/>
        </w:rPr>
        <w:t xml:space="preserve">Овчиннікова О.Р., Шевченко Л.В., </w:t>
      </w:r>
    </w:p>
    <w:p w:rsidR="00807391" w:rsidRDefault="00807391" w:rsidP="000F3FA3">
      <w:pPr>
        <w:spacing w:after="0" w:line="240" w:lineRule="auto"/>
        <w:ind w:firstLine="567"/>
        <w:jc w:val="right"/>
        <w:rPr>
          <w:rFonts w:ascii="Times New Roman" w:hAnsi="Times New Roman"/>
          <w:sz w:val="20"/>
          <w:szCs w:val="20"/>
          <w:lang w:val="uk-UA"/>
        </w:rPr>
      </w:pPr>
      <w:r>
        <w:rPr>
          <w:rFonts w:ascii="Times New Roman" w:hAnsi="Times New Roman"/>
          <w:sz w:val="20"/>
          <w:szCs w:val="20"/>
          <w:lang w:val="uk-UA"/>
        </w:rPr>
        <w:t>Хмельницький національний університет</w:t>
      </w:r>
    </w:p>
    <w:p w:rsidR="00807391" w:rsidRDefault="00807391" w:rsidP="000F3FA3">
      <w:pPr>
        <w:spacing w:after="0" w:line="240" w:lineRule="auto"/>
        <w:ind w:firstLine="567"/>
        <w:jc w:val="right"/>
        <w:rPr>
          <w:rFonts w:ascii="Times New Roman" w:hAnsi="Times New Roman"/>
          <w:sz w:val="20"/>
          <w:szCs w:val="20"/>
          <w:lang w:val="uk-UA"/>
        </w:rPr>
      </w:pPr>
    </w:p>
    <w:p w:rsidR="00807391" w:rsidRPr="009111BA" w:rsidRDefault="00807391" w:rsidP="009111BA">
      <w:pPr>
        <w:spacing w:after="0" w:line="240" w:lineRule="auto"/>
        <w:jc w:val="center"/>
        <w:rPr>
          <w:rFonts w:ascii="Times New Roman" w:hAnsi="Times New Roman"/>
          <w:sz w:val="20"/>
          <w:szCs w:val="20"/>
          <w:lang w:val="uk-UA"/>
        </w:rPr>
      </w:pPr>
      <w:r w:rsidRPr="009111BA">
        <w:rPr>
          <w:rFonts w:ascii="Times New Roman" w:hAnsi="Times New Roman"/>
          <w:b/>
          <w:sz w:val="20"/>
          <w:szCs w:val="20"/>
        </w:rPr>
        <w:t>РОЛЬ РЕГУЛЮВАННЯ ФІНАНСОВИХ ІННОВАЦІЙ У РОЗВИТКУ МІЖНАРОДНОГО РИНКУ КАПІТАЛІВ</w:t>
      </w:r>
    </w:p>
    <w:p w:rsidR="00807391" w:rsidRDefault="00807391" w:rsidP="000F3FA3">
      <w:pPr>
        <w:spacing w:after="0" w:line="240" w:lineRule="auto"/>
        <w:ind w:firstLine="567"/>
        <w:jc w:val="both"/>
        <w:rPr>
          <w:rFonts w:ascii="Times New Roman" w:hAnsi="Times New Roman"/>
          <w:sz w:val="20"/>
          <w:szCs w:val="20"/>
          <w:lang w:val="uk-UA"/>
        </w:rPr>
      </w:pPr>
    </w:p>
    <w:p w:rsidR="00807391" w:rsidRPr="009111BA" w:rsidRDefault="00807391" w:rsidP="000F3FA3">
      <w:pPr>
        <w:spacing w:after="0" w:line="240" w:lineRule="auto"/>
        <w:ind w:firstLine="567"/>
        <w:jc w:val="both"/>
        <w:rPr>
          <w:rFonts w:ascii="Times New Roman" w:hAnsi="Times New Roman"/>
          <w:sz w:val="20"/>
          <w:szCs w:val="20"/>
          <w:lang w:val="uk-UA"/>
        </w:rPr>
      </w:pPr>
      <w:r w:rsidRPr="009111BA">
        <w:rPr>
          <w:rFonts w:ascii="Times New Roman" w:hAnsi="Times New Roman"/>
          <w:sz w:val="20"/>
          <w:szCs w:val="20"/>
          <w:lang w:val="uk-UA"/>
        </w:rPr>
        <w:t>Проведений нами аналіз науково-практичної літератури свідчить, що розвиток регулювання ринків цінних паперів історично здійснювався шляхом посилення втручання держави в діяльність, яка здійснюється на ринку з одночасним збереженням і підтримкою ринку</w:t>
      </w:r>
      <w:r w:rsidRPr="009A39B5">
        <w:rPr>
          <w:rFonts w:ascii="Times New Roman" w:hAnsi="Times New Roman"/>
          <w:sz w:val="20"/>
          <w:szCs w:val="20"/>
          <w:lang w:val="uk-UA"/>
        </w:rPr>
        <w:t xml:space="preserve"> </w:t>
      </w:r>
      <w:r>
        <w:rPr>
          <w:rFonts w:ascii="Times New Roman" w:hAnsi="Times New Roman"/>
          <w:sz w:val="20"/>
          <w:szCs w:val="20"/>
          <w:lang w:val="uk-UA"/>
        </w:rPr>
        <w:t>капіталів</w:t>
      </w:r>
      <w:r w:rsidRPr="009111BA">
        <w:rPr>
          <w:rFonts w:ascii="Times New Roman" w:hAnsi="Times New Roman"/>
          <w:sz w:val="20"/>
          <w:szCs w:val="20"/>
          <w:lang w:val="uk-UA"/>
        </w:rPr>
        <w:t xml:space="preserve"> [</w:t>
      </w:r>
      <w:r>
        <w:rPr>
          <w:rFonts w:ascii="Times New Roman" w:hAnsi="Times New Roman"/>
          <w:sz w:val="20"/>
          <w:szCs w:val="20"/>
          <w:lang w:val="uk-UA"/>
        </w:rPr>
        <w:t>1,2,3,4</w:t>
      </w:r>
      <w:r w:rsidRPr="009111BA">
        <w:rPr>
          <w:rFonts w:ascii="Times New Roman" w:hAnsi="Times New Roman"/>
          <w:sz w:val="20"/>
          <w:szCs w:val="20"/>
          <w:lang w:val="uk-UA"/>
        </w:rPr>
        <w:t>].</w:t>
      </w:r>
    </w:p>
    <w:p w:rsidR="00807391" w:rsidRDefault="00807391" w:rsidP="009111BA">
      <w:pPr>
        <w:spacing w:after="0" w:line="240" w:lineRule="auto"/>
        <w:ind w:firstLine="567"/>
        <w:jc w:val="both"/>
        <w:rPr>
          <w:rFonts w:ascii="Times New Roman" w:hAnsi="Times New Roman"/>
          <w:sz w:val="20"/>
          <w:szCs w:val="20"/>
          <w:lang w:val="uk-UA"/>
        </w:rPr>
      </w:pPr>
      <w:r w:rsidRPr="009111BA">
        <w:rPr>
          <w:rFonts w:ascii="Times New Roman" w:hAnsi="Times New Roman"/>
          <w:sz w:val="20"/>
          <w:szCs w:val="20"/>
          <w:lang w:val="uk-UA"/>
        </w:rPr>
        <w:t>Використання фінансових інновацій</w:t>
      </w:r>
      <w:r>
        <w:rPr>
          <w:rFonts w:ascii="Times New Roman" w:hAnsi="Times New Roman"/>
          <w:sz w:val="20"/>
          <w:szCs w:val="20"/>
          <w:lang w:val="uk-UA"/>
        </w:rPr>
        <w:t xml:space="preserve"> у грошово-кредитній політиці останнім часом</w:t>
      </w:r>
      <w:r w:rsidRPr="009111BA">
        <w:rPr>
          <w:rFonts w:ascii="Times New Roman" w:hAnsi="Times New Roman"/>
          <w:sz w:val="20"/>
          <w:szCs w:val="20"/>
          <w:lang w:val="uk-UA"/>
        </w:rPr>
        <w:t xml:space="preserve"> різко підвищилось. Ринок фінансових деривативів зріс з невеликого хеджевого ринку у механізм регулювання фінансових дисбалансів, заснований більше на об’єктивних закономірностях співвідношення попиту і пропозиції, ніж на міждержавному адміністративному регулюванні. Деякі ринкові гравці, такі як Дж. Сорос, або відомі політики, такі як екс-канцлер Німеччини Г. Шмідт, вважають, що фінансові інновації в своєму сучасному вигляді руйнують світову економіку. Але міжнародні фінансові організації дотримуються протилежної думки. На їх погляд фінансові інновації надають чудові можливості стабілізації міжнародної торгівлі товарами, послугами та фінансовими інструментами.</w:t>
      </w:r>
    </w:p>
    <w:p w:rsidR="00807391" w:rsidRDefault="00807391" w:rsidP="00B33B83">
      <w:pPr>
        <w:spacing w:after="0" w:line="240" w:lineRule="auto"/>
        <w:ind w:firstLine="840"/>
        <w:jc w:val="both"/>
        <w:rPr>
          <w:rFonts w:ascii="Times New Roman" w:hAnsi="Times New Roman"/>
          <w:sz w:val="20"/>
          <w:szCs w:val="20"/>
          <w:lang w:val="uk-UA"/>
        </w:rPr>
      </w:pPr>
      <w:r w:rsidRPr="009111BA">
        <w:rPr>
          <w:rFonts w:ascii="Times New Roman" w:hAnsi="Times New Roman"/>
          <w:sz w:val="20"/>
          <w:szCs w:val="20"/>
          <w:lang w:val="uk-UA"/>
        </w:rPr>
        <w:t>Регулювання ринка фінансових деривативів здійснюється переважно на національному рівні і спрямовано не стільки на обмеження торгівлі ризиковими інструментами, скільки на зміцнення механізмів внутрішньо корпоративного управління ризиками, транспарентності та ринкової інфраструктури</w:t>
      </w:r>
      <w:r>
        <w:rPr>
          <w:rFonts w:ascii="Times New Roman" w:hAnsi="Times New Roman"/>
          <w:sz w:val="20"/>
          <w:szCs w:val="20"/>
          <w:lang w:val="uk-UA"/>
        </w:rPr>
        <w:t xml:space="preserve"> </w:t>
      </w:r>
      <w:r w:rsidRPr="009111BA">
        <w:rPr>
          <w:rFonts w:ascii="Times New Roman" w:hAnsi="Times New Roman"/>
          <w:sz w:val="20"/>
          <w:szCs w:val="20"/>
          <w:lang w:val="uk-UA"/>
        </w:rPr>
        <w:t>[</w:t>
      </w:r>
      <w:r>
        <w:rPr>
          <w:rFonts w:ascii="Times New Roman" w:hAnsi="Times New Roman"/>
          <w:sz w:val="20"/>
          <w:szCs w:val="20"/>
          <w:lang w:val="uk-UA"/>
        </w:rPr>
        <w:t>3</w:t>
      </w:r>
      <w:r w:rsidRPr="009111BA">
        <w:rPr>
          <w:rFonts w:ascii="Times New Roman" w:hAnsi="Times New Roman"/>
          <w:sz w:val="20"/>
          <w:szCs w:val="20"/>
          <w:lang w:val="uk-UA"/>
        </w:rPr>
        <w:t>, c. 533].</w:t>
      </w:r>
    </w:p>
    <w:p w:rsidR="00807391" w:rsidRPr="00B33B83" w:rsidRDefault="00807391" w:rsidP="00B33B83">
      <w:pPr>
        <w:spacing w:after="0" w:line="240" w:lineRule="auto"/>
        <w:ind w:firstLine="839"/>
        <w:jc w:val="both"/>
        <w:rPr>
          <w:rFonts w:ascii="Times New Roman" w:hAnsi="Times New Roman"/>
          <w:sz w:val="20"/>
          <w:szCs w:val="20"/>
          <w:lang w:val="uk-UA"/>
        </w:rPr>
      </w:pPr>
      <w:r w:rsidRPr="00B33B83">
        <w:rPr>
          <w:rFonts w:ascii="Times New Roman" w:hAnsi="Times New Roman"/>
          <w:sz w:val="20"/>
          <w:szCs w:val="20"/>
          <w:lang w:val="uk-UA"/>
        </w:rPr>
        <w:t>Аналіз нормативного впорядкування відносин на фондовому ринку, що здійснюється саморегулюючими організаціями професійних учасників фондового ринку показує, що інституційне-правове регулювання ринку цінних паперів є допоміжною формою щодо державно-правового регулювання і здійснюється на основі і відповідно до державно-правового регулювання, але не підмінює його. Застосування практики саморегулювання передбачає, що частину функцій з регулювання конкретних учасників ринку виконують організації, що перебувають під подвійним контролем – держави і учасників ринку.</w:t>
      </w:r>
      <w:r w:rsidRPr="00B33B83">
        <w:rPr>
          <w:sz w:val="28"/>
          <w:szCs w:val="28"/>
          <w:lang w:val="uk-UA"/>
        </w:rPr>
        <w:t xml:space="preserve"> </w:t>
      </w:r>
      <w:r w:rsidRPr="00B33B83">
        <w:rPr>
          <w:rFonts w:ascii="Times New Roman" w:hAnsi="Times New Roman"/>
          <w:sz w:val="20"/>
          <w:szCs w:val="20"/>
          <w:lang w:val="uk-UA"/>
        </w:rPr>
        <w:t>Зростання міжнародного ринку капіталів та процес дезінтермедіації в банківському секторі, що означає поступову втрату банками ролі основного посередника на фінансовому ринку, призвело до використання транснаціональними корпораціями так званих «структурованих фінансів», що включають операції з похідними інструментами. Багато емітентів виграють за рахунок кредитного арбітражу, якщо вони на пільгових для себе умовах випускають зобов’язання з фіксованою ставкою та за допомогою свопу конвертують їх в зобов’язання з плаваючою ставкою [</w:t>
      </w:r>
      <w:r>
        <w:rPr>
          <w:rFonts w:ascii="Times New Roman" w:hAnsi="Times New Roman"/>
          <w:sz w:val="20"/>
          <w:szCs w:val="20"/>
          <w:lang w:val="uk-UA"/>
        </w:rPr>
        <w:t>1</w:t>
      </w:r>
      <w:r w:rsidRPr="00B33B83">
        <w:rPr>
          <w:rFonts w:ascii="Times New Roman" w:hAnsi="Times New Roman"/>
          <w:sz w:val="20"/>
          <w:szCs w:val="20"/>
          <w:lang w:val="uk-UA"/>
        </w:rPr>
        <w:t>].</w:t>
      </w:r>
    </w:p>
    <w:p w:rsidR="00807391" w:rsidRPr="00B33B83" w:rsidRDefault="00807391" w:rsidP="00B33B83">
      <w:pPr>
        <w:spacing w:line="240" w:lineRule="auto"/>
        <w:ind w:firstLine="840"/>
        <w:contextualSpacing/>
        <w:jc w:val="both"/>
        <w:rPr>
          <w:rFonts w:ascii="Times New Roman" w:hAnsi="Times New Roman"/>
          <w:sz w:val="20"/>
          <w:szCs w:val="20"/>
          <w:lang w:val="uk-UA"/>
        </w:rPr>
      </w:pPr>
      <w:r w:rsidRPr="00B33B83">
        <w:rPr>
          <w:rFonts w:ascii="Times New Roman" w:hAnsi="Times New Roman"/>
          <w:sz w:val="20"/>
          <w:szCs w:val="20"/>
          <w:lang w:val="uk-UA"/>
        </w:rPr>
        <w:t>Тенденції зміни пріоритетів у виборі виду інвестиційних паперів і розвитку ринку фондових деривативів є тісно пов'язаними і взаємовизначальними. Глобалізація економічних відносин, скасування бар'єрів для міждержавної міграції капіталу обумовили можливість більш гнучкого керування інвестиційними фондами. Глобальний ринок похідних цінних паперів надає для цього більш диверсифіковані альтернативи</w:t>
      </w:r>
      <w:r>
        <w:rPr>
          <w:rFonts w:ascii="Times New Roman" w:hAnsi="Times New Roman"/>
          <w:sz w:val="20"/>
          <w:szCs w:val="20"/>
          <w:lang w:val="uk-UA"/>
        </w:rPr>
        <w:t xml:space="preserve"> </w:t>
      </w:r>
      <w:r w:rsidRPr="00FC0B68">
        <w:rPr>
          <w:rFonts w:ascii="Times New Roman" w:hAnsi="Times New Roman"/>
          <w:sz w:val="20"/>
          <w:szCs w:val="20"/>
        </w:rPr>
        <w:t>[4]</w:t>
      </w:r>
      <w:r w:rsidRPr="00B33B83">
        <w:rPr>
          <w:rFonts w:ascii="Times New Roman" w:hAnsi="Times New Roman"/>
          <w:sz w:val="20"/>
          <w:szCs w:val="20"/>
          <w:lang w:val="uk-UA"/>
        </w:rPr>
        <w:t xml:space="preserve">. </w:t>
      </w:r>
    </w:p>
    <w:p w:rsidR="00807391" w:rsidRPr="00B33B83" w:rsidRDefault="00807391" w:rsidP="00B33B83">
      <w:pPr>
        <w:spacing w:line="240" w:lineRule="auto"/>
        <w:ind w:firstLine="840"/>
        <w:contextualSpacing/>
        <w:jc w:val="both"/>
        <w:rPr>
          <w:rFonts w:ascii="Times New Roman" w:hAnsi="Times New Roman"/>
          <w:sz w:val="20"/>
          <w:szCs w:val="20"/>
          <w:lang w:val="uk-UA"/>
        </w:rPr>
      </w:pPr>
      <w:r w:rsidRPr="00B33B83">
        <w:rPr>
          <w:rFonts w:ascii="Times New Roman" w:hAnsi="Times New Roman"/>
          <w:sz w:val="20"/>
          <w:szCs w:val="20"/>
          <w:lang w:val="uk-UA"/>
        </w:rPr>
        <w:t>Наявність центральних контрагентів практично на усіх світових ринках похідних цінних паперів дозволяє контрагентам розраховуватися один з одним не прямо, а через клірингову (розрахункову) палату і сприяє ще більш масштабним операціям торговців з похідними паперами. Це, в свою чергу, дозволяє значно перевищувати ліміти реальних можливостей. Торговці можуть не хвилюватися про платоспроможність своїх контрагентів. Чим більше число локальних ринків охоплено єдиною кліринговою системою, тим більша кількість користувачів системи можуть відкривати позиції на сусідніх ринках і завдяки цьому меншими сумами страхових резервів їм доводиться оперувати. Такі тенденції призвели до особливо ризикового характеру сучасного світового ринку капіталу внаслідок стрімкого розвитку ринку похідних цінних паперів.</w:t>
      </w:r>
    </w:p>
    <w:p w:rsidR="00807391" w:rsidRPr="00FC0B68" w:rsidRDefault="00807391" w:rsidP="00FC0B68">
      <w:pPr>
        <w:spacing w:after="0" w:line="240" w:lineRule="auto"/>
        <w:ind w:firstLine="902"/>
        <w:jc w:val="both"/>
        <w:rPr>
          <w:rFonts w:ascii="Times New Roman" w:hAnsi="Times New Roman"/>
          <w:sz w:val="20"/>
          <w:szCs w:val="20"/>
          <w:lang w:val="uk-UA"/>
        </w:rPr>
      </w:pPr>
      <w:r w:rsidRPr="00B33B83">
        <w:rPr>
          <w:rFonts w:ascii="Times New Roman" w:hAnsi="Times New Roman"/>
          <w:sz w:val="20"/>
          <w:szCs w:val="20"/>
          <w:lang w:val="uk-UA"/>
        </w:rPr>
        <w:t>Таким чином, на сьогодні в світі накопичено значний досвід регулювання як розвинутих, так і ринків, що розвиваються. Питання для України полягає в тому, як його правильно і раціонально використати. Для України принципово важливо будувати своє законодавство про ринок капіталів відповідно до міжнародних рекомендацій.</w:t>
      </w:r>
      <w:r>
        <w:rPr>
          <w:rFonts w:ascii="Times New Roman" w:hAnsi="Times New Roman"/>
          <w:sz w:val="20"/>
          <w:szCs w:val="20"/>
          <w:lang w:val="uk-UA"/>
        </w:rPr>
        <w:t xml:space="preserve"> </w:t>
      </w:r>
      <w:r w:rsidRPr="00FC0B68">
        <w:rPr>
          <w:rFonts w:ascii="Times New Roman" w:hAnsi="Times New Roman"/>
          <w:sz w:val="20"/>
          <w:szCs w:val="20"/>
          <w:lang w:val="uk-UA"/>
        </w:rPr>
        <w:t>Перспективи розвитку фінансових інновацій полягають у постійному зростанні різноманітності продуктів, що обертаються на світовому ринку кредитних похідних фінансових інструментів. Йде активний інноваційний процес, що складається з генерації та постійної селекції учасниками ринку інструментів, що найбільш повно відповідають їх потребам. З’являється багато гібридних та синтетичних продуктів.</w:t>
      </w:r>
    </w:p>
    <w:p w:rsidR="00807391" w:rsidRPr="00FC0B68" w:rsidRDefault="00807391" w:rsidP="00FC0B68">
      <w:pPr>
        <w:spacing w:after="0" w:line="240" w:lineRule="auto"/>
        <w:ind w:firstLine="902"/>
        <w:jc w:val="both"/>
        <w:rPr>
          <w:rFonts w:ascii="Times New Roman" w:hAnsi="Times New Roman"/>
          <w:sz w:val="20"/>
          <w:szCs w:val="20"/>
          <w:lang w:val="uk-UA"/>
        </w:rPr>
      </w:pPr>
      <w:r w:rsidRPr="00FC0B68">
        <w:rPr>
          <w:rFonts w:ascii="Times New Roman" w:hAnsi="Times New Roman"/>
          <w:sz w:val="20"/>
          <w:szCs w:val="20"/>
          <w:lang w:val="uk-UA"/>
        </w:rPr>
        <w:t>В цілому на основі аналізу чинників глобальної фінансової кризи видно, що банківсько-фінансовий сектор протягом останніх 10 - 15 років зазнав серйозної якісної трансформації, і тому сьогодні необхідно багато в чому суттєво змінити усталені погляди на механізми його діяльності.</w:t>
      </w:r>
    </w:p>
    <w:p w:rsidR="00807391" w:rsidRDefault="00807391" w:rsidP="000F3FA3">
      <w:pPr>
        <w:spacing w:after="0" w:line="240" w:lineRule="auto"/>
        <w:ind w:firstLine="567"/>
        <w:jc w:val="both"/>
        <w:rPr>
          <w:rFonts w:ascii="Times New Roman" w:hAnsi="Times New Roman"/>
          <w:sz w:val="20"/>
          <w:szCs w:val="20"/>
          <w:lang w:val="uk-UA"/>
        </w:rPr>
      </w:pPr>
    </w:p>
    <w:p w:rsidR="00807391" w:rsidRDefault="00807391" w:rsidP="000F3FA3">
      <w:pPr>
        <w:spacing w:after="0" w:line="240" w:lineRule="auto"/>
        <w:ind w:firstLine="567"/>
        <w:jc w:val="center"/>
        <w:rPr>
          <w:rFonts w:ascii="Times New Roman" w:hAnsi="Times New Roman"/>
          <w:sz w:val="20"/>
          <w:szCs w:val="20"/>
          <w:lang w:val="uk-UA"/>
        </w:rPr>
      </w:pPr>
      <w:r>
        <w:rPr>
          <w:rFonts w:ascii="Times New Roman" w:hAnsi="Times New Roman"/>
          <w:sz w:val="20"/>
          <w:szCs w:val="20"/>
          <w:lang w:val="uk-UA"/>
        </w:rPr>
        <w:t>Перелік використаних джерел</w:t>
      </w:r>
    </w:p>
    <w:p w:rsidR="00807391" w:rsidRDefault="00807391" w:rsidP="000F3FA3">
      <w:pPr>
        <w:spacing w:after="0" w:line="240" w:lineRule="auto"/>
        <w:ind w:firstLine="567"/>
        <w:jc w:val="center"/>
        <w:rPr>
          <w:rFonts w:ascii="Times New Roman" w:hAnsi="Times New Roman"/>
          <w:sz w:val="20"/>
          <w:szCs w:val="20"/>
          <w:lang w:val="uk-UA"/>
        </w:rPr>
      </w:pPr>
    </w:p>
    <w:p w:rsidR="00807391" w:rsidRPr="00B33B83" w:rsidRDefault="00807391" w:rsidP="00B33B83">
      <w:pPr>
        <w:pStyle w:val="ListParagraph"/>
        <w:numPr>
          <w:ilvl w:val="0"/>
          <w:numId w:val="1"/>
        </w:numPr>
        <w:tabs>
          <w:tab w:val="left" w:pos="851"/>
        </w:tabs>
        <w:spacing w:after="0" w:line="240" w:lineRule="auto"/>
        <w:ind w:left="0" w:firstLine="567"/>
        <w:jc w:val="both"/>
        <w:rPr>
          <w:rFonts w:ascii="Times New Roman" w:hAnsi="Times New Roman"/>
          <w:sz w:val="20"/>
          <w:szCs w:val="20"/>
          <w:lang w:val="uk-UA"/>
        </w:rPr>
      </w:pPr>
      <w:r w:rsidRPr="00B33B83">
        <w:rPr>
          <w:rFonts w:ascii="Times New Roman" w:hAnsi="Times New Roman"/>
          <w:bCs/>
          <w:sz w:val="20"/>
          <w:szCs w:val="20"/>
          <w:lang w:val="uk-UA"/>
        </w:rPr>
        <w:t>William F. E.</w:t>
      </w:r>
      <w:r w:rsidRPr="00B33B83">
        <w:rPr>
          <w:rFonts w:ascii="Times New Roman" w:hAnsi="Times New Roman"/>
          <w:sz w:val="20"/>
          <w:szCs w:val="20"/>
          <w:lang w:val="uk-UA"/>
        </w:rPr>
        <w:t xml:space="preserve"> The Financial Tsunami has not reached its Climax Credit Default Swaps: Next Phase of an Unravelling Crisis // Global Research. - 2008. - June 5 // www.globalresearch.ca/index.php?context=va&amp;aid=9202</w:t>
      </w:r>
    </w:p>
    <w:p w:rsidR="00807391" w:rsidRPr="00B33B83" w:rsidRDefault="00807391" w:rsidP="00B33B83">
      <w:pPr>
        <w:pStyle w:val="ListParagraph"/>
        <w:widowControl w:val="0"/>
        <w:numPr>
          <w:ilvl w:val="0"/>
          <w:numId w:val="1"/>
        </w:numPr>
        <w:tabs>
          <w:tab w:val="left" w:pos="851"/>
        </w:tabs>
        <w:autoSpaceDE w:val="0"/>
        <w:autoSpaceDN w:val="0"/>
        <w:adjustRightInd w:val="0"/>
        <w:spacing w:line="240" w:lineRule="auto"/>
        <w:ind w:left="0" w:firstLine="567"/>
        <w:jc w:val="both"/>
        <w:rPr>
          <w:rFonts w:ascii="Times New Roman" w:hAnsi="Times New Roman"/>
          <w:sz w:val="20"/>
          <w:szCs w:val="20"/>
          <w:lang w:val="uk-UA"/>
        </w:rPr>
      </w:pPr>
      <w:r w:rsidRPr="00B33B83">
        <w:rPr>
          <w:rFonts w:ascii="Times New Roman" w:hAnsi="Times New Roman"/>
          <w:sz w:val="20"/>
          <w:szCs w:val="20"/>
          <w:lang w:val="uk-UA"/>
        </w:rPr>
        <w:t>Батковський В., Даниленко А., Домрачев В. Перспективи впливу глобальних тенденцій розвитку економіки та фінансової системи на Україну // Вісник Національного банку України. - 2009. - № 12. - С.3-9.</w:t>
      </w:r>
    </w:p>
    <w:p w:rsidR="00807391" w:rsidRPr="00B33B83" w:rsidRDefault="00807391" w:rsidP="00B33B83">
      <w:pPr>
        <w:pStyle w:val="ListParagraph"/>
        <w:numPr>
          <w:ilvl w:val="0"/>
          <w:numId w:val="1"/>
        </w:numPr>
        <w:tabs>
          <w:tab w:val="left" w:pos="851"/>
        </w:tabs>
        <w:spacing w:line="240" w:lineRule="auto"/>
        <w:ind w:left="0" w:firstLine="567"/>
        <w:jc w:val="both"/>
        <w:outlineLvl w:val="0"/>
        <w:rPr>
          <w:rFonts w:ascii="Times New Roman" w:hAnsi="Times New Roman"/>
          <w:sz w:val="20"/>
          <w:szCs w:val="20"/>
          <w:lang w:val="uk-UA"/>
        </w:rPr>
      </w:pPr>
      <w:r w:rsidRPr="00B33B83">
        <w:rPr>
          <w:rFonts w:ascii="Times New Roman" w:hAnsi="Times New Roman"/>
          <w:sz w:val="20"/>
          <w:szCs w:val="20"/>
          <w:lang w:val="uk-UA"/>
        </w:rPr>
        <w:t>Моисеев С. Р. Международные валютно-кредитные отношения / М.: Издательство «Дело и Сервис, 2003. – 576 с.</w:t>
      </w:r>
    </w:p>
    <w:p w:rsidR="00807391" w:rsidRPr="00B33B83" w:rsidRDefault="00807391" w:rsidP="00B33B83">
      <w:pPr>
        <w:pStyle w:val="ListParagraph"/>
        <w:numPr>
          <w:ilvl w:val="0"/>
          <w:numId w:val="1"/>
        </w:numPr>
        <w:tabs>
          <w:tab w:val="left" w:pos="851"/>
        </w:tabs>
        <w:spacing w:line="240" w:lineRule="auto"/>
        <w:ind w:left="0" w:firstLine="567"/>
        <w:jc w:val="both"/>
        <w:rPr>
          <w:rFonts w:ascii="Times New Roman" w:hAnsi="Times New Roman"/>
          <w:sz w:val="20"/>
          <w:szCs w:val="20"/>
          <w:lang w:val="uk-UA"/>
        </w:rPr>
      </w:pPr>
      <w:r w:rsidRPr="00B33B83">
        <w:rPr>
          <w:rFonts w:ascii="Times New Roman" w:hAnsi="Times New Roman"/>
          <w:sz w:val="20"/>
          <w:szCs w:val="20"/>
          <w:lang w:val="uk-UA"/>
        </w:rPr>
        <w:t>Ромашко О. Ю. Регулювання міжнародних фондових ринків: Навч. посібник. – К.: КНЕУ, 2000. – 240 с.</w:t>
      </w:r>
    </w:p>
    <w:sectPr w:rsidR="00807391" w:rsidRPr="00B33B83" w:rsidSect="006B069D">
      <w:pgSz w:w="8392" w:h="11907" w:code="11"/>
      <w:pgMar w:top="851" w:right="851" w:bottom="851" w:left="85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5DE5DE4"/>
    <w:multiLevelType w:val="hybridMultilevel"/>
    <w:tmpl w:val="52F871A0"/>
    <w:lvl w:ilvl="0" w:tplc="95765A4A">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B069D"/>
    <w:rsid w:val="000F3FA3"/>
    <w:rsid w:val="00113F30"/>
    <w:rsid w:val="00352AFC"/>
    <w:rsid w:val="00377F8C"/>
    <w:rsid w:val="004E1696"/>
    <w:rsid w:val="006B069D"/>
    <w:rsid w:val="00807391"/>
    <w:rsid w:val="00893B1B"/>
    <w:rsid w:val="009111BA"/>
    <w:rsid w:val="009A39B5"/>
    <w:rsid w:val="00B33B83"/>
    <w:rsid w:val="00CB525B"/>
    <w:rsid w:val="00FC0B68"/>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7F8C"/>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0F3FA3"/>
    <w:pPr>
      <w:ind w:left="720"/>
      <w:contextualSpacing/>
    </w:pPr>
  </w:style>
  <w:style w:type="character" w:styleId="Strong">
    <w:name w:val="Strong"/>
    <w:basedOn w:val="DefaultParagraphFont"/>
    <w:uiPriority w:val="99"/>
    <w:qFormat/>
    <w:rsid w:val="00B33B83"/>
    <w:rPr>
      <w:rFonts w:cs="Times New Roman"/>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2</Pages>
  <Words>806</Words>
  <Characters>4600</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Овчиннікова О</dc:title>
  <dc:subject/>
  <dc:creator>ovchinnikova</dc:creator>
  <cp:keywords/>
  <dc:description/>
  <cp:lastModifiedBy>Пользователь Windows</cp:lastModifiedBy>
  <cp:revision>2</cp:revision>
  <dcterms:created xsi:type="dcterms:W3CDTF">2022-01-26T19:19:00Z</dcterms:created>
  <dcterms:modified xsi:type="dcterms:W3CDTF">2022-01-26T19:19:00Z</dcterms:modified>
</cp:coreProperties>
</file>