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7D17" w:rsidRPr="00173668" w:rsidRDefault="00DF7D17" w:rsidP="00173668">
      <w:pPr>
        <w:spacing w:after="0" w:line="360" w:lineRule="auto"/>
        <w:ind w:firstLine="709"/>
        <w:contextualSpacing/>
        <w:jc w:val="right"/>
        <w:rPr>
          <w:rFonts w:ascii="Times New Roman" w:hAnsi="Times New Roman"/>
          <w:sz w:val="28"/>
          <w:szCs w:val="28"/>
        </w:rPr>
      </w:pPr>
      <w:r w:rsidRPr="00173668">
        <w:rPr>
          <w:rFonts w:ascii="Times New Roman" w:hAnsi="Times New Roman"/>
          <w:sz w:val="28"/>
          <w:szCs w:val="28"/>
        </w:rPr>
        <w:t>Шевченко Лілія Вікторівна (НЦ ЗРП</w:t>
      </w:r>
      <w:r>
        <w:rPr>
          <w:rFonts w:ascii="Times New Roman" w:hAnsi="Times New Roman"/>
          <w:sz w:val="28"/>
          <w:szCs w:val="28"/>
          <w:lang w:val="ru-RU"/>
        </w:rPr>
        <w:t xml:space="preserve"> / </w:t>
      </w:r>
      <w:r>
        <w:rPr>
          <w:rFonts w:ascii="Times New Roman" w:hAnsi="Times New Roman"/>
          <w:sz w:val="28"/>
          <w:szCs w:val="28"/>
          <w:lang w:val="en-US"/>
        </w:rPr>
        <w:t>SC ELM</w:t>
      </w:r>
      <w:r w:rsidRPr="00173668">
        <w:rPr>
          <w:rFonts w:ascii="Times New Roman" w:hAnsi="Times New Roman"/>
          <w:sz w:val="28"/>
          <w:szCs w:val="28"/>
        </w:rPr>
        <w:t>)</w:t>
      </w:r>
    </w:p>
    <w:p w:rsidR="00DF7D17" w:rsidRDefault="00DF7D17" w:rsidP="00173668">
      <w:pPr>
        <w:spacing w:after="0" w:line="360" w:lineRule="auto"/>
        <w:ind w:firstLine="709"/>
        <w:contextualSpacing/>
        <w:jc w:val="center"/>
        <w:rPr>
          <w:rFonts w:ascii="Times New Roman" w:hAnsi="Times New Roman"/>
          <w:sz w:val="32"/>
          <w:szCs w:val="28"/>
        </w:rPr>
      </w:pPr>
      <w:r w:rsidRPr="00173668">
        <w:rPr>
          <w:rFonts w:ascii="Times New Roman" w:hAnsi="Times New Roman"/>
          <w:sz w:val="32"/>
          <w:szCs w:val="28"/>
        </w:rPr>
        <w:t>ВДОСКОНАЛЕННЯ СИСТЕМИ ДОПОМОГИ ПО БЕЗРОБІТТЮ</w:t>
      </w:r>
      <w:bookmarkStart w:id="0" w:name="_GoBack"/>
      <w:bookmarkEnd w:id="0"/>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Закон «Про зайнятість населення» був великим кроком вперед у справі регулювання українського ринку праці, сприяння структурним змінам в зайнятості та захисту прибутків під час безробіття. Згідно з цим законом допомога по безробіттю виплачується громадянам, визначеними у встановленому порядку безробітними, з одинадцятого дня після реєстрації громадянина у державній службі зайнятості до вирішення питання про працевлаштування, але не більш як 12 місяців протягом наступних трьох років. У перший рік допомога подається не більш як 6 місяців, другий – не більш як 3 місяці, третій рік – залишок, не використаний за попередні 2 роки.</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Розмір допомоги повинен складати не менше 50% середньої заробітної плати за попереднім місцем роботи, але не нижче встановленої законодавством мінімальної заробітної плати в тому разі, якщо громадянин втратив роботу і протягом 12 місяців, що передували початку безробіття, мав оплачувану роботу не менш як 12 тижнів. В усіх інших випадках втрати роботи розмір допомоги повинен складати не менше 75% встановленої законодавством мінімальної заробітної плати.</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Виплата допомоги по безробіттю не здійснюється в тому разі, коли громадянин відмовляється від двох пропозицій відповідної роботи або в тому разі, коли він звільняється з останнього місця роботи за власним бажанням без поважних причин.</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Діючий порядок надання соціальної допомоги не вирішує деякі проблематичні ситуації, які виникають в процесі функціонування такого механізму в житті. Наприклад, він не стимулює до пошуку роботи, особливо тоді, коли середня заробітна плата за попереднім місцем роботи була досить велика і 50% від її розміру становить досить достатню суму для нормального життя на деякий час. Але частіше на практиці розмір допомоги досить малий через нестачу коштів. Порядок не враховує також зв’язок розміру допомоги зі стажем та досвідом роботи, освітою, професійними якостями людини.</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До того ж трапляється багато випадків порушення закону. Зокрема, таке порушення, як пропонування безробітному такої роботи, яка зовсім для неї є сприйнятною ані за освітою, ані за професією. Але така пропозиція роботи вважається за пропозицію відповідної роботи. Зрозуміло, що від таких пропозицій людина відмовляється і втрачає допомогу.</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В тому разі, коли людина звільняється з роботи за власним бажанням, поважність причин її звільнення віддається на розсуд робітників служби зайнятості, що припускає упереджене ставлення до людини.</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Тому необхідно вдосконалити схему надання допомоги по безробіттю так, щоб вона стимулювала пошук роботи, забезпечувала захист більшої кількості безробітних, включаючи тих, хто знаходиться в адміністративних відпустках і працює за скороченим графіком. Недоцільно платити звільненим робітникам на протязі трьох місяців гроші з фондів підприємств, якщо не знайдуть за цей час роботу, тому, що це не стимулює їх на прискорений пошук нового місця. З досвіду інших країн, безробітні повинні бути зацікавлені знайти роботу як можна скоріше.</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При цьому велику роль грає розмір вихідної допомоги, яка повинна бути настільки достатньою, щоб компенсувати робітнику життєві випробування, які зв’язані з втратою робочого місця, полегшити його повторне працевлаштування та зробити для підприємства невигідними звільнення без поважних причин.</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Треба переглянути тривалість зайнятості, яка необхідна для отримання допомоги, а також строк реєстрації робітників в органах служби зайнятості. Встановлений період три місяці (або, точніше, 12 тижнів, включаючи випадки звільнення в зв’язку з реорганізацією, коли строк не визначається) за останні 12 місяців може підштовхнути деякі групи робітників приймати роботу за скороченим графіком, сезонні роботи, діяти в неформальному секторі економіки, одночасно з безробіттям та отриманням допомоги по безробіттю, а підприємців – створювати робочі місця з скороченим графіком роботи. З ростом безробіття цей факт буде означати подальше напруження для фонду сприяння зайнятості і не буде сприяти постійній зайнятості. Цей період необхідно продовжити, інакше це буде несправедливо для робітників з великим стажем роботи і в умовах високого безробіття та великої частки короткострокових контрактів може коштувати дуже дорого.</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Було б доречним також посилити контроль за виконанням Закону «Про зайнятість населення», особливо на місцях, коли мова іде про долю конкретної людини; а також пояснити деякі положення закону в пристосуванні їх до вирішення конкретної ситуації.</w:t>
      </w:r>
    </w:p>
    <w:p w:rsidR="00DF7D17"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Довгострокову реальну перспективу вдосконалення системи допомоги по безробіттю створить перехід до системи соціального страхування по безробіттю. Окрім створення та використання фонду сприяння зайнятості населення доцільно створити альтернативну систему соціального захисту населення за прикладом країн Західної Європи. В основі цієї системи лежить соціальне страхування від різних видів ризику, в тому числі на випадок захворювання, інвалідності, старості, безробіття, тощо.</w:t>
      </w:r>
    </w:p>
    <w:p w:rsidR="00DF7D17" w:rsidRPr="00173668" w:rsidRDefault="00DF7D17" w:rsidP="00173668">
      <w:pPr>
        <w:spacing w:after="0" w:line="360" w:lineRule="auto"/>
        <w:ind w:firstLine="709"/>
        <w:contextualSpacing/>
        <w:jc w:val="both"/>
        <w:rPr>
          <w:rFonts w:ascii="Times New Roman" w:hAnsi="Times New Roman"/>
          <w:sz w:val="32"/>
          <w:szCs w:val="28"/>
        </w:rPr>
      </w:pPr>
      <w:r>
        <w:rPr>
          <w:rFonts w:ascii="Times New Roman" w:hAnsi="Times New Roman"/>
          <w:sz w:val="32"/>
          <w:szCs w:val="28"/>
        </w:rPr>
        <w:t>Основними джерелами формування страхових фондів повинні бути внески підприємств, організацій, установ та самих робітників. Розмір відрахувань для роботодавців та робітників встановлюється відповідно рівню оплати праці. Але успішний перехід на страхове соціальне обслуговування можливий при умові державної гарантії його стабільного рівня для тих вікових груп, які вже доклали свою працю в народне господарство, а для працюючих таке підвищення заробітку, яке дасть змогу зробити достатні страхові відрахування.</w:t>
      </w:r>
    </w:p>
    <w:sectPr w:rsidR="00DF7D17" w:rsidRPr="00173668" w:rsidSect="00CD125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4606E"/>
    <w:rsid w:val="000439F1"/>
    <w:rsid w:val="00057117"/>
    <w:rsid w:val="001551D4"/>
    <w:rsid w:val="00173668"/>
    <w:rsid w:val="002E543D"/>
    <w:rsid w:val="005D4D0A"/>
    <w:rsid w:val="00661E32"/>
    <w:rsid w:val="00A14E0D"/>
    <w:rsid w:val="00CD1258"/>
    <w:rsid w:val="00DD35C3"/>
    <w:rsid w:val="00DF7D17"/>
    <w:rsid w:val="00E4606E"/>
    <w:rsid w:val="00EE22E8"/>
    <w:rsid w:val="00FF478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1258"/>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4</Pages>
  <Words>819</Words>
  <Characters>4672</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Шевченко Лілія Вікторівна (НЦ ЗРП / SC ELM)</dc:title>
  <dc:subject/>
  <dc:creator>RePack by Diakov</dc:creator>
  <cp:keywords/>
  <dc:description/>
  <cp:lastModifiedBy>Пользователь Windows</cp:lastModifiedBy>
  <cp:revision>2</cp:revision>
  <dcterms:created xsi:type="dcterms:W3CDTF">2022-03-25T20:32:00Z</dcterms:created>
  <dcterms:modified xsi:type="dcterms:W3CDTF">2022-03-25T20:32:00Z</dcterms:modified>
</cp:coreProperties>
</file>