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143" w:rsidRPr="002E4143" w:rsidRDefault="002E4143" w:rsidP="002E4143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u w:val="single"/>
        </w:rPr>
      </w:pPr>
      <w:proofErr w:type="spellStart"/>
      <w:r w:rsidRPr="002E4143">
        <w:rPr>
          <w:rFonts w:ascii="Times New Roman" w:hAnsi="Times New Roman"/>
          <w:sz w:val="24"/>
          <w:szCs w:val="24"/>
          <w:lang w:val="ru-RU"/>
        </w:rPr>
        <w:t>Паршивлюк</w:t>
      </w:r>
      <w:proofErr w:type="spellEnd"/>
      <w:r w:rsidRPr="002E4143">
        <w:rPr>
          <w:rFonts w:ascii="Times New Roman" w:hAnsi="Times New Roman"/>
          <w:sz w:val="24"/>
          <w:szCs w:val="24"/>
          <w:lang w:val="ru-RU"/>
        </w:rPr>
        <w:t xml:space="preserve"> Б.С., </w:t>
      </w:r>
      <w:r w:rsidRPr="002E4143">
        <w:rPr>
          <w:rFonts w:ascii="Times New Roman" w:hAnsi="Times New Roman"/>
          <w:sz w:val="24"/>
          <w:szCs w:val="24"/>
        </w:rPr>
        <w:t xml:space="preserve"> </w:t>
      </w:r>
      <w:r w:rsidRPr="002E4143">
        <w:rPr>
          <w:rFonts w:ascii="Times New Roman" w:hAnsi="Times New Roman"/>
          <w:sz w:val="24"/>
          <w:szCs w:val="24"/>
          <w:u w:val="single"/>
        </w:rPr>
        <w:t>Донченко Т.В.</w:t>
      </w:r>
    </w:p>
    <w:p w:rsidR="00190889" w:rsidRPr="002E4143" w:rsidRDefault="002E4143" w:rsidP="002E4143">
      <w:pPr>
        <w:spacing w:after="0" w:line="240" w:lineRule="auto"/>
        <w:ind w:firstLine="709"/>
        <w:jc w:val="center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 w:rsidRPr="002E4143">
        <w:rPr>
          <w:rFonts w:ascii="Times New Roman" w:hAnsi="Times New Roman"/>
          <w:sz w:val="24"/>
          <w:szCs w:val="24"/>
        </w:rPr>
        <w:t>Хмельницький національний університет, м. Хмельницький</w:t>
      </w:r>
    </w:p>
    <w:p w:rsidR="00CC74E7" w:rsidRDefault="00CC74E7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p w:rsidR="00190889" w:rsidRPr="00CC74E7" w:rsidRDefault="00190889" w:rsidP="00431B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ТЕОРЕТИЧНІ АСПЕКТИ ФОРМУВАННЯ ДЕПОЗИТНОЇ ПОЛІТИКИ БАНКУ</w:t>
      </w:r>
    </w:p>
    <w:p w:rsidR="00190889" w:rsidRPr="00190889" w:rsidRDefault="00190889" w:rsidP="0019088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</w:p>
    <w:p w:rsidR="00190889" w:rsidRPr="00431B1E" w:rsidRDefault="00190889" w:rsidP="0019088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4"/>
          <w:szCs w:val="24"/>
          <w:lang w:val="ru-RU"/>
        </w:rPr>
      </w:pPr>
      <w:r>
        <w:rPr>
          <w:rFonts w:ascii="Times New Roman" w:eastAsia="TimesNewRomanPSMT" w:hAnsi="Times New Roman" w:cs="Times New Roman"/>
          <w:sz w:val="24"/>
          <w:szCs w:val="24"/>
          <w:lang w:val="en-US"/>
        </w:rPr>
        <w:t>C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ьогодні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поняття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депозитна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політика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найчастіше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пропонують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визначати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як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певний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комплекс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або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ж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систему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управлінських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рішень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які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дозволяють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забезпечити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формування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фінансових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ресурсів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банків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та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поділяються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на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стратегічні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передбачають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довгостроковий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період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досягнення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банком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цілей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),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та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тактичні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(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передбачають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реалізацію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банком</w:t>
      </w:r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короткострокових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NewRomanPSMT" w:hAnsi="Times New Roman" w:cs="Times New Roman"/>
          <w:sz w:val="24"/>
          <w:szCs w:val="24"/>
          <w:lang w:val="ru-RU"/>
        </w:rPr>
        <w:t>цілей</w:t>
      </w:r>
      <w:proofErr w:type="spellEnd"/>
      <w:r w:rsidRPr="00431B1E">
        <w:rPr>
          <w:rFonts w:ascii="Times New Roman" w:eastAsia="TimesNewRomanPSMT" w:hAnsi="Times New Roman" w:cs="Times New Roman"/>
          <w:sz w:val="24"/>
          <w:szCs w:val="24"/>
          <w:lang w:val="ru-RU"/>
        </w:rPr>
        <w:t>).</w:t>
      </w:r>
    </w:p>
    <w:p w:rsidR="00190889" w:rsidRPr="00190889" w:rsidRDefault="00190889" w:rsidP="0019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Характерними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рисами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наступні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:</w:t>
      </w:r>
    </w:p>
    <w:p w:rsidR="00190889" w:rsidRPr="00190889" w:rsidRDefault="00190889" w:rsidP="0019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–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тісно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пов'язана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кредитною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політикою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банку,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оскільки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забезпечує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взаємозв'язок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взаємоузгодження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мiж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депозитними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i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кредитними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операцiями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за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термiнами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й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сумами; </w:t>
      </w:r>
    </w:p>
    <w:p w:rsidR="00190889" w:rsidRPr="00190889" w:rsidRDefault="00190889" w:rsidP="0019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–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спрямована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на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задоволення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потреб банку в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ліквідності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шляхом активного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залучення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коштів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зокрема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запозичених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;  </w:t>
      </w:r>
    </w:p>
    <w:p w:rsidR="00190889" w:rsidRPr="00190889" w:rsidRDefault="00190889" w:rsidP="0019088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–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об'єднує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стратегію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та тактику банку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щодо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залучення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грошових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коштів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вкладників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та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інших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кредиторів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визначення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їх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найефективнішої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комбінації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; </w:t>
      </w:r>
    </w:p>
    <w:p w:rsidR="00190889" w:rsidRPr="00190889" w:rsidRDefault="00190889" w:rsidP="0019088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–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грунтується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на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асортименті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високоякісних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послуг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різноманітних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форм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методів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залучення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коштів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особлива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увага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приділяється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строковим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депозитам,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якi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сприяють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підтримці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лiквiдностi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балансу банку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більш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прогнозованими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;</w:t>
      </w:r>
    </w:p>
    <w:p w:rsidR="00190889" w:rsidRPr="00190889" w:rsidRDefault="00190889" w:rsidP="0019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–</w:t>
      </w:r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грунтується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на </w:t>
      </w:r>
      <w:proofErr w:type="spellStart"/>
      <w:r w:rsidRPr="00190889">
        <w:rPr>
          <w:rFonts w:ascii="Times New Roman" w:hAnsi="Times New Roman"/>
          <w:color w:val="000000"/>
          <w:sz w:val="24"/>
          <w:szCs w:val="24"/>
        </w:rPr>
        <w:t>клієнтоорієнтованому</w:t>
      </w:r>
      <w:proofErr w:type="spellEnd"/>
      <w:r w:rsidRPr="00190889">
        <w:rPr>
          <w:rFonts w:ascii="Times New Roman" w:hAnsi="Times New Roman"/>
          <w:color w:val="000000"/>
          <w:sz w:val="24"/>
          <w:szCs w:val="24"/>
        </w:rPr>
        <w:t xml:space="preserve"> підході, адже</w:t>
      </w:r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підвищення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якості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й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культури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обслуговування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клієнтів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сприяє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більшому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залученню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депозитів</w:t>
      </w:r>
      <w:proofErr w:type="spellEnd"/>
      <w:r w:rsidRPr="00190889">
        <w:rPr>
          <w:rFonts w:ascii="Times New Roman" w:hAnsi="Times New Roman" w:cs="Times New Roman"/>
          <w:color w:val="000000"/>
          <w:sz w:val="24"/>
          <w:szCs w:val="24"/>
          <w:lang w:val="ru-RU"/>
        </w:rPr>
        <w:t>;</w:t>
      </w:r>
    </w:p>
    <w:p w:rsidR="00CC74E7" w:rsidRDefault="00190889" w:rsidP="0019088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–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забезпечує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стійкість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бази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конкурентні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переваги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на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фінансовому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ринку.</w:t>
      </w:r>
    </w:p>
    <w:p w:rsidR="00CC74E7" w:rsidRPr="00CC74E7" w:rsidRDefault="00CC74E7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190889">
        <w:rPr>
          <w:rFonts w:ascii="Times New Roman" w:hAnsi="Times New Roman" w:cs="Times New Roman"/>
          <w:sz w:val="24"/>
          <w:szCs w:val="24"/>
        </w:rPr>
        <w:t xml:space="preserve">наліз </w:t>
      </w:r>
      <w:r w:rsidRPr="00190889">
        <w:rPr>
          <w:rFonts w:ascii="Times New Roman" w:hAnsi="Times New Roman"/>
          <w:sz w:val="24"/>
          <w:szCs w:val="24"/>
        </w:rPr>
        <w:t>змістових характеристик,</w:t>
      </w:r>
      <w:r w:rsidRPr="00190889">
        <w:rPr>
          <w:rFonts w:ascii="Times New Roman" w:hAnsi="Times New Roman" w:cs="Times New Roman"/>
          <w:sz w:val="24"/>
          <w:szCs w:val="24"/>
        </w:rPr>
        <w:t xml:space="preserve"> спільних рис та відмінностей у визначеннях дав змогу сформулювати власне визначення депозитної політики як системи заходів формування та управління залученими ресурсами економічних суб’єктів, а також визначення та формування оптимальної </w:t>
      </w:r>
      <w:r w:rsidRPr="00190889">
        <w:rPr>
          <w:rFonts w:ascii="Times New Roman" w:eastAsia="Times New Roman" w:hAnsi="Times New Roman" w:cs="Times New Roman"/>
          <w:sz w:val="24"/>
          <w:szCs w:val="24"/>
          <w:lang w:eastAsia="uk-UA"/>
        </w:rPr>
        <w:t>за критеріями вартості, строковості та ризику</w:t>
      </w:r>
      <w:r w:rsidRPr="00190889">
        <w:rPr>
          <w:rFonts w:ascii="Times New Roman" w:hAnsi="Times New Roman" w:cs="Times New Roman"/>
          <w:sz w:val="24"/>
          <w:szCs w:val="24"/>
        </w:rPr>
        <w:t xml:space="preserve"> структури й обсягів депозитної бази банку, </w:t>
      </w:r>
      <w:r w:rsidRPr="00CC74E7">
        <w:rPr>
          <w:rFonts w:ascii="Times New Roman" w:eastAsia="TimesNewRomanPSMT" w:hAnsi="Times New Roman" w:cs="Times New Roman"/>
          <w:sz w:val="24"/>
          <w:szCs w:val="24"/>
        </w:rPr>
        <w:t xml:space="preserve">необхідної для здійснення активних операцій та </w:t>
      </w:r>
      <w:r w:rsidRPr="00190889">
        <w:rPr>
          <w:rFonts w:ascii="Times New Roman" w:hAnsi="Times New Roman" w:cs="Times New Roman"/>
          <w:sz w:val="24"/>
          <w:szCs w:val="24"/>
        </w:rPr>
        <w:t>забезпечення його ефективного функціонування на грошовому ринку.</w:t>
      </w:r>
    </w:p>
    <w:p w:rsidR="00190889" w:rsidRPr="00190889" w:rsidRDefault="00190889" w:rsidP="0019088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0889">
        <w:rPr>
          <w:rFonts w:ascii="Times New Roman" w:hAnsi="Times New Roman" w:cs="Times New Roman"/>
          <w:sz w:val="24"/>
          <w:szCs w:val="24"/>
        </w:rPr>
        <w:t xml:space="preserve">Розглядаючи сутність та </w:t>
      </w:r>
      <w:r w:rsidRPr="001908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особливості формування </w:t>
      </w:r>
      <w:r w:rsidRPr="00190889">
        <w:rPr>
          <w:rFonts w:ascii="Times New Roman" w:hAnsi="Times New Roman" w:cs="Times New Roman"/>
          <w:sz w:val="24"/>
          <w:szCs w:val="24"/>
        </w:rPr>
        <w:t>депозитної політики комерційних банків, необхідно визначити такі елементи, як: суб'єкти та об'єкти депозитної політики, цілі, завдання та принципи її формування.</w:t>
      </w:r>
    </w:p>
    <w:p w:rsidR="00190889" w:rsidRPr="00190889" w:rsidRDefault="00190889" w:rsidP="0019088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0889">
        <w:rPr>
          <w:rFonts w:ascii="Times New Roman" w:hAnsi="Times New Roman" w:cs="Times New Roman"/>
          <w:sz w:val="24"/>
          <w:szCs w:val="24"/>
        </w:rPr>
        <w:t>До складу суб'єктів депозитної політики комерційного банку включено: корпоративні і роздрібні клієнти (фізичні і юридичні особи); регулятор в особі НБУ і відповідні державні інститути, що впливають на формування ресурсної бази банку.</w:t>
      </w:r>
    </w:p>
    <w:p w:rsidR="00190889" w:rsidRPr="00190889" w:rsidRDefault="00190889" w:rsidP="00ED04A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190889">
        <w:rPr>
          <w:rFonts w:ascii="Times New Roman" w:hAnsi="Times New Roman" w:cs="Times New Roman"/>
          <w:sz w:val="24"/>
          <w:szCs w:val="24"/>
        </w:rPr>
        <w:t>До об'єктів депозитної політики віднесено: залучені кошти банку;</w:t>
      </w:r>
      <w:r w:rsidR="00ED04AB" w:rsidRPr="00ED04A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hAnsi="Times New Roman" w:cs="Times New Roman"/>
          <w:sz w:val="24"/>
          <w:szCs w:val="24"/>
        </w:rPr>
        <w:t>додаткові послуги банку (комплексне обслуговування).</w:t>
      </w:r>
    </w:p>
    <w:p w:rsidR="00190889" w:rsidRPr="00431B1E" w:rsidRDefault="00190889" w:rsidP="0019088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Класифікація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суб'єктів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об'єктів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банку наведено на рисунку 1.</w:t>
      </w:r>
    </w:p>
    <w:p w:rsidR="00190889" w:rsidRPr="00190889" w:rsidRDefault="00190889" w:rsidP="00190889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Характерною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рисою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депозитних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операцій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є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роль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клієнта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банку,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самостійно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визначає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розмір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вкладу,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тобто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частину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своїх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доходів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, яку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він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спрямовує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заощадження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. Тому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вагоме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місце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депозитними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операціями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комерційного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мають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займати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заходи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впливу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економічну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поведінку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потенційних</w:t>
      </w:r>
      <w:proofErr w:type="spellEnd"/>
      <w:r w:rsidRPr="0019088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вкладників</w:t>
      </w:r>
      <w:proofErr w:type="spellEnd"/>
      <w:r w:rsidR="00BB37A6" w:rsidRPr="00BB37A6">
        <w:rPr>
          <w:rFonts w:ascii="Times New Roman" w:hAnsi="Times New Roman" w:cs="Times New Roman"/>
          <w:sz w:val="24"/>
          <w:szCs w:val="24"/>
          <w:lang w:val="ru-RU"/>
        </w:rPr>
        <w:t xml:space="preserve"> [1, с.386]</w:t>
      </w:r>
      <w:r w:rsidRPr="00190889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CC74E7" w:rsidRPr="00190889" w:rsidRDefault="00CC74E7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Клієнти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банку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одним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основних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джерел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формування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ресурсів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тому для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реалізації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ефективної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банку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необхідний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сучасний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інструментарій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щодо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залучення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тимчасово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вільних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коштів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.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Приймаючи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до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уваги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досвід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Європейських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банків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реалізація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депозитної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можлива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за умов: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високої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лояльності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до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клієнта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(як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наслідок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максимальне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охоплення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клієнтської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бази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);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маркетингових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заходів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які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дозволяють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підвищити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релевантність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інформації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для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клієнта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(як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наслідок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підвищується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ефективність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продаж), активного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використання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процентної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політики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для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стимулювання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розміщення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коштів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,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пропозиції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новітніх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банківських</w:t>
      </w:r>
      <w:proofErr w:type="spellEnd"/>
      <w:r w:rsidRPr="00190889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r w:rsidRPr="00190889">
        <w:rPr>
          <w:rFonts w:ascii="Times New Roman" w:hAnsi="Times New Roman" w:cs="Times New Roman"/>
          <w:sz w:val="24"/>
          <w:szCs w:val="24"/>
        </w:rPr>
        <w:t>технологій (покращення якості обслуговування клієнтів).</w:t>
      </w:r>
    </w:p>
    <w:p w:rsidR="00ED04AB" w:rsidRPr="00431B1E" w:rsidRDefault="00ED04AB" w:rsidP="00ED04A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У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співпраці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між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клієнтами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банками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особливістю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є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те,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що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вкладники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тут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відіграють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активну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роль.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Адже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мова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йде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про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залучені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ресурси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, а тому в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розроблення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депозитної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політики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банком, без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врахування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інтересів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вкладників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не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обійтись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. Характерною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рисою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lastRenderedPageBreak/>
        <w:t>депозитних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операцій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є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роль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клієнта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банку,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який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самостійно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визначає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розмір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вкладу,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тобто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частину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своїх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доходів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, яку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він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спрямовує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заощадження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. Тому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вагоме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місце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в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процесі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управління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депозитними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операціями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комерційного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банку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мають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займати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заходи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впливу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економічну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поведінку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потенційних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C74E7">
        <w:rPr>
          <w:rFonts w:ascii="Times New Roman" w:hAnsi="Times New Roman" w:cs="Times New Roman"/>
          <w:sz w:val="24"/>
          <w:szCs w:val="24"/>
          <w:lang w:val="ru-RU"/>
        </w:rPr>
        <w:t>вкладників</w:t>
      </w:r>
      <w:proofErr w:type="spellEnd"/>
      <w:r w:rsidRPr="00CC74E7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190889" w:rsidRPr="00190889" w:rsidRDefault="002F1D89" w:rsidP="00190889">
      <w:pPr>
        <w:spacing w:after="0" w:line="240" w:lineRule="auto"/>
        <w:rPr>
          <w:sz w:val="24"/>
          <w:szCs w:val="24"/>
          <w:lang w:val="ru-RU"/>
        </w:rPr>
      </w:pPr>
      <w:r>
        <w:rPr>
          <w:noProof/>
          <w:sz w:val="24"/>
          <w:szCs w:val="24"/>
          <w:lang w:val="ru-RU" w:eastAsia="ru-RU"/>
        </w:rPr>
        <w:pict>
          <v:group id="_x0000_s1071" style="position:absolute;margin-left:-5.25pt;margin-top:5.65pt;width:506.8pt;height:281.75pt;z-index:251681792" coordorigin="1029,1540" coordsize="10136,5679">
            <v:shapetype id="_x0000_t67" coordsize="21600,21600" o:spt="67" adj="16200,5400" path="m0@0l@1@0@1,0@2,0@2@0,21600@0,10800,216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10800,0;0,@0;10800,21600;21600,@0" o:connectangles="270,180,90,0" textboxrect="@1,0,@2,@6"/>
              <v:handles>
                <v:h position="#1,#0" xrange="0,10800" yrange="0,21600"/>
              </v:handles>
            </v:shapetype>
            <v:shape id="_x0000_s1063" type="#_x0000_t67" style="position:absolute;left:5665;top:3980;width:854;height:357" o:regroupid="1">
              <v:textbox style="layout-flow:vertical-ideographic"/>
            </v:shape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_x0000_s1049" type="#_x0000_t176" style="position:absolute;left:4944;top:4337;width:2383;height:548" o:regroupid="1">
              <v:textbox>
                <w:txbxContent>
                  <w:p w:rsidR="00190889" w:rsidRPr="00356B27" w:rsidRDefault="00190889" w:rsidP="00190889">
                    <w:pPr>
                      <w:spacing w:after="0"/>
                      <w:jc w:val="center"/>
                      <w:rPr>
                        <w:sz w:val="20"/>
                        <w:szCs w:val="20"/>
                      </w:rPr>
                    </w:pPr>
                    <w:proofErr w:type="spellStart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>об'єкти</w:t>
                    </w:r>
                    <w:proofErr w:type="spellEnd"/>
                  </w:p>
                </w:txbxContent>
              </v:textbox>
            </v:shape>
            <v:shape id="_x0000_s1050" type="#_x0000_t176" style="position:absolute;left:4944;top:2768;width:2223;height:561;mso-position-horizontal-relative:margin" o:regroupid="1">
              <v:textbox style="mso-next-textbox:#_x0000_s1050">
                <w:txbxContent>
                  <w:p w:rsidR="00190889" w:rsidRPr="00356B27" w:rsidRDefault="00190889" w:rsidP="00190889">
                    <w:pPr>
                      <w:spacing w:after="0"/>
                      <w:jc w:val="center"/>
                      <w:rPr>
                        <w:sz w:val="20"/>
                        <w:szCs w:val="20"/>
                      </w:rPr>
                    </w:pPr>
                    <w:proofErr w:type="spellStart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>суб'єкти</w:t>
                    </w:r>
                    <w:proofErr w:type="spellEnd"/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1" type="#_x0000_t202" style="position:absolute;left:1345;top:4624;width:3160;height:561" o:regroupid="1">
              <v:textbox>
                <w:txbxContent>
                  <w:p w:rsidR="00190889" w:rsidRPr="00356B27" w:rsidRDefault="00190889" w:rsidP="00190889">
                    <w:pPr>
                      <w:spacing w:after="0"/>
                      <w:jc w:val="center"/>
                      <w:rPr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додаткові послуги банку</w:t>
                    </w:r>
                  </w:p>
                </w:txbxContent>
              </v:textbox>
            </v:shape>
            <v:shape id="_x0000_s1052" type="#_x0000_t202" style="position:absolute;left:7709;top:4624;width:3456;height:561" o:regroupid="1">
              <v:textbox>
                <w:txbxContent>
                  <w:p w:rsidR="00190889" w:rsidRPr="00356B27" w:rsidRDefault="00190889" w:rsidP="00190889">
                    <w:pPr>
                      <w:spacing w:after="0"/>
                      <w:jc w:val="center"/>
                      <w:rPr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залучені кошти банку</w:t>
                    </w:r>
                  </w:p>
                </w:txbxContent>
              </v:textbox>
            </v:shape>
            <v:shape id="_x0000_s1053" type="#_x0000_t202" style="position:absolute;left:8147;top:5537;width:2899;height:1174" o:regroupid="1">
              <v:textbox>
                <w:txbxContent>
                  <w:p w:rsidR="00190889" w:rsidRPr="00356B27" w:rsidRDefault="00190889" w:rsidP="00190889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  <w:t>Боргові цінні папери: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ощадні (депозитні) сертифікати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векселі</w:t>
                    </w:r>
                  </w:p>
                </w:txbxContent>
              </v:textbox>
            </v:shape>
            <v:shape id="_x0000_s1054" type="#_x0000_t202" style="position:absolute;left:3076;top:5537;width:4774;height:1682" o:regroupid="1">
              <v:textbox>
                <w:txbxContent>
                  <w:p w:rsidR="00190889" w:rsidRPr="00356B27" w:rsidRDefault="00190889" w:rsidP="00356B2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  <w:t>Депозити:</w:t>
                    </w:r>
                  </w:p>
                  <w:p w:rsidR="00190889" w:rsidRPr="00356B27" w:rsidRDefault="00190889" w:rsidP="00190889">
                    <w:pPr>
                      <w:spacing w:after="0" w:line="192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- кошти фізичних осіб та </w:t>
                    </w:r>
                    <w:proofErr w:type="spellStart"/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суб</w:t>
                    </w:r>
                    <w:proofErr w:type="spellEnd"/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  <w:lang w:val="ru-RU"/>
                      </w:rPr>
                      <w:t>'</w:t>
                    </w:r>
                    <w:proofErr w:type="spellStart"/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єктів</w:t>
                    </w:r>
                    <w:proofErr w:type="spellEnd"/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господарювання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кошти органів державної влади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кошти інших банків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кошти фінансових корпорацій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кошти некомерційних організацій</w:t>
                    </w:r>
                  </w:p>
                  <w:p w:rsidR="00190889" w:rsidRPr="00356B27" w:rsidRDefault="00190889" w:rsidP="00190889">
                    <w:pPr>
                      <w:spacing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- інші</w:t>
                    </w:r>
                  </w:p>
                </w:txbxContent>
              </v:textbox>
            </v:shape>
            <v:shapetype id="_x0000_t54" coordsize="21600,21600" o:spt="54" adj="5400,18900" path="m0@29l@3@29qx@4@19l@4@10@5@10@5@19qy@6@29l@28@29@26@22@28@23@9@23@9@24qy@8,l@1,qx@0@24l@0@23,0@23,2700@22xem@4@19nfqy@3@20l@1@20qx@0@21@1@10l@4@10em@5@19nfqy@6@20l@8@20qx@9@21@8@10l@5@10em@0@21nfl@0@23em@9@21nfl@9@23e">
              <v:formulas>
                <v:f eqn="val #0"/>
                <v:f eqn="sum @0 675 0"/>
                <v:f eqn="sum @1 675 0"/>
                <v:f eqn="sum @2 675 0"/>
                <v:f eqn="sum @3 675 0"/>
                <v:f eqn="sum width 0 @4"/>
                <v:f eqn="sum width 0 @3"/>
                <v:f eqn="sum width 0 @2"/>
                <v:f eqn="sum width 0 @1"/>
                <v:f eqn="sum width 0 @0"/>
                <v:f eqn="val #1"/>
                <v:f eqn="prod @10 1 4"/>
                <v:f eqn="prod @10 1 2"/>
                <v:f eqn="prod @10 3 4"/>
                <v:f eqn="prod height 3 4"/>
                <v:f eqn="prod height 1 2"/>
                <v:f eqn="prod height 1 4"/>
                <v:f eqn="prod height 3 2"/>
                <v:f eqn="prod height 2 3"/>
                <v:f eqn="sum @11 @14 0"/>
                <v:f eqn="sum @12 @15 0"/>
                <v:f eqn="sum @13 @16 0"/>
                <v:f eqn="sum @17 0 @20"/>
                <v:f eqn="sum height 0 @10"/>
                <v:f eqn="sum height 0 @19"/>
                <v:f eqn="prod width 1 2"/>
                <v:f eqn="sum width 0 2700"/>
                <v:f eqn="sum @25 0 2700"/>
                <v:f eqn="val width"/>
                <v:f eqn="val height"/>
              </v:formulas>
              <v:path o:extrusionok="f" o:connecttype="custom" o:connectlocs="@25,0;2700,@22;@25,@10;@26,@22" o:connectangles="270,180,90,0" textboxrect="@0,0,@9,@10"/>
              <v:handles>
                <v:h position="#0,topLeft" xrange="2700,8100"/>
                <v:h position="center,#1" yrange="14400,21600"/>
              </v:handles>
              <o:complex v:ext="view"/>
            </v:shapetype>
            <v:shape id="_x0000_s1055" type="#_x0000_t54" style="position:absolute;left:2338;top:3555;width:7592;height:613" o:regroupid="1" adj="2970,17583" strokeweight="1.25pt">
              <v:stroke dashstyle="dash"/>
              <v:textbox>
                <w:txbxContent>
                  <w:p w:rsidR="00190889" w:rsidRPr="00356B27" w:rsidRDefault="00190889" w:rsidP="00190889">
                    <w:pPr>
                      <w:spacing w:after="0" w:line="240" w:lineRule="auto"/>
                      <w:jc w:val="center"/>
                      <w:rPr>
                        <w:sz w:val="20"/>
                        <w:szCs w:val="20"/>
                      </w:rPr>
                    </w:pPr>
                    <w:proofErr w:type="spellStart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>депозитна</w:t>
                    </w:r>
                    <w:proofErr w:type="spellEnd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 xml:space="preserve"> </w:t>
                    </w:r>
                    <w:proofErr w:type="spellStart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>політика</w:t>
                    </w:r>
                    <w:proofErr w:type="spellEnd"/>
                    <w:r w:rsidRPr="00356B27">
                      <w:rPr>
                        <w:rFonts w:ascii="Times New Roman" w:eastAsia="Times New Roman" w:hAnsi="Times New Roman" w:cs="Times New Roman"/>
                        <w:sz w:val="20"/>
                        <w:szCs w:val="20"/>
                        <w:lang w:val="ru-RU" w:eastAsia="ru-RU"/>
                      </w:rPr>
                      <w:t xml:space="preserve"> банку</w:t>
                    </w:r>
                  </w:p>
                </w:txbxContent>
              </v:textbox>
            </v:shape>
            <v:shape id="_x0000_s1056" type="#_x0000_t202" style="position:absolute;left:1029;top:2459;width:3476;height:855" o:regroupid="1">
              <v:textbox>
                <w:txbxContent>
                  <w:p w:rsidR="00190889" w:rsidRPr="00356B27" w:rsidRDefault="00190889" w:rsidP="00356B27">
                    <w:pPr>
                      <w:spacing w:after="0" w:line="216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  <w:t>Клієнти банку:</w:t>
                    </w:r>
                  </w:p>
                  <w:p w:rsidR="00190889" w:rsidRPr="00356B27" w:rsidRDefault="00190889" w:rsidP="00356B27">
                    <w:pPr>
                      <w:spacing w:after="0" w:line="216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фізичні особи</w:t>
                    </w:r>
                  </w:p>
                  <w:p w:rsidR="00190889" w:rsidRPr="00356B27" w:rsidRDefault="00190889" w:rsidP="00356B27">
                    <w:pPr>
                      <w:spacing w:after="0" w:line="216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юридичні особи</w:t>
                    </w:r>
                  </w:p>
                </w:txbxContent>
              </v:textbox>
            </v:shape>
            <v:shape id="_x0000_s1057" type="#_x0000_t202" style="position:absolute;left:7609;top:2459;width:3556;height:855" o:regroupid="1">
              <v:textbox>
                <w:txbxContent>
                  <w:p w:rsidR="00190889" w:rsidRPr="00356B27" w:rsidRDefault="00190889" w:rsidP="00356B27">
                    <w:pPr>
                      <w:spacing w:after="0" w:line="216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  <w:u w:val="single"/>
                      </w:rPr>
                      <w:t>Державні установи:</w:t>
                    </w:r>
                  </w:p>
                  <w:p w:rsidR="00190889" w:rsidRPr="00356B27" w:rsidRDefault="00190889" w:rsidP="00356B27">
                    <w:pPr>
                      <w:spacing w:after="0" w:line="216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НБУ, Міністерство фінансів України, ДФСУ та інші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8" type="#_x0000_t32" style="position:absolute;left:7176;top:2890;width:433;height:169;flip:y" o:connectortype="straight" o:regroupid="1">
              <v:stroke endarrow="block"/>
            </v:shape>
            <v:shape id="_x0000_s1059" type="#_x0000_t32" style="position:absolute;left:4505;top:2890;width:448;height:169;flip:x y" o:connectortype="straight" o:regroupid="1">
              <v:stroke endarrow="block"/>
            </v:shape>
            <v:shape id="_x0000_s1060" type="#_x0000_t32" style="position:absolute;left:4505;top:4624;width:439;height:183;flip:x" o:connectortype="straight" o:regroupid="1">
              <v:stroke endarrow="block"/>
            </v:shape>
            <v:shape id="_x0000_s1061" type="#_x0000_t32" style="position:absolute;left:7327;top:4624;width:382;height:183" o:connectortype="straight" o:regroupid="1">
              <v:stroke endarrow="block"/>
            </v:shape>
            <v:shapetype id="_x0000_t68" coordsize="21600,21600" o:spt="68" adj="5400,5400" path="m0@0l@1@0@1,21600@2,21600@2@0,21600@0,10800,xe">
              <v:stroke joinstyle="miter"/>
              <v:formulas>
                <v:f eqn="val #0"/>
                <v:f eqn="val #1"/>
                <v:f eqn="sum 21600 0 #1"/>
                <v:f eqn="prod #0 #1 10800"/>
                <v:f eqn="sum #0 0 @3"/>
              </v:formulas>
              <v:path o:connecttype="custom" o:connectlocs="10800,0;0,@0;10800,21600;21600,@0" o:connectangles="270,180,90,0" textboxrect="@1,@4,@2,21600"/>
              <v:handles>
                <v:h position="#1,#0" xrange="0,10800" yrange="0,21600"/>
              </v:handles>
            </v:shapetype>
            <v:shape id="_x0000_s1062" type="#_x0000_t68" style="position:absolute;left:5665;top:3314;width:854;height:241" o:regroupid="1">
              <v:textbox style="layout-flow:vertical-ideographic"/>
            </v:shape>
            <v:shape id="_x0000_s1064" type="#_x0000_t32" style="position:absolute;left:10431;top:5302;width:0;height:235" o:connectortype="straight" o:regroupid="1">
              <v:stroke endarrow="block"/>
            </v:shape>
            <v:shape id="_x0000_s1065" type="#_x0000_t32" style="position:absolute;left:5561;top:5302;width:0;height:235" o:connectortype="straight" o:regroupid="1">
              <v:stroke endarrow="block"/>
            </v:shape>
            <v:shape id="_x0000_s1066" type="#_x0000_t32" style="position:absolute;left:5561;top:5302;width:4870;height:0" o:connectortype="straight" o:regroupid="1"/>
            <v:shape id="_x0000_s1067" type="#_x0000_t32" style="position:absolute;left:9138;top:5185;width:0;height:117" o:connectortype="straight" o:regroupid="1"/>
            <v:shape id="_x0000_s1068" type="#_x0000_t202" style="position:absolute;left:4152;top:1540;width:3872;height:769" o:regroupid="1">
              <v:textbox>
                <w:txbxContent>
                  <w:p w:rsidR="00190889" w:rsidRPr="00356B27" w:rsidRDefault="00190889" w:rsidP="00190889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356B2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Рада банку, Правління банку, підрозділи банку з організації депозитної діяльності</w:t>
                    </w:r>
                  </w:p>
                </w:txbxContent>
              </v:textbox>
            </v:shape>
            <v:shape id="_x0000_s1069" type="#_x0000_t32" style="position:absolute;left:6117;top:2309;width:0;height:450;flip:y" o:connectortype="straight" o:regroupid="1">
              <v:stroke endarrow="block"/>
            </v:shape>
          </v:group>
        </w:pict>
      </w: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190889" w:rsidRDefault="00190889" w:rsidP="00190889">
      <w:pPr>
        <w:spacing w:after="0" w:line="240" w:lineRule="auto"/>
        <w:rPr>
          <w:sz w:val="24"/>
          <w:szCs w:val="24"/>
          <w:lang w:val="ru-RU"/>
        </w:rPr>
      </w:pPr>
    </w:p>
    <w:p w:rsidR="00190889" w:rsidRPr="00431B1E" w:rsidRDefault="00190889" w:rsidP="0019088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190889">
        <w:rPr>
          <w:rFonts w:ascii="Times New Roman" w:hAnsi="Times New Roman" w:cs="Times New Roman"/>
          <w:sz w:val="24"/>
          <w:szCs w:val="24"/>
          <w:lang w:val="ru-RU"/>
        </w:rPr>
        <w:t>Рисунок</w:t>
      </w:r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1 - </w:t>
      </w:r>
      <w:r w:rsidRPr="00190889">
        <w:rPr>
          <w:rFonts w:ascii="Times New Roman" w:hAnsi="Times New Roman" w:cs="Times New Roman"/>
          <w:sz w:val="24"/>
          <w:szCs w:val="24"/>
          <w:lang w:val="ru-RU"/>
        </w:rPr>
        <w:t>Склад</w:t>
      </w:r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суб</w:t>
      </w:r>
      <w:r w:rsidRPr="00431B1E">
        <w:rPr>
          <w:rFonts w:ascii="Times New Roman" w:hAnsi="Times New Roman" w:cs="Times New Roman"/>
          <w:sz w:val="24"/>
          <w:szCs w:val="24"/>
          <w:lang w:val="ru-RU"/>
        </w:rPr>
        <w:t>'</w:t>
      </w:r>
      <w:r w:rsidRPr="00190889">
        <w:rPr>
          <w:rFonts w:ascii="Times New Roman" w:hAnsi="Times New Roman" w:cs="Times New Roman"/>
          <w:sz w:val="24"/>
          <w:szCs w:val="24"/>
          <w:lang w:val="ru-RU"/>
        </w:rPr>
        <w:t>єктів</w:t>
      </w:r>
      <w:proofErr w:type="spellEnd"/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і</w:t>
      </w:r>
      <w:proofErr w:type="spellEnd"/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об</w:t>
      </w:r>
      <w:r w:rsidRPr="00431B1E">
        <w:rPr>
          <w:rFonts w:ascii="Times New Roman" w:hAnsi="Times New Roman" w:cs="Times New Roman"/>
          <w:sz w:val="24"/>
          <w:szCs w:val="24"/>
          <w:lang w:val="ru-RU"/>
        </w:rPr>
        <w:t>'</w:t>
      </w:r>
      <w:r w:rsidRPr="00190889">
        <w:rPr>
          <w:rFonts w:ascii="Times New Roman" w:hAnsi="Times New Roman" w:cs="Times New Roman"/>
          <w:sz w:val="24"/>
          <w:szCs w:val="24"/>
          <w:lang w:val="ru-RU"/>
        </w:rPr>
        <w:t>єктів</w:t>
      </w:r>
      <w:proofErr w:type="spellEnd"/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депозитної</w:t>
      </w:r>
      <w:proofErr w:type="spellEnd"/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190889">
        <w:rPr>
          <w:rFonts w:ascii="Times New Roman" w:hAnsi="Times New Roman" w:cs="Times New Roman"/>
          <w:sz w:val="24"/>
          <w:szCs w:val="24"/>
          <w:lang w:val="ru-RU"/>
        </w:rPr>
        <w:t>політики</w:t>
      </w:r>
      <w:proofErr w:type="spellEnd"/>
      <w:r w:rsidRPr="00431B1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190889">
        <w:rPr>
          <w:rFonts w:ascii="Times New Roman" w:hAnsi="Times New Roman" w:cs="Times New Roman"/>
          <w:sz w:val="24"/>
          <w:szCs w:val="24"/>
          <w:lang w:val="ru-RU"/>
        </w:rPr>
        <w:t>банку</w:t>
      </w:r>
    </w:p>
    <w:p w:rsidR="00190889" w:rsidRPr="00D96162" w:rsidRDefault="00190889" w:rsidP="0019088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16"/>
          <w:szCs w:val="16"/>
          <w:lang w:val="ru-RU"/>
        </w:rPr>
      </w:pPr>
    </w:p>
    <w:p w:rsidR="00356B27" w:rsidRPr="00E45D95" w:rsidRDefault="00431B1E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56B27">
        <w:rPr>
          <w:rFonts w:ascii="Times New Roman" w:hAnsi="Times New Roman" w:cs="Times New Roman"/>
          <w:sz w:val="24"/>
          <w:szCs w:val="24"/>
        </w:rPr>
        <w:t>Депозитна політика в процесі своєї реалізації ґрунтується на певних принципах, які можна розділити на загальні та специфічні</w:t>
      </w:r>
      <w:r w:rsidRPr="00356B27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356B27">
        <w:rPr>
          <w:rFonts w:ascii="Times New Roman" w:hAnsi="Times New Roman" w:cs="Times New Roman"/>
          <w:sz w:val="24"/>
          <w:szCs w:val="24"/>
        </w:rPr>
        <w:t xml:space="preserve">Загальні принципи </w:t>
      </w:r>
      <w:r w:rsidRPr="00356B27">
        <w:rPr>
          <w:rFonts w:ascii="Times New Roman" w:eastAsia="TimesNewRomanPSMT" w:hAnsi="Times New Roman" w:cs="Times New Roman"/>
          <w:sz w:val="24"/>
          <w:szCs w:val="24"/>
        </w:rPr>
        <w:t>є спільними для всього банківського сектора, відповідають грошово-кредитній політиці та</w:t>
      </w:r>
      <w:r w:rsidRPr="00356B27">
        <w:rPr>
          <w:rFonts w:ascii="Times New Roman" w:hAnsi="Times New Roman" w:cs="Times New Roman"/>
          <w:sz w:val="24"/>
          <w:szCs w:val="24"/>
        </w:rPr>
        <w:t xml:space="preserve"> характерні як для банків, так і для фінансово-кредитних установ, що діють на даному сегменті ринку. До </w:t>
      </w:r>
      <w:r w:rsidR="00356B27">
        <w:rPr>
          <w:rFonts w:ascii="Times New Roman" w:hAnsi="Times New Roman" w:cs="Times New Roman"/>
          <w:sz w:val="24"/>
          <w:szCs w:val="24"/>
        </w:rPr>
        <w:t>них</w:t>
      </w:r>
      <w:r w:rsidRPr="00356B27">
        <w:rPr>
          <w:rFonts w:ascii="Times New Roman" w:hAnsi="Times New Roman" w:cs="Times New Roman"/>
          <w:sz w:val="24"/>
          <w:szCs w:val="24"/>
        </w:rPr>
        <w:t xml:space="preserve"> відносять: </w:t>
      </w:r>
      <w:r w:rsidR="00356B27" w:rsidRPr="00356B27">
        <w:rPr>
          <w:rFonts w:ascii="Times New Roman" w:hAnsi="Times New Roman" w:cs="Times New Roman"/>
          <w:sz w:val="24"/>
          <w:szCs w:val="24"/>
        </w:rPr>
        <w:t xml:space="preserve">наукової </w:t>
      </w:r>
      <w:r w:rsidR="00356B27" w:rsidRPr="00E45D95">
        <w:rPr>
          <w:rFonts w:ascii="Times New Roman" w:hAnsi="Times New Roman" w:cs="Times New Roman"/>
          <w:sz w:val="24"/>
          <w:szCs w:val="24"/>
        </w:rPr>
        <w:t>обґрунтованості, цілісності системи, комплексного підходу, оптимальності та ефективності</w:t>
      </w:r>
      <w:r w:rsidR="002C15DC">
        <w:rPr>
          <w:rFonts w:ascii="Times New Roman" w:hAnsi="Times New Roman" w:cs="Times New Roman"/>
          <w:sz w:val="24"/>
          <w:szCs w:val="24"/>
        </w:rPr>
        <w:t xml:space="preserve"> [</w:t>
      </w:r>
      <w:r w:rsidR="002C15DC" w:rsidRPr="002C15DC">
        <w:rPr>
          <w:rFonts w:ascii="Times New Roman" w:hAnsi="Times New Roman" w:cs="Times New Roman"/>
          <w:sz w:val="24"/>
          <w:szCs w:val="24"/>
          <w:lang w:val="ru-RU"/>
        </w:rPr>
        <w:t>2</w:t>
      </w:r>
      <w:r w:rsidR="002C15DC">
        <w:rPr>
          <w:rFonts w:ascii="Times New Roman" w:hAnsi="Times New Roman" w:cs="Times New Roman"/>
          <w:sz w:val="24"/>
          <w:szCs w:val="24"/>
        </w:rPr>
        <w:t>]</w:t>
      </w:r>
      <w:r w:rsidR="00356B27" w:rsidRPr="00E45D95">
        <w:rPr>
          <w:rFonts w:ascii="Times New Roman" w:hAnsi="Times New Roman" w:cs="Times New Roman"/>
          <w:sz w:val="24"/>
          <w:szCs w:val="24"/>
        </w:rPr>
        <w:t>.</w:t>
      </w:r>
    </w:p>
    <w:p w:rsidR="00431B1E" w:rsidRPr="00E45D95" w:rsidRDefault="00356B27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45D95">
        <w:rPr>
          <w:rFonts w:ascii="Times New Roman" w:hAnsi="Times New Roman" w:cs="Times New Roman"/>
          <w:sz w:val="24"/>
          <w:szCs w:val="24"/>
        </w:rPr>
        <w:t>Специфічні принципи пов'язані зі здатністю банку залучати вільні грошові кошти, розміщувати отримані ресурси так, щоб максимізувати прибутки та мінімізувати витрати під ч</w:t>
      </w:r>
      <w:r w:rsidR="002C15DC">
        <w:rPr>
          <w:rFonts w:ascii="Times New Roman" w:hAnsi="Times New Roman" w:cs="Times New Roman"/>
          <w:sz w:val="24"/>
          <w:szCs w:val="24"/>
        </w:rPr>
        <w:t>ас залучення депозитних коштів,</w:t>
      </w:r>
      <w:r w:rsidRPr="00E45D95">
        <w:rPr>
          <w:rFonts w:ascii="Times New Roman" w:eastAsia="TimesNewRomanPSMT" w:hAnsi="Times New Roman" w:cs="Times New Roman"/>
          <w:sz w:val="24"/>
          <w:szCs w:val="24"/>
        </w:rPr>
        <w:t xml:space="preserve"> пов’язані з забезпеченням безпеки при здійсненні депозитних операцій.</w:t>
      </w:r>
      <w:r w:rsidRPr="00E45D95">
        <w:rPr>
          <w:rFonts w:ascii="Times New Roman" w:hAnsi="Times New Roman" w:cs="Times New Roman"/>
          <w:sz w:val="24"/>
          <w:szCs w:val="24"/>
        </w:rPr>
        <w:t xml:space="preserve"> </w:t>
      </w:r>
      <w:r w:rsidR="002C15DC">
        <w:rPr>
          <w:rFonts w:ascii="Times New Roman" w:hAnsi="Times New Roman" w:cs="Times New Roman"/>
          <w:sz w:val="24"/>
          <w:szCs w:val="24"/>
        </w:rPr>
        <w:t xml:space="preserve">До них належать принципи: </w:t>
      </w:r>
      <w:r w:rsidRPr="00E45D95">
        <w:rPr>
          <w:rFonts w:ascii="Times New Roman" w:hAnsi="Times New Roman" w:cs="Times New Roman"/>
          <w:sz w:val="24"/>
          <w:szCs w:val="24"/>
        </w:rPr>
        <w:t>єдності елементів, забезпечення оптимального рівня витрат, ліквідності, рентабельності, безпеки операцій банку, забезпечення надійності. На нашу думку</w:t>
      </w:r>
      <w:r w:rsidR="002C15DC">
        <w:rPr>
          <w:rFonts w:ascii="Times New Roman" w:hAnsi="Times New Roman" w:cs="Times New Roman"/>
          <w:sz w:val="24"/>
          <w:szCs w:val="24"/>
        </w:rPr>
        <w:t>, їх</w:t>
      </w:r>
      <w:r w:rsidRPr="00E45D95">
        <w:rPr>
          <w:rFonts w:ascii="Times New Roman" w:hAnsi="Times New Roman" w:cs="Times New Roman"/>
          <w:sz w:val="24"/>
          <w:szCs w:val="24"/>
        </w:rPr>
        <w:t xml:space="preserve"> необхідно </w:t>
      </w:r>
      <w:r w:rsidR="00E45D95" w:rsidRPr="00E45D95">
        <w:rPr>
          <w:rFonts w:ascii="Times New Roman" w:hAnsi="Times New Roman" w:cs="Times New Roman"/>
          <w:sz w:val="24"/>
          <w:szCs w:val="24"/>
        </w:rPr>
        <w:t>доповнити принципом г</w:t>
      </w:r>
      <w:r w:rsidRPr="00E45D95">
        <w:rPr>
          <w:rFonts w:ascii="Times New Roman" w:hAnsi="Times New Roman" w:cs="Times New Roman"/>
          <w:sz w:val="24"/>
          <w:szCs w:val="24"/>
        </w:rPr>
        <w:t>нучкості асортиментної і цінової політики</w:t>
      </w:r>
      <w:r w:rsidR="00E45D95" w:rsidRPr="00E45D95">
        <w:rPr>
          <w:rFonts w:ascii="Times New Roman" w:hAnsi="Times New Roman" w:cs="Times New Roman"/>
          <w:sz w:val="24"/>
          <w:szCs w:val="24"/>
        </w:rPr>
        <w:t xml:space="preserve">, що визначає </w:t>
      </w:r>
      <w:r w:rsidR="00E45D95" w:rsidRPr="00E45D95">
        <w:rPr>
          <w:rStyle w:val="A4"/>
          <w:rFonts w:ascii="Times New Roman" w:hAnsi="Times New Roman" w:cs="Times New Roman"/>
          <w:sz w:val="24"/>
          <w:szCs w:val="24"/>
        </w:rPr>
        <w:t>конкурентну цінову політику банку, відповідність цінової політики обраній стратегії депозитної політики та формування асортименту інноваційних депозитних продуктів</w:t>
      </w:r>
      <w:r w:rsidR="002C15DC">
        <w:rPr>
          <w:rStyle w:val="A4"/>
          <w:rFonts w:ascii="Times New Roman" w:hAnsi="Times New Roman" w:cs="Times New Roman"/>
          <w:sz w:val="24"/>
          <w:szCs w:val="24"/>
        </w:rPr>
        <w:t>, а т</w:t>
      </w:r>
      <w:r w:rsidR="00E45D95" w:rsidRPr="00E45D95">
        <w:rPr>
          <w:rStyle w:val="A4"/>
          <w:rFonts w:ascii="Times New Roman" w:hAnsi="Times New Roman" w:cs="Times New Roman"/>
          <w:sz w:val="24"/>
          <w:szCs w:val="24"/>
        </w:rPr>
        <w:t>акож принцип</w:t>
      </w:r>
      <w:r w:rsidR="002C15DC">
        <w:rPr>
          <w:rStyle w:val="A4"/>
          <w:rFonts w:ascii="Times New Roman" w:hAnsi="Times New Roman" w:cs="Times New Roman"/>
          <w:sz w:val="24"/>
          <w:szCs w:val="24"/>
        </w:rPr>
        <w:t>ом</w:t>
      </w:r>
      <w:r w:rsidR="00E45D95" w:rsidRPr="00E45D95">
        <w:rPr>
          <w:rStyle w:val="A4"/>
          <w:rFonts w:ascii="Times New Roman" w:hAnsi="Times New Roman" w:cs="Times New Roman"/>
          <w:sz w:val="24"/>
          <w:szCs w:val="24"/>
        </w:rPr>
        <w:t xml:space="preserve"> </w:t>
      </w:r>
      <w:r w:rsidR="00E45D95" w:rsidRPr="00E45D95">
        <w:rPr>
          <w:rFonts w:ascii="Times New Roman" w:hAnsi="Times New Roman" w:cs="Times New Roman"/>
          <w:sz w:val="24"/>
          <w:szCs w:val="24"/>
        </w:rPr>
        <w:t>орієнтованості на клієнта й активного маркетингу, адже клієнти банку є одним з основних джерел формування ресурсів. Висока лояльність до клієнта (як наслідок, максимал</w:t>
      </w:r>
      <w:r w:rsidR="002C15DC">
        <w:rPr>
          <w:rFonts w:ascii="Times New Roman" w:hAnsi="Times New Roman" w:cs="Times New Roman"/>
          <w:sz w:val="24"/>
          <w:szCs w:val="24"/>
        </w:rPr>
        <w:t>ьне охоплення клієнтської бази),</w:t>
      </w:r>
      <w:r w:rsidR="00E45D95" w:rsidRPr="00E45D95">
        <w:rPr>
          <w:rFonts w:ascii="Times New Roman" w:hAnsi="Times New Roman" w:cs="Times New Roman"/>
          <w:sz w:val="24"/>
          <w:szCs w:val="24"/>
        </w:rPr>
        <w:t xml:space="preserve"> заходи впливу на економічну </w:t>
      </w:r>
      <w:r w:rsidR="002C15DC">
        <w:rPr>
          <w:rFonts w:ascii="Times New Roman" w:hAnsi="Times New Roman" w:cs="Times New Roman"/>
          <w:sz w:val="24"/>
          <w:szCs w:val="24"/>
        </w:rPr>
        <w:t xml:space="preserve">поведінку потенційних </w:t>
      </w:r>
      <w:proofErr w:type="spellStart"/>
      <w:r w:rsidR="002C15DC">
        <w:rPr>
          <w:rFonts w:ascii="Times New Roman" w:hAnsi="Times New Roman" w:cs="Times New Roman"/>
          <w:sz w:val="24"/>
          <w:szCs w:val="24"/>
        </w:rPr>
        <w:t>вкладникі</w:t>
      </w:r>
      <w:proofErr w:type="spellEnd"/>
      <w:r w:rsidR="002C15DC">
        <w:rPr>
          <w:rFonts w:ascii="Times New Roman" w:hAnsi="Times New Roman" w:cs="Times New Roman"/>
          <w:sz w:val="24"/>
          <w:szCs w:val="24"/>
        </w:rPr>
        <w:t>,</w:t>
      </w:r>
      <w:r w:rsidR="00E45D95" w:rsidRPr="00E45D95">
        <w:rPr>
          <w:rFonts w:ascii="Times New Roman" w:hAnsi="Times New Roman" w:cs="Times New Roman"/>
          <w:sz w:val="24"/>
          <w:szCs w:val="24"/>
        </w:rPr>
        <w:t xml:space="preserve"> маркетингові заходи дозволяють підвищити </w:t>
      </w:r>
      <w:proofErr w:type="spellStart"/>
      <w:r w:rsidR="00E45D95" w:rsidRPr="00E45D95">
        <w:rPr>
          <w:rFonts w:ascii="Times New Roman" w:hAnsi="Times New Roman" w:cs="Times New Roman"/>
          <w:sz w:val="24"/>
          <w:szCs w:val="24"/>
        </w:rPr>
        <w:t>релевантність</w:t>
      </w:r>
      <w:proofErr w:type="spellEnd"/>
      <w:r w:rsidR="00E45D95" w:rsidRPr="00E45D95">
        <w:rPr>
          <w:rFonts w:ascii="Times New Roman" w:hAnsi="Times New Roman" w:cs="Times New Roman"/>
          <w:sz w:val="24"/>
          <w:szCs w:val="24"/>
        </w:rPr>
        <w:t xml:space="preserve"> інформації для клієнта</w:t>
      </w:r>
      <w:r w:rsidR="002C15DC">
        <w:rPr>
          <w:rFonts w:ascii="Times New Roman" w:hAnsi="Times New Roman" w:cs="Times New Roman"/>
          <w:sz w:val="24"/>
          <w:szCs w:val="24"/>
        </w:rPr>
        <w:t xml:space="preserve"> і</w:t>
      </w:r>
      <w:r w:rsidR="00E45D95" w:rsidRPr="00E45D95">
        <w:rPr>
          <w:sz w:val="24"/>
          <w:szCs w:val="24"/>
        </w:rPr>
        <w:t xml:space="preserve"> </w:t>
      </w:r>
      <w:r w:rsidR="00E45D95" w:rsidRPr="00E45D95">
        <w:rPr>
          <w:rFonts w:ascii="Times New Roman" w:hAnsi="Times New Roman" w:cs="Times New Roman"/>
          <w:sz w:val="24"/>
          <w:szCs w:val="24"/>
        </w:rPr>
        <w:t>використ</w:t>
      </w:r>
      <w:r w:rsidR="002C15DC">
        <w:rPr>
          <w:rFonts w:ascii="Times New Roman" w:hAnsi="Times New Roman" w:cs="Times New Roman"/>
          <w:sz w:val="24"/>
          <w:szCs w:val="24"/>
        </w:rPr>
        <w:t>овувати нові методи</w:t>
      </w:r>
      <w:r w:rsidR="00E45D95" w:rsidRPr="00E45D95">
        <w:rPr>
          <w:rFonts w:ascii="Times New Roman" w:hAnsi="Times New Roman" w:cs="Times New Roman"/>
          <w:sz w:val="24"/>
          <w:szCs w:val="24"/>
        </w:rPr>
        <w:t xml:space="preserve"> ведення бізнесу</w:t>
      </w:r>
      <w:r w:rsidR="002C15DC">
        <w:rPr>
          <w:rFonts w:ascii="Times New Roman" w:hAnsi="Times New Roman" w:cs="Times New Roman"/>
          <w:sz w:val="24"/>
          <w:szCs w:val="24"/>
        </w:rPr>
        <w:t>.</w:t>
      </w:r>
    </w:p>
    <w:p w:rsidR="00431B1E" w:rsidRPr="00431B1E" w:rsidRDefault="00431B1E" w:rsidP="00CC74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31B1E" w:rsidRPr="002E4143" w:rsidRDefault="00431B1E" w:rsidP="00431B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</w:rPr>
      </w:pPr>
      <w:r w:rsidRPr="00431B1E">
        <w:rPr>
          <w:rFonts w:ascii="Times New Roman" w:eastAsia="Calibri" w:hAnsi="Times New Roman" w:cs="Times New Roman"/>
          <w:i/>
          <w:sz w:val="24"/>
          <w:szCs w:val="24"/>
        </w:rPr>
        <w:t>Список використаних джерел</w:t>
      </w:r>
    </w:p>
    <w:p w:rsidR="002C15DC" w:rsidRPr="002E4143" w:rsidRDefault="002C15DC" w:rsidP="002C15D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2E4143">
        <w:rPr>
          <w:rFonts w:ascii="Times New Roman" w:eastAsia="ArialMT" w:hAnsi="Times New Roman" w:cs="Times New Roman"/>
          <w:sz w:val="24"/>
          <w:szCs w:val="24"/>
        </w:rPr>
        <w:t xml:space="preserve">1.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</w:rPr>
        <w:t>Труш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</w:rPr>
        <w:t xml:space="preserve"> Г.В. Особливості формування депозитної політики комерційних банків / Г.В.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</w:rPr>
        <w:t>Труш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</w:rPr>
        <w:t xml:space="preserve"> // Формування ринкової економіки. – 2012. – № 28. – С. 386–393.</w:t>
      </w:r>
    </w:p>
    <w:p w:rsidR="002C15DC" w:rsidRPr="002C15DC" w:rsidRDefault="002C15DC" w:rsidP="002C15D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ru-RU"/>
        </w:rPr>
      </w:pPr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2.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Емець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В.А. Характеристика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депозитної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політики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банків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України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сучасному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етапі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/ В.А.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Емець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//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Управління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розвитком</w:t>
      </w:r>
      <w:proofErr w:type="spellEnd"/>
      <w:r w:rsidRPr="002C15DC">
        <w:rPr>
          <w:rFonts w:ascii="Times New Roman" w:eastAsia="ArialMT" w:hAnsi="Times New Roman" w:cs="Times New Roman"/>
          <w:sz w:val="24"/>
          <w:szCs w:val="24"/>
          <w:lang w:val="ru-RU"/>
        </w:rPr>
        <w:t>. – 2013. – № 13. – С. 79–81.</w:t>
      </w:r>
    </w:p>
    <w:sectPr w:rsidR="002C15DC" w:rsidRPr="002C15DC" w:rsidSect="00CC74E7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characterSpacingControl w:val="doNotCompress"/>
  <w:compat/>
  <w:rsids>
    <w:rsidRoot w:val="00190889"/>
    <w:rsid w:val="00136B06"/>
    <w:rsid w:val="00190889"/>
    <w:rsid w:val="002C15DC"/>
    <w:rsid w:val="002E4143"/>
    <w:rsid w:val="002F1D89"/>
    <w:rsid w:val="00356B27"/>
    <w:rsid w:val="00431B1E"/>
    <w:rsid w:val="0056670F"/>
    <w:rsid w:val="009C114E"/>
    <w:rsid w:val="00A01FB9"/>
    <w:rsid w:val="00BB37A6"/>
    <w:rsid w:val="00C7727B"/>
    <w:rsid w:val="00CC74E7"/>
    <w:rsid w:val="00E25D73"/>
    <w:rsid w:val="00E45D95"/>
    <w:rsid w:val="00EA6D5F"/>
    <w:rsid w:val="00ED04AB"/>
    <w:rsid w:val="00F97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0" type="connector" idref="#_x0000_s1066"/>
        <o:r id="V:Rule11" type="connector" idref="#_x0000_s1060"/>
        <o:r id="V:Rule12" type="connector" idref="#_x0000_s1065"/>
        <o:r id="V:Rule13" type="connector" idref="#_x0000_s1064"/>
        <o:r id="V:Rule14" type="connector" idref="#_x0000_s1069"/>
        <o:r id="V:Rule15" type="connector" idref="#_x0000_s1059"/>
        <o:r id="V:Rule16" type="connector" idref="#_x0000_s1058"/>
        <o:r id="V:Rule17" type="connector" idref="#_x0000_s1061"/>
        <o:r id="V:Rule18" type="connector" idref="#_x0000_s1067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88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4">
    <w:name w:val="A4"/>
    <w:uiPriority w:val="99"/>
    <w:rsid w:val="00E45D95"/>
    <w:rPr>
      <w:rFonts w:cs="Minion Pro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763</Words>
  <Characters>5327</Characters>
  <Application>Microsoft Office Word</Application>
  <DocSecurity>0</DocSecurity>
  <Lines>113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2019-04-01T11:08:00Z</dcterms:created>
  <dcterms:modified xsi:type="dcterms:W3CDTF">2020-01-08T22:46:00Z</dcterms:modified>
</cp:coreProperties>
</file>