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E67" w:rsidRPr="004A6E67" w:rsidRDefault="002B45F2" w:rsidP="00AD515C">
      <w:pPr>
        <w:autoSpaceDE w:val="0"/>
        <w:autoSpaceDN w:val="0"/>
        <w:adjustRightInd w:val="0"/>
        <w:spacing w:line="348" w:lineRule="auto"/>
        <w:jc w:val="left"/>
        <w:rPr>
          <w:rFonts w:eastAsiaTheme="minorHAnsi"/>
          <w:szCs w:val="28"/>
        </w:rPr>
      </w:pPr>
      <w:bookmarkStart w:id="0" w:name="_GoBack"/>
      <w:bookmarkEnd w:id="0"/>
      <w:r w:rsidRPr="002B45F2">
        <w:rPr>
          <w:rFonts w:eastAsiaTheme="minorHAnsi"/>
          <w:szCs w:val="28"/>
        </w:rPr>
        <w:t>УДК 336.71</w:t>
      </w:r>
    </w:p>
    <w:p w:rsidR="004A6E67" w:rsidRPr="004A6E67" w:rsidRDefault="004A6E67" w:rsidP="00AD515C">
      <w:pPr>
        <w:autoSpaceDE w:val="0"/>
        <w:autoSpaceDN w:val="0"/>
        <w:adjustRightInd w:val="0"/>
        <w:spacing w:line="348" w:lineRule="auto"/>
        <w:jc w:val="right"/>
        <w:rPr>
          <w:rFonts w:eastAsiaTheme="minorHAnsi"/>
          <w:b/>
          <w:szCs w:val="28"/>
        </w:rPr>
      </w:pPr>
      <w:r w:rsidRPr="004A6E67">
        <w:rPr>
          <w:rFonts w:eastAsiaTheme="minorHAnsi"/>
          <w:b/>
          <w:szCs w:val="28"/>
        </w:rPr>
        <w:t>Ларіонова К.Л.</w:t>
      </w:r>
    </w:p>
    <w:p w:rsidR="004A6E67" w:rsidRPr="004A6E67" w:rsidRDefault="004A6E67" w:rsidP="00AD515C">
      <w:pPr>
        <w:autoSpaceDE w:val="0"/>
        <w:autoSpaceDN w:val="0"/>
        <w:adjustRightInd w:val="0"/>
        <w:spacing w:line="348" w:lineRule="auto"/>
        <w:jc w:val="right"/>
        <w:rPr>
          <w:rFonts w:eastAsiaTheme="minorHAnsi"/>
          <w:szCs w:val="28"/>
        </w:rPr>
      </w:pPr>
      <w:proofErr w:type="spellStart"/>
      <w:r w:rsidRPr="004A6E67">
        <w:rPr>
          <w:rFonts w:eastAsiaTheme="minorHAnsi"/>
          <w:szCs w:val="28"/>
        </w:rPr>
        <w:t>к.е.н</w:t>
      </w:r>
      <w:proofErr w:type="spellEnd"/>
      <w:r w:rsidRPr="004A6E67">
        <w:rPr>
          <w:rFonts w:eastAsiaTheme="minorHAnsi"/>
          <w:szCs w:val="28"/>
        </w:rPr>
        <w:t>., доцент,</w:t>
      </w:r>
    </w:p>
    <w:p w:rsidR="004A6E67" w:rsidRPr="004A6E67" w:rsidRDefault="004A6E67" w:rsidP="00AD515C">
      <w:pPr>
        <w:autoSpaceDE w:val="0"/>
        <w:autoSpaceDN w:val="0"/>
        <w:adjustRightInd w:val="0"/>
        <w:spacing w:line="348" w:lineRule="auto"/>
        <w:jc w:val="right"/>
        <w:rPr>
          <w:rFonts w:eastAsiaTheme="minorHAnsi"/>
          <w:szCs w:val="28"/>
        </w:rPr>
      </w:pPr>
      <w:r w:rsidRPr="004A6E67">
        <w:rPr>
          <w:rFonts w:eastAsiaTheme="minorHAnsi"/>
          <w:szCs w:val="28"/>
        </w:rPr>
        <w:t>доцент кафедри фінансів, банківської справи та страхування</w:t>
      </w:r>
    </w:p>
    <w:p w:rsidR="004A6E67" w:rsidRDefault="00226BF0" w:rsidP="00AD515C">
      <w:pPr>
        <w:autoSpaceDE w:val="0"/>
        <w:autoSpaceDN w:val="0"/>
        <w:adjustRightInd w:val="0"/>
        <w:spacing w:line="348" w:lineRule="auto"/>
        <w:jc w:val="right"/>
        <w:rPr>
          <w:rFonts w:eastAsiaTheme="minorHAnsi"/>
          <w:b/>
          <w:szCs w:val="28"/>
        </w:rPr>
      </w:pPr>
      <w:proofErr w:type="spellStart"/>
      <w:r w:rsidRPr="00226BF0">
        <w:rPr>
          <w:rFonts w:eastAsiaTheme="minorHAnsi"/>
          <w:b/>
          <w:szCs w:val="28"/>
        </w:rPr>
        <w:t>Одарич</w:t>
      </w:r>
      <w:proofErr w:type="spellEnd"/>
      <w:r w:rsidRPr="00226BF0">
        <w:rPr>
          <w:rFonts w:eastAsiaTheme="minorHAnsi"/>
          <w:b/>
          <w:szCs w:val="28"/>
        </w:rPr>
        <w:t xml:space="preserve"> </w:t>
      </w:r>
      <w:r>
        <w:rPr>
          <w:rFonts w:eastAsiaTheme="minorHAnsi"/>
          <w:b/>
          <w:szCs w:val="28"/>
        </w:rPr>
        <w:t>А.О.</w:t>
      </w:r>
    </w:p>
    <w:p w:rsidR="00226BF0" w:rsidRPr="00226BF0" w:rsidRDefault="00226BF0" w:rsidP="00AD515C">
      <w:pPr>
        <w:autoSpaceDE w:val="0"/>
        <w:autoSpaceDN w:val="0"/>
        <w:adjustRightInd w:val="0"/>
        <w:spacing w:line="348" w:lineRule="auto"/>
        <w:jc w:val="right"/>
        <w:rPr>
          <w:rFonts w:eastAsiaTheme="minorHAnsi"/>
          <w:szCs w:val="28"/>
        </w:rPr>
      </w:pPr>
      <w:r w:rsidRPr="00226BF0">
        <w:rPr>
          <w:rFonts w:eastAsiaTheme="minorHAnsi"/>
          <w:szCs w:val="28"/>
          <w:highlight w:val="yellow"/>
        </w:rPr>
        <w:t>студент-магістр</w:t>
      </w:r>
    </w:p>
    <w:p w:rsidR="00226BF0" w:rsidRPr="004A6E67" w:rsidRDefault="00226BF0" w:rsidP="00AD515C">
      <w:pPr>
        <w:autoSpaceDE w:val="0"/>
        <w:autoSpaceDN w:val="0"/>
        <w:adjustRightInd w:val="0"/>
        <w:spacing w:line="348" w:lineRule="auto"/>
        <w:jc w:val="right"/>
        <w:rPr>
          <w:rFonts w:eastAsiaTheme="minorHAnsi"/>
          <w:szCs w:val="28"/>
        </w:rPr>
      </w:pPr>
      <w:r w:rsidRPr="004A6E67">
        <w:rPr>
          <w:rFonts w:eastAsiaTheme="minorHAnsi"/>
          <w:szCs w:val="28"/>
        </w:rPr>
        <w:t>Хмельницький національний університет</w:t>
      </w:r>
    </w:p>
    <w:p w:rsidR="00226BF0" w:rsidRPr="004A6E67" w:rsidRDefault="00226BF0" w:rsidP="00AD515C">
      <w:pPr>
        <w:autoSpaceDE w:val="0"/>
        <w:autoSpaceDN w:val="0"/>
        <w:adjustRightInd w:val="0"/>
        <w:spacing w:line="348" w:lineRule="auto"/>
        <w:jc w:val="right"/>
        <w:rPr>
          <w:rFonts w:eastAsiaTheme="minorHAnsi"/>
          <w:szCs w:val="28"/>
        </w:rPr>
      </w:pPr>
    </w:p>
    <w:p w:rsidR="004A6E67" w:rsidRPr="004A6E67" w:rsidRDefault="004A6E67" w:rsidP="00AD515C">
      <w:pPr>
        <w:widowControl w:val="0"/>
        <w:tabs>
          <w:tab w:val="left" w:pos="13048"/>
        </w:tabs>
        <w:spacing w:line="348" w:lineRule="auto"/>
        <w:rPr>
          <w:b/>
        </w:rPr>
      </w:pPr>
      <w:r w:rsidRPr="004A6E67">
        <w:rPr>
          <w:b/>
        </w:rPr>
        <w:t>ЕКОНОМІЧНА СУТНІСТЬ ПРОБЛЕМНИХ КРЕДИТІВ БАНКУ</w:t>
      </w:r>
    </w:p>
    <w:p w:rsidR="004A6E67" w:rsidRDefault="004A6E67" w:rsidP="00AD515C">
      <w:pPr>
        <w:widowControl w:val="0"/>
        <w:tabs>
          <w:tab w:val="left" w:pos="13048"/>
        </w:tabs>
        <w:spacing w:line="348" w:lineRule="auto"/>
        <w:jc w:val="both"/>
      </w:pPr>
    </w:p>
    <w:p w:rsidR="004A6E67" w:rsidRDefault="004A6E67" w:rsidP="00AD515C">
      <w:pPr>
        <w:widowControl w:val="0"/>
        <w:tabs>
          <w:tab w:val="left" w:pos="13048"/>
        </w:tabs>
        <w:spacing w:line="348" w:lineRule="auto"/>
        <w:ind w:firstLine="709"/>
        <w:jc w:val="both"/>
      </w:pPr>
      <w:r>
        <w:t>Важливою складовою розвитку як банківської системи в цілому, так і окремого банку є формування якісного кредитного портфеля. Недосконалий ризик-менеджменту кредитних операцій, результатом якого є збільшення рівня кредитної заборгованості, негативно впливає як на ліквідність, так і на фінансову стійкість банку. Усе це дає підстави стверджувати, що аналіз проблемної кредитної заборгованості та її класифікація, а особливо розуміння сутності проблемного кредиту, є актуальним завданням, від вирішення якого залежить фінансовий стан, конкурентоспроможність та довіра не тільки до банків, а й до всієї банківської системи країни.</w:t>
      </w:r>
    </w:p>
    <w:p w:rsidR="004A6E67" w:rsidRDefault="004A6E67" w:rsidP="00AD515C">
      <w:pPr>
        <w:widowControl w:val="0"/>
        <w:tabs>
          <w:tab w:val="left" w:pos="13048"/>
        </w:tabs>
        <w:spacing w:line="348" w:lineRule="auto"/>
        <w:ind w:firstLine="709"/>
        <w:jc w:val="both"/>
      </w:pPr>
      <w:r>
        <w:t xml:space="preserve">Великі обсяги проблемних кредитів зумовлені також значними обсягами </w:t>
      </w:r>
      <w:proofErr w:type="spellStart"/>
      <w:r>
        <w:t>реструктуризованих</w:t>
      </w:r>
      <w:proofErr w:type="spellEnd"/>
      <w:r>
        <w:t xml:space="preserve"> кредитів, вагома частина яких може бути неповернена, оскільки більше половини підприємств в Україні є збитковими і зберігається дефіцит обігового капіталу. Багато банків і позичальників ризикують ув’язнути в ризиковій спіралі: зростання простроченої заборгованості – нарощування резервів за проблемними кредитами – зменшення кредитних ресурсів – скорочення обсягів кредитування – дефіцит обігового капіталу – зростання простроченої заборгованості та неповер</w:t>
      </w:r>
      <w:r w:rsidR="00226BF0">
        <w:t>нень виданих кредитів [1</w:t>
      </w:r>
      <w:r>
        <w:t>].</w:t>
      </w:r>
    </w:p>
    <w:p w:rsidR="004A6E67" w:rsidRDefault="004A6E67" w:rsidP="00AD515C">
      <w:pPr>
        <w:widowControl w:val="0"/>
        <w:tabs>
          <w:tab w:val="left" w:pos="13048"/>
        </w:tabs>
        <w:spacing w:line="348" w:lineRule="auto"/>
        <w:ind w:firstLine="709"/>
        <w:jc w:val="both"/>
      </w:pPr>
      <w:r>
        <w:t xml:space="preserve">Ефективне управління проблемними кредитами </w:t>
      </w:r>
      <w:proofErr w:type="spellStart"/>
      <w:r>
        <w:t>ускладнюється</w:t>
      </w:r>
      <w:proofErr w:type="spellEnd"/>
      <w:r>
        <w:t xml:space="preserve"> тим, що не існує єдиного підходу до розуміння сутності «проблемний кредит» (таблиця 1.1). </w:t>
      </w:r>
    </w:p>
    <w:p w:rsidR="004A6E67" w:rsidRDefault="004A6E67" w:rsidP="00AD515C">
      <w:pPr>
        <w:widowControl w:val="0"/>
        <w:tabs>
          <w:tab w:val="left" w:pos="13048"/>
        </w:tabs>
        <w:spacing w:line="348" w:lineRule="auto"/>
        <w:ind w:firstLine="709"/>
        <w:jc w:val="both"/>
      </w:pPr>
      <w:r w:rsidRPr="00465703">
        <w:rPr>
          <w:szCs w:val="28"/>
        </w:rPr>
        <w:t>Аналізуючи існуючі в науковій літературі визначення «проблемного кредиту», необхідно відмітити, що найбільш комплексними є ті визначення, які характеризують максимальну кількість ознак проблемного кредиту.</w:t>
      </w:r>
    </w:p>
    <w:p w:rsidR="004A6E67" w:rsidRPr="00226BF0" w:rsidRDefault="004A6E67" w:rsidP="00AD515C">
      <w:pPr>
        <w:widowControl w:val="0"/>
        <w:tabs>
          <w:tab w:val="left" w:pos="13048"/>
        </w:tabs>
        <w:spacing w:line="348" w:lineRule="auto"/>
        <w:ind w:firstLine="709"/>
        <w:jc w:val="both"/>
        <w:rPr>
          <w:sz w:val="16"/>
          <w:szCs w:val="16"/>
        </w:rPr>
      </w:pPr>
    </w:p>
    <w:p w:rsidR="004A6E67" w:rsidRPr="00A40F58" w:rsidRDefault="004A6E67" w:rsidP="00AD515C">
      <w:pPr>
        <w:widowControl w:val="0"/>
        <w:tabs>
          <w:tab w:val="left" w:pos="600"/>
        </w:tabs>
        <w:autoSpaceDE w:val="0"/>
        <w:autoSpaceDN w:val="0"/>
        <w:adjustRightInd w:val="0"/>
        <w:spacing w:line="348" w:lineRule="auto"/>
        <w:jc w:val="both"/>
        <w:rPr>
          <w:szCs w:val="28"/>
        </w:rPr>
      </w:pPr>
      <w:r w:rsidRPr="00A40F58">
        <w:rPr>
          <w:szCs w:val="28"/>
        </w:rPr>
        <w:lastRenderedPageBreak/>
        <w:t>Таблиця 1.1 - Сучасні</w:t>
      </w:r>
      <w:r>
        <w:rPr>
          <w:szCs w:val="28"/>
        </w:rPr>
        <w:t xml:space="preserve"> підходи до визначення поняття «проблемний кредит»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7590"/>
      </w:tblGrid>
      <w:tr w:rsidR="004A6E67" w:rsidRPr="00A40F58" w:rsidTr="00AD515C">
        <w:tc>
          <w:tcPr>
            <w:tcW w:w="1980" w:type="dxa"/>
          </w:tcPr>
          <w:p w:rsidR="004A6E67" w:rsidRPr="00A40F58" w:rsidRDefault="004A6E67" w:rsidP="00AD515C">
            <w:pPr>
              <w:widowControl w:val="0"/>
              <w:tabs>
                <w:tab w:val="left" w:pos="600"/>
              </w:tabs>
              <w:rPr>
                <w:sz w:val="24"/>
                <w:szCs w:val="24"/>
              </w:rPr>
            </w:pPr>
            <w:r w:rsidRPr="00A40F58">
              <w:rPr>
                <w:sz w:val="24"/>
                <w:szCs w:val="24"/>
              </w:rPr>
              <w:t>Автор</w:t>
            </w:r>
          </w:p>
        </w:tc>
        <w:tc>
          <w:tcPr>
            <w:tcW w:w="7590" w:type="dxa"/>
          </w:tcPr>
          <w:p w:rsidR="004A6E67" w:rsidRPr="00A40F58" w:rsidRDefault="004A6E67" w:rsidP="00AD515C">
            <w:pPr>
              <w:widowControl w:val="0"/>
              <w:tabs>
                <w:tab w:val="left" w:pos="600"/>
              </w:tabs>
              <w:ind w:firstLine="720"/>
              <w:rPr>
                <w:sz w:val="24"/>
                <w:szCs w:val="24"/>
              </w:rPr>
            </w:pPr>
            <w:r w:rsidRPr="00A40F58">
              <w:rPr>
                <w:sz w:val="24"/>
                <w:szCs w:val="24"/>
              </w:rPr>
              <w:t>Зміст визначення</w:t>
            </w:r>
          </w:p>
        </w:tc>
      </w:tr>
      <w:tr w:rsidR="004A6E67" w:rsidRPr="00A40F58" w:rsidTr="00AD515C">
        <w:tc>
          <w:tcPr>
            <w:tcW w:w="1980" w:type="dxa"/>
          </w:tcPr>
          <w:p w:rsidR="004A6E67" w:rsidRPr="00211231" w:rsidRDefault="004A6E67" w:rsidP="00AD515C">
            <w:pPr>
              <w:widowControl w:val="0"/>
              <w:tabs>
                <w:tab w:val="left" w:pos="22"/>
              </w:tabs>
              <w:jc w:val="both"/>
              <w:rPr>
                <w:sz w:val="24"/>
                <w:szCs w:val="24"/>
              </w:rPr>
            </w:pPr>
            <w:r w:rsidRPr="00211231">
              <w:rPr>
                <w:sz w:val="24"/>
                <w:szCs w:val="24"/>
              </w:rPr>
              <w:t>Примостка Л.О.</w:t>
            </w:r>
          </w:p>
          <w:p w:rsidR="004A6E67" w:rsidRPr="00465703" w:rsidRDefault="00226BF0" w:rsidP="00AD515C">
            <w:pPr>
              <w:widowControl w:val="0"/>
              <w:tabs>
                <w:tab w:val="left" w:pos="22"/>
              </w:tabs>
              <w:jc w:val="both"/>
              <w:rPr>
                <w:color w:val="FF0000"/>
                <w:sz w:val="24"/>
                <w:szCs w:val="24"/>
              </w:rPr>
            </w:pPr>
            <w:r>
              <w:rPr>
                <w:sz w:val="24"/>
                <w:szCs w:val="24"/>
              </w:rPr>
              <w:t>[2</w:t>
            </w:r>
            <w:r w:rsidR="004A6E67" w:rsidRPr="00211231">
              <w:rPr>
                <w:sz w:val="24"/>
                <w:szCs w:val="24"/>
              </w:rPr>
              <w:t>, с. 188]</w:t>
            </w:r>
          </w:p>
        </w:tc>
        <w:tc>
          <w:tcPr>
            <w:tcW w:w="7590" w:type="dxa"/>
          </w:tcPr>
          <w:p w:rsidR="004A6E67" w:rsidRPr="00A40F58" w:rsidRDefault="004A6E67" w:rsidP="00AD515C">
            <w:pPr>
              <w:widowControl w:val="0"/>
              <w:tabs>
                <w:tab w:val="left" w:pos="600"/>
              </w:tabs>
              <w:jc w:val="both"/>
              <w:rPr>
                <w:sz w:val="24"/>
                <w:szCs w:val="24"/>
              </w:rPr>
            </w:pPr>
            <w:r w:rsidRPr="00A40F58">
              <w:rPr>
                <w:rFonts w:eastAsia="Arimo"/>
                <w:sz w:val="24"/>
                <w:szCs w:val="24"/>
                <w:lang w:eastAsia="ru-RU"/>
              </w:rPr>
              <w:t xml:space="preserve">Проблемними кредитами називають такі, за якими своєчасно не проведено один чи кілька платежів, значно знизилась ринкова вартість забезпечення, виникли обставини, котрі викликають сумнів щодо повернення позички </w:t>
            </w:r>
          </w:p>
        </w:tc>
      </w:tr>
      <w:tr w:rsidR="004A6E67" w:rsidRPr="00A40F58" w:rsidTr="00AD515C">
        <w:tc>
          <w:tcPr>
            <w:tcW w:w="1980" w:type="dxa"/>
          </w:tcPr>
          <w:p w:rsidR="004A6E67" w:rsidRPr="00211231" w:rsidRDefault="004A6E67" w:rsidP="00AD515C">
            <w:pPr>
              <w:widowControl w:val="0"/>
              <w:tabs>
                <w:tab w:val="left" w:pos="22"/>
              </w:tabs>
              <w:jc w:val="both"/>
              <w:rPr>
                <w:rFonts w:eastAsia="Arimo"/>
                <w:sz w:val="24"/>
                <w:szCs w:val="24"/>
                <w:lang w:eastAsia="ru-RU"/>
              </w:rPr>
            </w:pPr>
            <w:proofErr w:type="spellStart"/>
            <w:r w:rsidRPr="00211231">
              <w:rPr>
                <w:rFonts w:eastAsia="Arimo"/>
                <w:sz w:val="24"/>
                <w:szCs w:val="24"/>
                <w:lang w:eastAsia="ru-RU"/>
              </w:rPr>
              <w:t>Шустова</w:t>
            </w:r>
            <w:proofErr w:type="spellEnd"/>
            <w:r w:rsidRPr="00211231">
              <w:rPr>
                <w:rFonts w:eastAsia="Arimo"/>
                <w:sz w:val="24"/>
                <w:szCs w:val="24"/>
                <w:lang w:eastAsia="ru-RU"/>
              </w:rPr>
              <w:t xml:space="preserve"> Є.П.</w:t>
            </w:r>
          </w:p>
          <w:p w:rsidR="004A6E67" w:rsidRPr="00465703" w:rsidRDefault="00226BF0" w:rsidP="00AD515C">
            <w:pPr>
              <w:widowControl w:val="0"/>
              <w:tabs>
                <w:tab w:val="left" w:pos="22"/>
              </w:tabs>
              <w:jc w:val="both"/>
              <w:rPr>
                <w:color w:val="FF0000"/>
                <w:sz w:val="24"/>
                <w:szCs w:val="24"/>
              </w:rPr>
            </w:pPr>
            <w:r>
              <w:rPr>
                <w:rFonts w:eastAsia="Arimo"/>
                <w:sz w:val="24"/>
                <w:szCs w:val="24"/>
                <w:lang w:eastAsia="ru-RU"/>
              </w:rPr>
              <w:t>[3,</w:t>
            </w:r>
            <w:r w:rsidR="004A6E67" w:rsidRPr="00211231">
              <w:rPr>
                <w:rFonts w:eastAsia="Arimo"/>
                <w:sz w:val="24"/>
                <w:szCs w:val="24"/>
                <w:lang w:eastAsia="ru-RU"/>
              </w:rPr>
              <w:t xml:space="preserve"> с.156]</w:t>
            </w:r>
          </w:p>
        </w:tc>
        <w:tc>
          <w:tcPr>
            <w:tcW w:w="7590" w:type="dxa"/>
          </w:tcPr>
          <w:p w:rsidR="004A6E67" w:rsidRPr="00A40F58" w:rsidRDefault="004A6E67" w:rsidP="00AD515C">
            <w:pPr>
              <w:widowControl w:val="0"/>
              <w:tabs>
                <w:tab w:val="left" w:pos="600"/>
              </w:tabs>
              <w:jc w:val="both"/>
              <w:rPr>
                <w:sz w:val="24"/>
                <w:szCs w:val="24"/>
              </w:rPr>
            </w:pPr>
            <w:r w:rsidRPr="00A40F58">
              <w:rPr>
                <w:rFonts w:eastAsia="Arimo"/>
                <w:sz w:val="24"/>
                <w:szCs w:val="24"/>
                <w:lang w:eastAsia="ru-RU"/>
              </w:rPr>
              <w:t xml:space="preserve">Кредит, за яким позичальник не виконує зобов’язання (або виконує неналежним чином) у частині оплати платежів або є підстави вважати, що зобов’язання за ним не будуть виконані повністю або частково </w:t>
            </w:r>
          </w:p>
        </w:tc>
      </w:tr>
      <w:tr w:rsidR="004A6E67" w:rsidRPr="00A40F58" w:rsidTr="00AD515C">
        <w:tc>
          <w:tcPr>
            <w:tcW w:w="1980" w:type="dxa"/>
          </w:tcPr>
          <w:p w:rsidR="004A6E67" w:rsidRPr="00211231" w:rsidRDefault="004A6E67" w:rsidP="00AD515C">
            <w:pPr>
              <w:widowControl w:val="0"/>
              <w:tabs>
                <w:tab w:val="left" w:pos="22"/>
              </w:tabs>
              <w:jc w:val="both"/>
              <w:rPr>
                <w:rFonts w:eastAsia="Arimo"/>
                <w:sz w:val="24"/>
                <w:szCs w:val="24"/>
                <w:lang w:eastAsia="ru-RU"/>
              </w:rPr>
            </w:pPr>
            <w:proofErr w:type="spellStart"/>
            <w:r w:rsidRPr="00211231">
              <w:rPr>
                <w:rFonts w:eastAsia="Arimo"/>
                <w:sz w:val="24"/>
                <w:szCs w:val="24"/>
                <w:lang w:eastAsia="ru-RU"/>
              </w:rPr>
              <w:t>Кльоба</w:t>
            </w:r>
            <w:proofErr w:type="spellEnd"/>
            <w:r w:rsidRPr="00211231">
              <w:rPr>
                <w:rFonts w:eastAsia="Arimo"/>
                <w:sz w:val="24"/>
                <w:szCs w:val="24"/>
                <w:lang w:eastAsia="ru-RU"/>
              </w:rPr>
              <w:t xml:space="preserve"> В.Л.</w:t>
            </w:r>
          </w:p>
          <w:p w:rsidR="004A6E67" w:rsidRPr="00211231" w:rsidRDefault="00226BF0" w:rsidP="00AD515C">
            <w:pPr>
              <w:widowControl w:val="0"/>
              <w:tabs>
                <w:tab w:val="left" w:pos="22"/>
              </w:tabs>
              <w:jc w:val="both"/>
              <w:rPr>
                <w:sz w:val="24"/>
                <w:szCs w:val="24"/>
              </w:rPr>
            </w:pPr>
            <w:r>
              <w:rPr>
                <w:rFonts w:eastAsia="Arimo"/>
                <w:sz w:val="24"/>
                <w:szCs w:val="24"/>
                <w:lang w:eastAsia="ru-RU"/>
              </w:rPr>
              <w:t>[4,</w:t>
            </w:r>
            <w:r w:rsidR="004A6E67" w:rsidRPr="00211231">
              <w:rPr>
                <w:rFonts w:eastAsia="Arimo"/>
                <w:sz w:val="24"/>
                <w:szCs w:val="24"/>
                <w:lang w:eastAsia="ru-RU"/>
              </w:rPr>
              <w:t xml:space="preserve"> с.241]</w:t>
            </w:r>
          </w:p>
        </w:tc>
        <w:tc>
          <w:tcPr>
            <w:tcW w:w="7590" w:type="dxa"/>
          </w:tcPr>
          <w:p w:rsidR="004A6E67" w:rsidRPr="00A40F58" w:rsidRDefault="004A6E67" w:rsidP="00AD515C">
            <w:pPr>
              <w:widowControl w:val="0"/>
              <w:tabs>
                <w:tab w:val="left" w:pos="600"/>
              </w:tabs>
              <w:jc w:val="both"/>
              <w:rPr>
                <w:sz w:val="24"/>
                <w:szCs w:val="24"/>
              </w:rPr>
            </w:pPr>
            <w:r w:rsidRPr="00A40F58">
              <w:rPr>
                <w:rFonts w:eastAsia="Arimo"/>
                <w:sz w:val="24"/>
                <w:szCs w:val="24"/>
                <w:lang w:eastAsia="ru-RU"/>
              </w:rPr>
              <w:t xml:space="preserve">Кредит, за яким банк вбачає небезпеку своєчасного і повного його погашення внаслідок дії різноманітних чинників (економічних, юридичних, соціальних тощо) </w:t>
            </w:r>
          </w:p>
        </w:tc>
      </w:tr>
      <w:tr w:rsidR="004A6E67" w:rsidRPr="00A40F58" w:rsidTr="00AD515C">
        <w:tc>
          <w:tcPr>
            <w:tcW w:w="1980" w:type="dxa"/>
          </w:tcPr>
          <w:p w:rsidR="004A6E67" w:rsidRPr="00211231" w:rsidRDefault="004A6E67" w:rsidP="00AD515C">
            <w:pPr>
              <w:widowControl w:val="0"/>
              <w:tabs>
                <w:tab w:val="left" w:pos="22"/>
              </w:tabs>
              <w:jc w:val="both"/>
              <w:rPr>
                <w:rFonts w:eastAsia="Arimo"/>
                <w:sz w:val="24"/>
                <w:szCs w:val="24"/>
                <w:lang w:eastAsia="ru-RU"/>
              </w:rPr>
            </w:pPr>
            <w:r w:rsidRPr="00211231">
              <w:rPr>
                <w:rFonts w:eastAsia="Arimo"/>
                <w:sz w:val="24"/>
                <w:szCs w:val="24"/>
                <w:lang w:eastAsia="ru-RU"/>
              </w:rPr>
              <w:t>Болгар Т.М.</w:t>
            </w:r>
          </w:p>
          <w:p w:rsidR="004A6E67" w:rsidRPr="00465703" w:rsidRDefault="00226BF0" w:rsidP="00AD515C">
            <w:pPr>
              <w:widowControl w:val="0"/>
              <w:tabs>
                <w:tab w:val="left" w:pos="22"/>
              </w:tabs>
              <w:jc w:val="both"/>
              <w:rPr>
                <w:color w:val="FF0000"/>
                <w:sz w:val="24"/>
                <w:szCs w:val="24"/>
              </w:rPr>
            </w:pPr>
            <w:r>
              <w:rPr>
                <w:rFonts w:eastAsia="Arimo"/>
                <w:sz w:val="24"/>
                <w:szCs w:val="24"/>
                <w:lang w:eastAsia="ru-RU"/>
              </w:rPr>
              <w:t>[5,</w:t>
            </w:r>
            <w:r w:rsidR="004A6E67" w:rsidRPr="00211231">
              <w:rPr>
                <w:rFonts w:eastAsia="Arimo"/>
                <w:sz w:val="24"/>
                <w:szCs w:val="24"/>
                <w:lang w:eastAsia="ru-RU"/>
              </w:rPr>
              <w:t xml:space="preserve"> с.51]</w:t>
            </w:r>
          </w:p>
        </w:tc>
        <w:tc>
          <w:tcPr>
            <w:tcW w:w="7590" w:type="dxa"/>
          </w:tcPr>
          <w:p w:rsidR="004A6E67" w:rsidRPr="00A40F58" w:rsidRDefault="004A6E67" w:rsidP="00AD515C">
            <w:pPr>
              <w:widowControl w:val="0"/>
              <w:tabs>
                <w:tab w:val="left" w:pos="600"/>
              </w:tabs>
              <w:jc w:val="both"/>
              <w:rPr>
                <w:sz w:val="24"/>
                <w:szCs w:val="24"/>
              </w:rPr>
            </w:pPr>
            <w:r w:rsidRPr="00A40F58">
              <w:rPr>
                <w:rFonts w:eastAsia="Arimo"/>
                <w:sz w:val="24"/>
                <w:szCs w:val="24"/>
                <w:lang w:eastAsia="ru-RU"/>
              </w:rPr>
              <w:t xml:space="preserve">Проблемним кредитом будемо вважати кредит, за яким своєчасно не проведено один чи кілька платежів, або виникли обставини, що викликають сумніви стосовно своєчасного та повного повернення наданого кредиту через фінансову нестійкість позичальника, недостатню забезпеченість чи незабезпеченість кредиту або з інших причин, що впливають на можливість неповернення кредиту та відсотків за його користування позичальником </w:t>
            </w:r>
          </w:p>
        </w:tc>
      </w:tr>
      <w:tr w:rsidR="004A6E67" w:rsidRPr="00A40F58" w:rsidTr="00AD515C">
        <w:tc>
          <w:tcPr>
            <w:tcW w:w="1980" w:type="dxa"/>
          </w:tcPr>
          <w:p w:rsidR="004A6E67" w:rsidRPr="00381822" w:rsidRDefault="004A6E67" w:rsidP="00AD515C">
            <w:pPr>
              <w:widowControl w:val="0"/>
              <w:tabs>
                <w:tab w:val="left" w:pos="22"/>
              </w:tabs>
              <w:autoSpaceDE w:val="0"/>
              <w:autoSpaceDN w:val="0"/>
              <w:adjustRightInd w:val="0"/>
              <w:jc w:val="both"/>
              <w:rPr>
                <w:rFonts w:eastAsia="Arimo"/>
                <w:sz w:val="24"/>
                <w:szCs w:val="24"/>
                <w:lang w:eastAsia="ru-RU"/>
              </w:rPr>
            </w:pPr>
            <w:r w:rsidRPr="00381822">
              <w:rPr>
                <w:rFonts w:eastAsia="Arimo"/>
                <w:sz w:val="24"/>
                <w:szCs w:val="24"/>
                <w:lang w:eastAsia="ru-RU"/>
              </w:rPr>
              <w:t>Вовк, В.Я.</w:t>
            </w:r>
          </w:p>
          <w:p w:rsidR="004A6E67" w:rsidRPr="00381822" w:rsidRDefault="004A6E67" w:rsidP="00AD515C">
            <w:pPr>
              <w:widowControl w:val="0"/>
              <w:tabs>
                <w:tab w:val="left" w:pos="22"/>
              </w:tabs>
              <w:jc w:val="both"/>
              <w:rPr>
                <w:rFonts w:eastAsia="Arimo"/>
                <w:sz w:val="24"/>
                <w:szCs w:val="24"/>
                <w:lang w:eastAsia="ru-RU"/>
              </w:rPr>
            </w:pPr>
            <w:proofErr w:type="spellStart"/>
            <w:r w:rsidRPr="00381822">
              <w:rPr>
                <w:rFonts w:eastAsia="Arimo"/>
                <w:sz w:val="24"/>
                <w:szCs w:val="24"/>
                <w:lang w:eastAsia="ru-RU"/>
              </w:rPr>
              <w:t>Хмеленко</w:t>
            </w:r>
            <w:proofErr w:type="spellEnd"/>
            <w:r w:rsidRPr="00381822">
              <w:rPr>
                <w:rFonts w:eastAsia="Arimo"/>
                <w:sz w:val="24"/>
                <w:szCs w:val="24"/>
                <w:lang w:eastAsia="ru-RU"/>
              </w:rPr>
              <w:t xml:space="preserve"> О.В. </w:t>
            </w:r>
          </w:p>
          <w:p w:rsidR="004A6E67" w:rsidRPr="00465703" w:rsidRDefault="00226BF0" w:rsidP="00AD515C">
            <w:pPr>
              <w:widowControl w:val="0"/>
              <w:tabs>
                <w:tab w:val="left" w:pos="22"/>
              </w:tabs>
              <w:jc w:val="both"/>
              <w:rPr>
                <w:color w:val="FF0000"/>
                <w:sz w:val="24"/>
                <w:szCs w:val="24"/>
                <w:lang w:eastAsia="ru-RU"/>
              </w:rPr>
            </w:pPr>
            <w:r>
              <w:rPr>
                <w:rFonts w:eastAsia="Arimo"/>
                <w:sz w:val="24"/>
                <w:szCs w:val="24"/>
                <w:lang w:eastAsia="ru-RU"/>
              </w:rPr>
              <w:t>[6,</w:t>
            </w:r>
            <w:r w:rsidR="004A6E67" w:rsidRPr="00381822">
              <w:rPr>
                <w:rFonts w:eastAsia="Arimo"/>
                <w:sz w:val="24"/>
                <w:szCs w:val="24"/>
                <w:lang w:eastAsia="ru-RU"/>
              </w:rPr>
              <w:t xml:space="preserve"> с.193] </w:t>
            </w:r>
          </w:p>
        </w:tc>
        <w:tc>
          <w:tcPr>
            <w:tcW w:w="7590" w:type="dxa"/>
          </w:tcPr>
          <w:p w:rsidR="004A6E67" w:rsidRPr="00A40F58" w:rsidRDefault="004A6E67" w:rsidP="00AD515C">
            <w:pPr>
              <w:widowControl w:val="0"/>
              <w:tabs>
                <w:tab w:val="left" w:pos="600"/>
              </w:tabs>
              <w:jc w:val="both"/>
              <w:rPr>
                <w:sz w:val="24"/>
                <w:szCs w:val="24"/>
                <w:lang w:eastAsia="ru-RU"/>
              </w:rPr>
            </w:pPr>
            <w:r w:rsidRPr="00A40F58">
              <w:rPr>
                <w:rFonts w:eastAsia="Arimo"/>
                <w:sz w:val="24"/>
                <w:szCs w:val="24"/>
                <w:lang w:eastAsia="ru-RU"/>
              </w:rPr>
              <w:t>Проблемні кредити – це кредити, за якими своєчасно не проведені один чи кілька платежів, значно знизились ліквідність і ринкова вартість забезпечення, виникли обставини, які роблять сумнівними виконання позичальником своїх зобов’язань</w:t>
            </w:r>
          </w:p>
        </w:tc>
      </w:tr>
    </w:tbl>
    <w:p w:rsidR="004A6E67" w:rsidRPr="00BE7793" w:rsidRDefault="004A6E67" w:rsidP="00AD515C">
      <w:pPr>
        <w:widowControl w:val="0"/>
        <w:tabs>
          <w:tab w:val="left" w:pos="600"/>
        </w:tabs>
        <w:spacing w:line="336" w:lineRule="auto"/>
        <w:ind w:firstLine="720"/>
        <w:jc w:val="both"/>
        <w:rPr>
          <w:sz w:val="24"/>
          <w:szCs w:val="24"/>
        </w:rPr>
      </w:pPr>
    </w:p>
    <w:p w:rsidR="004A6E67" w:rsidRDefault="004A6E67" w:rsidP="00AD515C">
      <w:pPr>
        <w:widowControl w:val="0"/>
        <w:tabs>
          <w:tab w:val="left" w:pos="600"/>
        </w:tabs>
        <w:spacing w:line="348" w:lineRule="auto"/>
        <w:ind w:firstLine="720"/>
        <w:jc w:val="both"/>
      </w:pPr>
      <w:r w:rsidRPr="00465703">
        <w:rPr>
          <w:szCs w:val="28"/>
        </w:rPr>
        <w:t>Отже, підсумовуючи аналіз існуючих понять, «проблемним кредитом» називається кредит за яким виплата тіла кредиту та відсотків була істотно прострочена, а також такі кредити, за якими існує загроза порушення графіку погашення через погіршення фінансового стану позичальника, зменшення якості забезпечення (його втрату) чи ряду інших причин, що в результаті може призвести до погіршення показників діяльності банку, зокрема до погіршення ліквідності, платоспроможності та, навіть, банкрутства. В даному визначенні узагальнюються ознаки проблемності кредиту та, на відміну від інших, розгорнуто вказуються наслідки, до яких може призвести наявність проблемних кредитів в банківському портфелі.</w:t>
      </w:r>
      <w:r>
        <w:rPr>
          <w:szCs w:val="28"/>
        </w:rPr>
        <w:t xml:space="preserve"> </w:t>
      </w:r>
      <w:r>
        <w:t>Більшість банків визначало проблемні кредити відповідно до міжнародних стандартів фінансової звітності (МСФЗ), які більше орієнтується на судження банків та їхніх аудиторів.</w:t>
      </w:r>
    </w:p>
    <w:p w:rsidR="004A6E67" w:rsidRDefault="004A6E67" w:rsidP="00AD515C">
      <w:pPr>
        <w:widowControl w:val="0"/>
        <w:tabs>
          <w:tab w:val="left" w:pos="13048"/>
        </w:tabs>
        <w:spacing w:line="348" w:lineRule="auto"/>
        <w:ind w:firstLine="709"/>
        <w:jc w:val="both"/>
      </w:pPr>
      <w:r>
        <w:t xml:space="preserve">Зауважимо, що кожна країна аналізує рівень проблемної заборгованості на основі внутрішніх стандартів, невід’ємною складовою яких є трактування поняття проблемного кредиту. Проте, для правильного аналізу якості кредитного портфеля, потрібно також враховувати думку експертів спеціальних агентств щодо сутності цього поняття. Наприклад, Міжнародний валютний фонд (МВФ) </w:t>
      </w:r>
      <w:r>
        <w:lastRenderedPageBreak/>
        <w:t>визначає проблемний кредит як зобов’язання, повне погашення якого сумнівне внаслідок неадекватного фінансового стану позичальника чи забезпечення за цим зобов’язанням, а також спостерігається прострочення сплати основного боргу й/або відсотків за ним більше 90 днів [</w:t>
      </w:r>
      <w:r w:rsidR="00AD515C">
        <w:rPr>
          <w:szCs w:val="28"/>
          <w:lang w:val="ru-RU"/>
        </w:rPr>
        <w:t>7</w:t>
      </w:r>
      <w:r>
        <w:t>]. Базельський комітет з банківського нагляду трактує проблемний кредит як кредитний продукт, за яким існують істотні порушення строків виконання зобов’язань перед банком, істотне погіршення фінансового стану боржника, погіршення якості забезпечення [</w:t>
      </w:r>
      <w:r w:rsidR="00AD515C">
        <w:rPr>
          <w:szCs w:val="28"/>
        </w:rPr>
        <w:t>8</w:t>
      </w:r>
      <w:r>
        <w:t xml:space="preserve">]. Як бачимо, визначення МВФ і Базельського комітету практично ідентичні і враховують три ознаки: погіршення фінансового стану, якість забезпечення і прострочення погашення кредиту. Втім визначення МВФ є більш конкретним, оскільки в ньому вказується термін прострочення (більше 90 днів – період, коли </w:t>
      </w:r>
      <w:r w:rsidRPr="002F1778">
        <w:t>кредит автоматично стає проблемним). Разом з тим такі словосполучення у визначенні Базельського комітету як «істотні порушення строків», «істотне погіршення фінансового стану», «погіршення якості забезпечення» м</w:t>
      </w:r>
      <w:r w:rsidR="00AD515C">
        <w:t>ожна трактувати по-різному</w:t>
      </w:r>
      <w:r w:rsidRPr="000D7DB1">
        <w:t>.</w:t>
      </w:r>
    </w:p>
    <w:p w:rsidR="004A6E67" w:rsidRDefault="004A6E67" w:rsidP="00AD515C">
      <w:pPr>
        <w:widowControl w:val="0"/>
        <w:tabs>
          <w:tab w:val="left" w:pos="13048"/>
        </w:tabs>
        <w:spacing w:line="348" w:lineRule="auto"/>
        <w:ind w:firstLine="709"/>
        <w:jc w:val="both"/>
      </w:pPr>
      <w:r>
        <w:t>Зміни до поняття «проблемних кредитів» банків України запроваджено із 30 червня 2016 року у зв'язку із набуттям</w:t>
      </w:r>
      <w:r w:rsidRPr="008478C0">
        <w:rPr>
          <w:lang w:val="ru-RU"/>
        </w:rPr>
        <w:t xml:space="preserve"> </w:t>
      </w:r>
      <w:r>
        <w:t>чинності Постанови № 351. Запроваджено поняття «непрацюючі кредити», що є максимально близьким до загальноприйнятого у світовій практиці поняття «</w:t>
      </w:r>
      <w:proofErr w:type="spellStart"/>
      <w:r>
        <w:t>non-performing</w:t>
      </w:r>
      <w:proofErr w:type="spellEnd"/>
      <w:r>
        <w:t xml:space="preserve"> </w:t>
      </w:r>
      <w:proofErr w:type="spellStart"/>
      <w:r>
        <w:t>exposures</w:t>
      </w:r>
      <w:proofErr w:type="spellEnd"/>
      <w:r>
        <w:t xml:space="preserve"> / </w:t>
      </w:r>
      <w:proofErr w:type="spellStart"/>
      <w:r>
        <w:t>loans</w:t>
      </w:r>
      <w:proofErr w:type="spellEnd"/>
      <w:r>
        <w:t>» (NPE/NPL).</w:t>
      </w:r>
    </w:p>
    <w:p w:rsidR="004A6E67" w:rsidRDefault="004A6E67" w:rsidP="00AD515C">
      <w:pPr>
        <w:widowControl w:val="0"/>
        <w:tabs>
          <w:tab w:val="left" w:pos="13048"/>
        </w:tabs>
        <w:spacing w:line="348" w:lineRule="auto"/>
        <w:ind w:firstLine="709"/>
        <w:jc w:val="both"/>
      </w:pPr>
      <w:r>
        <w:t>Відповідно даного положення «непрацюючий актив / кредит» – актив, за яким прострочення погашення боргу перевищує 90 днів (30 днів для банків-боржників), або за яким контрагент неспроможний забезпечити виконання зобов'язань без стягнення забезпечення.</w:t>
      </w:r>
    </w:p>
    <w:p w:rsidR="004A6E67" w:rsidRDefault="004A6E67" w:rsidP="00AD515C">
      <w:pPr>
        <w:widowControl w:val="0"/>
        <w:tabs>
          <w:tab w:val="left" w:pos="13048"/>
        </w:tabs>
        <w:spacing w:line="348" w:lineRule="auto"/>
        <w:ind w:firstLine="709"/>
        <w:jc w:val="both"/>
      </w:pPr>
      <w:r>
        <w:t>Історичні дані за частками непрацюючих кредитів, що оприлюднювалися у складі індикаторів фінансової стійкості на сайті НБУ, базувалися на балансових та позабалансових активах. Великі обсяги відкличних зобов'язань з кредитування (</w:t>
      </w:r>
      <w:proofErr w:type="spellStart"/>
      <w:r>
        <w:t>позабаланс</w:t>
      </w:r>
      <w:proofErr w:type="spellEnd"/>
      <w:r>
        <w:t>), що потрапляли до найвищих категорій якості, суттєво впливали на частку непрацюючих кредитів, занижуючи її. Надалі ключовий показник непрацюючих кредитів, що публікуватиметься НБУ, базуватиметься лише на балансових показниках.</w:t>
      </w:r>
    </w:p>
    <w:p w:rsidR="004A6E67" w:rsidRPr="00FC2F39" w:rsidRDefault="004A6E67" w:rsidP="00AD515C">
      <w:pPr>
        <w:widowControl w:val="0"/>
        <w:tabs>
          <w:tab w:val="left" w:pos="13048"/>
        </w:tabs>
        <w:spacing w:line="348" w:lineRule="auto"/>
        <w:ind w:firstLine="709"/>
        <w:jc w:val="both"/>
      </w:pPr>
      <w:r w:rsidRPr="00FC2F39">
        <w:t xml:space="preserve">Таким чином категорія проблемні кредити є більш ширшим поняттям ніж </w:t>
      </w:r>
      <w:r w:rsidRPr="00FC2F39">
        <w:lastRenderedPageBreak/>
        <w:t>«непрацюючі кредити». Як відомо, аналіз рівня проблемної заборгованості банками відбувався самостійно, більш того, для вітчизняних банків алгоритм розрахунку проблемної заборгованості чітко не був прописаним. Тому більшість банків визначало проблемні кредити відповідно до міжнародних стандартів фінансової звітності (МСФЗ), які  більше орієнтується на судження банків та їхніх аудиторів.</w:t>
      </w:r>
      <w:r w:rsidRPr="00FC2F39">
        <w:rPr>
          <w:szCs w:val="28"/>
          <w:lang w:eastAsia="ru-RU"/>
        </w:rPr>
        <w:t xml:space="preserve"> А до непрацюючих кредитів чітко відносяться кредити, за якими </w:t>
      </w:r>
      <w:r w:rsidRPr="00FC2F39">
        <w:rPr>
          <w:rStyle w:val="TimesNewRoman1"/>
          <w:szCs w:val="28"/>
        </w:rPr>
        <w:t>прострочення погашення боргу перевищує 90 днів (30 днів для банків-боржників), або за яким контрагент неспроможний забезпечити виконання зобов'язань без стягнення забезпечення.</w:t>
      </w:r>
    </w:p>
    <w:p w:rsidR="008D48CB" w:rsidRPr="00AD515C" w:rsidRDefault="002B45F2" w:rsidP="00AD515C">
      <w:pPr>
        <w:spacing w:line="348" w:lineRule="auto"/>
        <w:rPr>
          <w:sz w:val="16"/>
          <w:szCs w:val="16"/>
        </w:rPr>
      </w:pPr>
    </w:p>
    <w:p w:rsidR="00226BF0" w:rsidRDefault="00226BF0" w:rsidP="00AD515C">
      <w:pPr>
        <w:spacing w:line="348" w:lineRule="auto"/>
        <w:rPr>
          <w:b/>
        </w:rPr>
      </w:pPr>
      <w:r w:rsidRPr="00226BF0">
        <w:rPr>
          <w:b/>
        </w:rPr>
        <w:t>Список використаних джерел</w:t>
      </w:r>
    </w:p>
    <w:p w:rsidR="00226BF0" w:rsidRDefault="00226BF0" w:rsidP="00AD515C">
      <w:pPr>
        <w:pStyle w:val="a3"/>
        <w:numPr>
          <w:ilvl w:val="0"/>
          <w:numId w:val="2"/>
        </w:numPr>
        <w:spacing w:line="348" w:lineRule="auto"/>
        <w:ind w:left="0" w:firstLine="709"/>
        <w:jc w:val="both"/>
      </w:pPr>
      <w:r w:rsidRPr="00226BF0">
        <w:t>Сорока А.В. Кредитна політика банку як основа управління кредитним ризиком / А.В. Сорока, А.Р. Колесникова // Молодий вчений. - №4 (44) квітень. – 2017. – С. 769-772.</w:t>
      </w:r>
    </w:p>
    <w:p w:rsidR="00226BF0" w:rsidRPr="00226BF0" w:rsidRDefault="00226BF0" w:rsidP="00AD515C">
      <w:pPr>
        <w:pStyle w:val="a3"/>
        <w:numPr>
          <w:ilvl w:val="0"/>
          <w:numId w:val="2"/>
        </w:numPr>
        <w:spacing w:line="348" w:lineRule="auto"/>
        <w:ind w:left="0" w:firstLine="709"/>
        <w:jc w:val="both"/>
      </w:pPr>
      <w:r w:rsidRPr="00226BF0">
        <w:t xml:space="preserve">Примостка Л.О. Фінансовий менеджмент у банку : підручник / Л.О. Примостка – 2-ге вид., </w:t>
      </w:r>
      <w:proofErr w:type="spellStart"/>
      <w:r w:rsidRPr="00226BF0">
        <w:t>доп</w:t>
      </w:r>
      <w:proofErr w:type="spellEnd"/>
      <w:r w:rsidRPr="00226BF0">
        <w:t>. і перероб. –К. : КНЕУ, 2004. – 468 с.</w:t>
      </w:r>
    </w:p>
    <w:p w:rsidR="00226BF0" w:rsidRPr="00226BF0" w:rsidRDefault="00226BF0" w:rsidP="00AD515C">
      <w:pPr>
        <w:pStyle w:val="a3"/>
        <w:numPr>
          <w:ilvl w:val="0"/>
          <w:numId w:val="2"/>
        </w:numPr>
        <w:spacing w:line="348" w:lineRule="auto"/>
        <w:ind w:left="0" w:firstLine="709"/>
        <w:jc w:val="both"/>
      </w:pPr>
      <w:proofErr w:type="spellStart"/>
      <w:r w:rsidRPr="00226BF0">
        <w:t>Шустова</w:t>
      </w:r>
      <w:proofErr w:type="spellEnd"/>
      <w:r w:rsidRPr="00226BF0">
        <w:t xml:space="preserve"> Е. П. «</w:t>
      </w:r>
      <w:proofErr w:type="spellStart"/>
      <w:r w:rsidRPr="00226BF0">
        <w:t>Проблемный</w:t>
      </w:r>
      <w:proofErr w:type="spellEnd"/>
      <w:r w:rsidRPr="00226BF0">
        <w:t xml:space="preserve"> кредит»: </w:t>
      </w:r>
      <w:proofErr w:type="spellStart"/>
      <w:r w:rsidRPr="00226BF0">
        <w:t>терминологическое</w:t>
      </w:r>
      <w:proofErr w:type="spellEnd"/>
      <w:r w:rsidRPr="00226BF0">
        <w:t xml:space="preserve"> </w:t>
      </w:r>
      <w:proofErr w:type="spellStart"/>
      <w:r w:rsidRPr="00226BF0">
        <w:t>содержание</w:t>
      </w:r>
      <w:proofErr w:type="spellEnd"/>
      <w:r w:rsidRPr="00226BF0">
        <w:t xml:space="preserve">, </w:t>
      </w:r>
      <w:proofErr w:type="spellStart"/>
      <w:r w:rsidRPr="00226BF0">
        <w:t>критерии</w:t>
      </w:r>
      <w:proofErr w:type="spellEnd"/>
      <w:r w:rsidRPr="00226BF0">
        <w:t xml:space="preserve"> </w:t>
      </w:r>
      <w:proofErr w:type="spellStart"/>
      <w:r w:rsidRPr="00226BF0">
        <w:t>определения</w:t>
      </w:r>
      <w:proofErr w:type="spellEnd"/>
      <w:r w:rsidRPr="00226BF0">
        <w:t xml:space="preserve"> и </w:t>
      </w:r>
      <w:proofErr w:type="spellStart"/>
      <w:r w:rsidRPr="00226BF0">
        <w:t>факторы</w:t>
      </w:r>
      <w:proofErr w:type="spellEnd"/>
      <w:r w:rsidRPr="00226BF0">
        <w:t xml:space="preserve"> </w:t>
      </w:r>
      <w:proofErr w:type="spellStart"/>
      <w:r w:rsidRPr="00226BF0">
        <w:t>возникновения</w:t>
      </w:r>
      <w:proofErr w:type="spellEnd"/>
      <w:r w:rsidRPr="00226BF0">
        <w:t xml:space="preserve"> / Е. П. </w:t>
      </w:r>
      <w:proofErr w:type="spellStart"/>
      <w:r w:rsidRPr="00226BF0">
        <w:t>Шустова</w:t>
      </w:r>
      <w:proofErr w:type="spellEnd"/>
      <w:r w:rsidRPr="00226BF0">
        <w:t xml:space="preserve"> // </w:t>
      </w:r>
      <w:proofErr w:type="spellStart"/>
      <w:r w:rsidRPr="00226BF0">
        <w:t>Вестник</w:t>
      </w:r>
      <w:proofErr w:type="spellEnd"/>
      <w:r w:rsidRPr="00226BF0">
        <w:t xml:space="preserve"> </w:t>
      </w:r>
      <w:proofErr w:type="spellStart"/>
      <w:r w:rsidRPr="00226BF0">
        <w:t>Алтайской</w:t>
      </w:r>
      <w:proofErr w:type="spellEnd"/>
      <w:r w:rsidRPr="00226BF0">
        <w:t xml:space="preserve"> </w:t>
      </w:r>
      <w:proofErr w:type="spellStart"/>
      <w:r w:rsidRPr="00226BF0">
        <w:t>академии</w:t>
      </w:r>
      <w:proofErr w:type="spellEnd"/>
      <w:r w:rsidRPr="00226BF0">
        <w:t xml:space="preserve"> </w:t>
      </w:r>
      <w:proofErr w:type="spellStart"/>
      <w:r w:rsidRPr="00226BF0">
        <w:t>экономики</w:t>
      </w:r>
      <w:proofErr w:type="spellEnd"/>
      <w:r w:rsidRPr="00226BF0">
        <w:t xml:space="preserve"> и права. – 2010. – № 18. – С. 155–158.</w:t>
      </w:r>
    </w:p>
    <w:p w:rsidR="00226BF0" w:rsidRDefault="00226BF0" w:rsidP="00AD515C">
      <w:pPr>
        <w:pStyle w:val="a3"/>
        <w:widowControl w:val="0"/>
        <w:numPr>
          <w:ilvl w:val="0"/>
          <w:numId w:val="2"/>
        </w:numPr>
        <w:tabs>
          <w:tab w:val="left" w:pos="1276"/>
          <w:tab w:val="left" w:pos="13048"/>
        </w:tabs>
        <w:spacing w:line="348" w:lineRule="auto"/>
        <w:ind w:left="0" w:firstLine="709"/>
        <w:jc w:val="both"/>
      </w:pPr>
      <w:proofErr w:type="spellStart"/>
      <w:r w:rsidRPr="00465703">
        <w:t>Кльоба</w:t>
      </w:r>
      <w:proofErr w:type="spellEnd"/>
      <w:r w:rsidRPr="00465703">
        <w:t xml:space="preserve"> В.Л. Ситуаційний центр банку як ефективний напрям удосконалення управління врегулюванням проблемної заборгованості / В.Л. </w:t>
      </w:r>
      <w:proofErr w:type="spellStart"/>
      <w:r w:rsidRPr="00465703">
        <w:t>Кльоба</w:t>
      </w:r>
      <w:proofErr w:type="spellEnd"/>
      <w:r w:rsidRPr="00465703">
        <w:t xml:space="preserve"> // Науковий вісник НЛТУ України. – 2009. – № 19.8. – С. 240-246.</w:t>
      </w:r>
    </w:p>
    <w:p w:rsidR="00226BF0" w:rsidRDefault="00226BF0" w:rsidP="00AD515C">
      <w:pPr>
        <w:pStyle w:val="a3"/>
        <w:widowControl w:val="0"/>
        <w:numPr>
          <w:ilvl w:val="0"/>
          <w:numId w:val="2"/>
        </w:numPr>
        <w:tabs>
          <w:tab w:val="left" w:pos="993"/>
          <w:tab w:val="left" w:pos="13048"/>
        </w:tabs>
        <w:spacing w:line="348" w:lineRule="auto"/>
        <w:ind w:left="0" w:firstLine="709"/>
        <w:jc w:val="both"/>
      </w:pPr>
      <w:r>
        <w:t>Болгар Т. М. Проблемні кредити банків як результат реалізації кредитного ризику / Т. М. Болгар // Економічний нобелівський вісник. – 2014. – № 1(7). – С. 50–58.</w:t>
      </w:r>
    </w:p>
    <w:p w:rsidR="00226BF0" w:rsidRDefault="00226BF0" w:rsidP="00AD515C">
      <w:pPr>
        <w:pStyle w:val="a3"/>
        <w:widowControl w:val="0"/>
        <w:numPr>
          <w:ilvl w:val="0"/>
          <w:numId w:val="2"/>
        </w:numPr>
        <w:tabs>
          <w:tab w:val="left" w:pos="1276"/>
          <w:tab w:val="left" w:pos="13048"/>
        </w:tabs>
        <w:spacing w:line="348" w:lineRule="auto"/>
        <w:ind w:left="0" w:firstLine="709"/>
        <w:jc w:val="both"/>
      </w:pPr>
      <w:r>
        <w:t xml:space="preserve">Вовк В. Я. Кредитування і контроль : </w:t>
      </w:r>
      <w:proofErr w:type="spellStart"/>
      <w:r>
        <w:t>навч</w:t>
      </w:r>
      <w:proofErr w:type="spellEnd"/>
      <w:r>
        <w:t xml:space="preserve">. </w:t>
      </w:r>
      <w:proofErr w:type="spellStart"/>
      <w:r>
        <w:t>посіб</w:t>
      </w:r>
      <w:proofErr w:type="spellEnd"/>
      <w:r>
        <w:t xml:space="preserve">. / В. Я. Вовк, О. В. </w:t>
      </w:r>
      <w:proofErr w:type="spellStart"/>
      <w:r>
        <w:t>Хмеленко</w:t>
      </w:r>
      <w:proofErr w:type="spellEnd"/>
      <w:r>
        <w:t>. – К. : Знання, 2008. – 463 с.</w:t>
      </w:r>
    </w:p>
    <w:p w:rsidR="00AD515C" w:rsidRDefault="00AD515C" w:rsidP="00AD515C">
      <w:pPr>
        <w:pStyle w:val="a3"/>
        <w:widowControl w:val="0"/>
        <w:numPr>
          <w:ilvl w:val="0"/>
          <w:numId w:val="2"/>
        </w:numPr>
        <w:tabs>
          <w:tab w:val="left" w:pos="1134"/>
          <w:tab w:val="left" w:pos="13048"/>
        </w:tabs>
        <w:spacing w:line="348" w:lineRule="auto"/>
        <w:ind w:left="0" w:firstLine="709"/>
        <w:jc w:val="both"/>
      </w:pPr>
      <w:proofErr w:type="spellStart"/>
      <w:r>
        <w:t>Financial</w:t>
      </w:r>
      <w:proofErr w:type="spellEnd"/>
      <w:r>
        <w:t xml:space="preserve"> </w:t>
      </w:r>
      <w:proofErr w:type="spellStart"/>
      <w:r>
        <w:t>Soundness</w:t>
      </w:r>
      <w:proofErr w:type="spellEnd"/>
      <w:r>
        <w:t xml:space="preserve"> </w:t>
      </w:r>
      <w:proofErr w:type="spellStart"/>
      <w:r>
        <w:t>Indicators</w:t>
      </w:r>
      <w:proofErr w:type="spellEnd"/>
      <w:r>
        <w:t xml:space="preserve"> – </w:t>
      </w:r>
      <w:proofErr w:type="spellStart"/>
      <w:r>
        <w:t>Compilation</w:t>
      </w:r>
      <w:proofErr w:type="spellEnd"/>
      <w:r>
        <w:t xml:space="preserve"> </w:t>
      </w:r>
      <w:proofErr w:type="spellStart"/>
      <w:r>
        <w:t>Guide</w:t>
      </w:r>
      <w:proofErr w:type="spellEnd"/>
      <w:r>
        <w:t xml:space="preserve">. – IMF. – </w:t>
      </w:r>
      <w:proofErr w:type="spellStart"/>
      <w:r>
        <w:t>March</w:t>
      </w:r>
      <w:proofErr w:type="spellEnd"/>
      <w:r>
        <w:t xml:space="preserve">, 2006 [Електронний ресурс]. – Режим доступу : </w:t>
      </w:r>
      <w:hyperlink r:id="rId5" w:history="1">
        <w:r w:rsidRPr="00FC5821">
          <w:t>http://www.imf.org/external/</w:t>
        </w:r>
      </w:hyperlink>
      <w:r>
        <w:t xml:space="preserve"> </w:t>
      </w:r>
      <w:proofErr w:type="spellStart"/>
      <w:r>
        <w:t>pubs</w:t>
      </w:r>
      <w:proofErr w:type="spellEnd"/>
      <w:r>
        <w:t xml:space="preserve"> /</w:t>
      </w:r>
      <w:proofErr w:type="spellStart"/>
      <w:r>
        <w:t>ft</w:t>
      </w:r>
      <w:proofErr w:type="spellEnd"/>
      <w:r>
        <w:t>/</w:t>
      </w:r>
      <w:proofErr w:type="spellStart"/>
      <w:r>
        <w:t>fsi</w:t>
      </w:r>
      <w:proofErr w:type="spellEnd"/>
      <w:r>
        <w:t>/</w:t>
      </w:r>
      <w:proofErr w:type="spellStart"/>
      <w:r>
        <w:t>guide</w:t>
      </w:r>
      <w:proofErr w:type="spellEnd"/>
      <w:r>
        <w:t xml:space="preserve"> /2006/index.htm.</w:t>
      </w:r>
    </w:p>
    <w:p w:rsidR="00226BF0" w:rsidRPr="00226BF0" w:rsidRDefault="00AD515C" w:rsidP="00AD515C">
      <w:pPr>
        <w:pStyle w:val="a3"/>
        <w:numPr>
          <w:ilvl w:val="0"/>
          <w:numId w:val="2"/>
        </w:numPr>
        <w:spacing w:line="348" w:lineRule="auto"/>
        <w:ind w:left="0" w:firstLine="709"/>
        <w:jc w:val="both"/>
      </w:pPr>
      <w:proofErr w:type="spellStart"/>
      <w:r>
        <w:t>Angklomkliew</w:t>
      </w:r>
      <w:proofErr w:type="spellEnd"/>
      <w:r>
        <w:t xml:space="preserve"> S., </w:t>
      </w:r>
      <w:proofErr w:type="spellStart"/>
      <w:r>
        <w:t>George</w:t>
      </w:r>
      <w:proofErr w:type="spellEnd"/>
      <w:r>
        <w:t xml:space="preserve"> J., </w:t>
      </w:r>
      <w:proofErr w:type="spellStart"/>
      <w:r>
        <w:t>Packer</w:t>
      </w:r>
      <w:proofErr w:type="spellEnd"/>
      <w:r>
        <w:t xml:space="preserve"> F. </w:t>
      </w:r>
      <w:proofErr w:type="spellStart"/>
      <w:r>
        <w:t>Issues</w:t>
      </w:r>
      <w:proofErr w:type="spellEnd"/>
      <w:r>
        <w:t xml:space="preserve"> </w:t>
      </w:r>
      <w:proofErr w:type="spellStart"/>
      <w:r>
        <w:t>and</w:t>
      </w:r>
      <w:proofErr w:type="spellEnd"/>
      <w:r>
        <w:t xml:space="preserve"> </w:t>
      </w:r>
      <w:proofErr w:type="spellStart"/>
      <w:r>
        <w:t>developments</w:t>
      </w:r>
      <w:proofErr w:type="spellEnd"/>
      <w:r>
        <w:t xml:space="preserve"> </w:t>
      </w:r>
      <w:proofErr w:type="spellStart"/>
      <w:r>
        <w:t>in</w:t>
      </w:r>
      <w:proofErr w:type="spellEnd"/>
      <w:r>
        <w:t xml:space="preserve"> </w:t>
      </w:r>
      <w:proofErr w:type="spellStart"/>
      <w:r>
        <w:t>loan</w:t>
      </w:r>
      <w:proofErr w:type="spellEnd"/>
      <w:r>
        <w:t xml:space="preserve"> </w:t>
      </w:r>
      <w:proofErr w:type="spellStart"/>
      <w:r>
        <w:t>loss</w:t>
      </w:r>
      <w:proofErr w:type="spellEnd"/>
      <w:r>
        <w:t xml:space="preserve"> </w:t>
      </w:r>
      <w:proofErr w:type="spellStart"/>
      <w:r>
        <w:t>provisioning</w:t>
      </w:r>
      <w:proofErr w:type="spellEnd"/>
      <w:r>
        <w:t xml:space="preserve">: </w:t>
      </w:r>
      <w:proofErr w:type="spellStart"/>
      <w:r>
        <w:t>the</w:t>
      </w:r>
      <w:proofErr w:type="spellEnd"/>
      <w:r>
        <w:t xml:space="preserve"> </w:t>
      </w:r>
      <w:proofErr w:type="spellStart"/>
      <w:r>
        <w:t>case</w:t>
      </w:r>
      <w:proofErr w:type="spellEnd"/>
      <w:r>
        <w:t xml:space="preserve"> </w:t>
      </w:r>
      <w:proofErr w:type="spellStart"/>
      <w:r>
        <w:t>of</w:t>
      </w:r>
      <w:proofErr w:type="spellEnd"/>
      <w:r>
        <w:t xml:space="preserve"> </w:t>
      </w:r>
      <w:proofErr w:type="spellStart"/>
      <w:r>
        <w:t>Asia</w:t>
      </w:r>
      <w:proofErr w:type="spellEnd"/>
      <w:r>
        <w:t xml:space="preserve">.–BIS </w:t>
      </w:r>
      <w:proofErr w:type="spellStart"/>
      <w:r>
        <w:t>Quarterly</w:t>
      </w:r>
      <w:proofErr w:type="spellEnd"/>
      <w:r>
        <w:t xml:space="preserve"> </w:t>
      </w:r>
      <w:proofErr w:type="spellStart"/>
      <w:r>
        <w:t>Review</w:t>
      </w:r>
      <w:proofErr w:type="spellEnd"/>
      <w:r>
        <w:t xml:space="preserve">, </w:t>
      </w:r>
      <w:proofErr w:type="spellStart"/>
      <w:r>
        <w:t>December</w:t>
      </w:r>
      <w:proofErr w:type="spellEnd"/>
      <w:r>
        <w:t xml:space="preserve"> 2009. – p. 74.</w:t>
      </w:r>
    </w:p>
    <w:sectPr w:rsidR="00226BF0" w:rsidRPr="00226BF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2134B"/>
    <w:multiLevelType w:val="hybridMultilevel"/>
    <w:tmpl w:val="D3A29BFA"/>
    <w:lvl w:ilvl="0" w:tplc="0422000F">
      <w:start w:val="1"/>
      <w:numFmt w:val="decimal"/>
      <w:lvlText w:val="%1."/>
      <w:lvlJc w:val="left"/>
      <w:pPr>
        <w:ind w:left="1637"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3003219E"/>
    <w:multiLevelType w:val="multilevel"/>
    <w:tmpl w:val="B3F8CCC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3AFD4D4B"/>
    <w:multiLevelType w:val="hybridMultilevel"/>
    <w:tmpl w:val="0526DF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E67"/>
    <w:rsid w:val="00226BF0"/>
    <w:rsid w:val="002B45F2"/>
    <w:rsid w:val="003B272E"/>
    <w:rsid w:val="004A6E67"/>
    <w:rsid w:val="007C20FC"/>
    <w:rsid w:val="008924B3"/>
    <w:rsid w:val="00AD51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A427B"/>
  <w15:chartTrackingRefBased/>
  <w15:docId w15:val="{A12E01B4-8142-4454-8736-5EE0E1B89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6E67"/>
    <w:pPr>
      <w:spacing w:after="0" w:line="240" w:lineRule="auto"/>
      <w:jc w:val="center"/>
    </w:pPr>
    <w:rPr>
      <w:rFonts w:ascii="Times New Roman" w:eastAsia="Calibri" w:hAnsi="Times New Roman" w:cs="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A6E67"/>
    <w:pPr>
      <w:ind w:left="720"/>
      <w:contextualSpacing/>
    </w:pPr>
  </w:style>
  <w:style w:type="table" w:styleId="a4">
    <w:name w:val="Table Grid"/>
    <w:basedOn w:val="a1"/>
    <w:uiPriority w:val="39"/>
    <w:rsid w:val="004A6E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mesNewRoman1">
    <w:name w:val="Обычный + Times New Roman1"/>
    <w:aliases w:val="10 пт1,курсив Знак Знак"/>
    <w:uiPriority w:val="99"/>
    <w:locked/>
    <w:rsid w:val="004A6E67"/>
    <w:rPr>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mf.org/externa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4</Pages>
  <Words>5483</Words>
  <Characters>3126</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2019-05-29T16:04:00Z</dcterms:created>
  <dcterms:modified xsi:type="dcterms:W3CDTF">2019-05-29T17:08:00Z</dcterms:modified>
</cp:coreProperties>
</file>