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9141B" w14:textId="74D5EEC4" w:rsidR="00A81676" w:rsidRPr="00A81676" w:rsidRDefault="00A81676" w:rsidP="00A81676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A81676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001369">
        <w:rPr>
          <w:rFonts w:ascii="Times New Roman" w:hAnsi="Times New Roman" w:cs="Times New Roman"/>
          <w:b/>
          <w:bCs/>
          <w:sz w:val="24"/>
          <w:szCs w:val="24"/>
        </w:rPr>
        <w:t>376</w:t>
      </w:r>
    </w:p>
    <w:p w14:paraId="7F97D022" w14:textId="04690C24" w:rsidR="00A81676" w:rsidRPr="00A81676" w:rsidRDefault="00A81676" w:rsidP="00A81676">
      <w:pPr>
        <w:autoSpaceDE w:val="0"/>
        <w:autoSpaceDN w:val="0"/>
        <w:adjustRightInd w:val="0"/>
        <w:spacing w:after="0" w:line="360" w:lineRule="auto"/>
        <w:ind w:firstLine="7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81676">
        <w:rPr>
          <w:rFonts w:ascii="Times New Roman" w:hAnsi="Times New Roman" w:cs="Times New Roman"/>
          <w:b/>
          <w:bCs/>
          <w:sz w:val="24"/>
          <w:szCs w:val="24"/>
        </w:rPr>
        <w:t>КРАВЧИНА Т.В.</w:t>
      </w:r>
    </w:p>
    <w:p w14:paraId="5EC93650" w14:textId="4D036618" w:rsidR="00A81676" w:rsidRDefault="00A81676" w:rsidP="00A81676">
      <w:pPr>
        <w:autoSpaceDE w:val="0"/>
        <w:autoSpaceDN w:val="0"/>
        <w:adjustRightInd w:val="0"/>
        <w:spacing w:after="0" w:line="360" w:lineRule="auto"/>
        <w:ind w:firstLine="720"/>
        <w:jc w:val="right"/>
        <w:rPr>
          <w:rFonts w:ascii="Times New Roman" w:hAnsi="Times New Roman" w:cs="Times New Roman"/>
          <w:sz w:val="16"/>
          <w:szCs w:val="16"/>
        </w:rPr>
      </w:pPr>
      <w:r w:rsidRPr="00A81676">
        <w:rPr>
          <w:rFonts w:ascii="Times New Roman" w:hAnsi="Times New Roman" w:cs="Times New Roman"/>
          <w:sz w:val="16"/>
          <w:szCs w:val="16"/>
        </w:rPr>
        <w:t>Хмельницький національний університет</w:t>
      </w:r>
    </w:p>
    <w:p w14:paraId="16707638" w14:textId="77777777" w:rsidR="00A81676" w:rsidRPr="00A81676" w:rsidRDefault="00A81676" w:rsidP="00A81676">
      <w:pPr>
        <w:autoSpaceDE w:val="0"/>
        <w:autoSpaceDN w:val="0"/>
        <w:adjustRightInd w:val="0"/>
        <w:spacing w:after="0" w:line="360" w:lineRule="auto"/>
        <w:ind w:firstLine="720"/>
        <w:jc w:val="right"/>
        <w:rPr>
          <w:rFonts w:ascii="Times New Roman" w:hAnsi="Times New Roman" w:cs="Times New Roman"/>
          <w:sz w:val="16"/>
          <w:szCs w:val="16"/>
        </w:rPr>
      </w:pPr>
    </w:p>
    <w:p w14:paraId="3534945C" w14:textId="73741177" w:rsidR="00FD252E" w:rsidRDefault="00A81676" w:rsidP="00A81676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81676">
        <w:rPr>
          <w:rFonts w:ascii="Times New Roman" w:hAnsi="Times New Roman" w:cs="Times New Roman"/>
          <w:b/>
          <w:bCs/>
          <w:sz w:val="24"/>
          <w:szCs w:val="24"/>
        </w:rPr>
        <w:t>ЦИФРОВА ТРАНСФОРМАЦІЯ ОСВІТИ</w:t>
      </w:r>
      <w:r w:rsidRPr="00A816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A81676">
        <w:rPr>
          <w:rFonts w:ascii="Times New Roman" w:hAnsi="Times New Roman" w:cs="Times New Roman"/>
          <w:b/>
          <w:bCs/>
          <w:sz w:val="24"/>
          <w:szCs w:val="24"/>
        </w:rPr>
        <w:t>ТА ПРОФЕСІЙНА РЕФЛЕКСІЯ</w:t>
      </w:r>
      <w:r w:rsidRPr="00A81676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A81676">
        <w:rPr>
          <w:rFonts w:ascii="Times New Roman" w:hAnsi="Times New Roman" w:cs="Times New Roman"/>
          <w:b/>
          <w:bCs/>
          <w:sz w:val="24"/>
          <w:szCs w:val="24"/>
        </w:rPr>
        <w:t>ПЕДАГОГІВ</w:t>
      </w:r>
    </w:p>
    <w:p w14:paraId="46CEFB3D" w14:textId="77777777" w:rsidR="00A81676" w:rsidRPr="00A81676" w:rsidRDefault="00A81676" w:rsidP="00A81676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5AA5FB3" w14:textId="77777777" w:rsidR="00250701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 xml:space="preserve">Цифрова освіта та її трансформація є ключовими викликами сучасної освіти. Більше того, їхня актуальність підтверджена практикою та сучасними умовами. Ці процеси вимагають від педагога не лише нових IT-компетенцій, а й уміння </w:t>
      </w:r>
      <w:proofErr w:type="spellStart"/>
      <w:r w:rsidRPr="00001369">
        <w:rPr>
          <w:rFonts w:ascii="Times New Roman" w:hAnsi="Times New Roman" w:cs="Times New Roman"/>
          <w:sz w:val="20"/>
          <w:szCs w:val="20"/>
        </w:rPr>
        <w:t>оперативно</w:t>
      </w:r>
      <w:proofErr w:type="spellEnd"/>
      <w:r w:rsidRPr="00001369">
        <w:rPr>
          <w:rFonts w:ascii="Times New Roman" w:hAnsi="Times New Roman" w:cs="Times New Roman"/>
          <w:sz w:val="20"/>
          <w:szCs w:val="20"/>
        </w:rPr>
        <w:t xml:space="preserve">, мобільно та творчо застосовувати їх на практиці. І тому, під час здійснення професійної діяльності, учасникам освітніх відносин слід виходити з таких положень: а) основою навчання та виховання є психолого-педагогічні закономірності діяльності педагога та учнів; б) перехід від інформації, що циркулює в системі навчання, до самостійних практичних дій і вчинків, до системи практичних дій – є класичною проблемою застосування знань на практиці, а психологічною мовою – перехід від думки до дії; в) при зростаючому рівні </w:t>
      </w:r>
      <w:proofErr w:type="spellStart"/>
      <w:r w:rsidRPr="00001369">
        <w:rPr>
          <w:rFonts w:ascii="Times New Roman" w:hAnsi="Times New Roman" w:cs="Times New Roman"/>
          <w:sz w:val="20"/>
          <w:szCs w:val="20"/>
        </w:rPr>
        <w:t>цифровізації</w:t>
      </w:r>
      <w:proofErr w:type="spellEnd"/>
      <w:r w:rsidRPr="00001369">
        <w:rPr>
          <w:rFonts w:ascii="Times New Roman" w:hAnsi="Times New Roman" w:cs="Times New Roman"/>
          <w:sz w:val="20"/>
          <w:szCs w:val="20"/>
        </w:rPr>
        <w:t xml:space="preserve"> суспільства та системи освіти від людини потрібно не володіння необхідними для життя та професійної діяльності знаннями, а отримання доступу до комп'ютерної системи, де є необхідна інформація.</w:t>
      </w:r>
    </w:p>
    <w:p w14:paraId="77E36196" w14:textId="16D00707" w:rsidR="00FD252E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Інший приклад: водії, які постійно користуються навігатором під час руху вулицями великого міста, втрачають здатність орієнтування у просторі. Усе це призводить до деградації функції пам'яті людини, сприйняття, уяви, ще чогось.</w:t>
      </w:r>
    </w:p>
    <w:p w14:paraId="6923A7CF" w14:textId="0AB09929" w:rsidR="00FD252E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 xml:space="preserve">Важливо наступне, що за наявності описаних проблем та ризиків цифрової освіти, суспільство не має вибору – </w:t>
      </w:r>
      <w:proofErr w:type="spellStart"/>
      <w:r w:rsidRPr="00001369">
        <w:rPr>
          <w:rFonts w:ascii="Times New Roman" w:hAnsi="Times New Roman" w:cs="Times New Roman"/>
          <w:sz w:val="20"/>
          <w:szCs w:val="20"/>
        </w:rPr>
        <w:t>цифровізація</w:t>
      </w:r>
      <w:proofErr w:type="spellEnd"/>
      <w:r w:rsidRPr="00001369">
        <w:rPr>
          <w:rFonts w:ascii="Times New Roman" w:hAnsi="Times New Roman" w:cs="Times New Roman"/>
          <w:sz w:val="20"/>
          <w:szCs w:val="20"/>
        </w:rPr>
        <w:t xml:space="preserve"> освіти це об'єктивний факт. Цифрове середовище вже формується, і в цьому середовищі педагогічним працівникам доведеться </w:t>
      </w:r>
      <w:r w:rsidR="00250701" w:rsidRPr="00001369">
        <w:rPr>
          <w:rFonts w:ascii="Times New Roman" w:hAnsi="Times New Roman" w:cs="Times New Roman"/>
          <w:sz w:val="20"/>
          <w:szCs w:val="20"/>
        </w:rPr>
        <w:t>здійснювати</w:t>
      </w:r>
      <w:r w:rsidRPr="00001369">
        <w:rPr>
          <w:rFonts w:ascii="Times New Roman" w:hAnsi="Times New Roman" w:cs="Times New Roman"/>
          <w:sz w:val="20"/>
          <w:szCs w:val="20"/>
        </w:rPr>
        <w:t xml:space="preserve"> свою професійну діяльність. І ця реальність дозволяє вивести деякі міркування щодо подальшого шляху розвитку цифрової освіти:</w:t>
      </w:r>
    </w:p>
    <w:p w14:paraId="17E994D5" w14:textId="77777777" w:rsidR="00FD252E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– необхідне проведення фундаментальних та прикладних досліджень, спрямованих на розкриття психолого-педагогічних, педагогічних та інших закономірностей загального та професійного розвитку дітей, підлітків та студентів – представників «цифрового покоління»;</w:t>
      </w:r>
    </w:p>
    <w:p w14:paraId="37914EA0" w14:textId="11BF6155" w:rsidR="00250701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 xml:space="preserve">– головним напрямом досліджень мають </w:t>
      </w:r>
      <w:r w:rsidR="00250701" w:rsidRPr="00001369">
        <w:rPr>
          <w:rFonts w:ascii="Times New Roman" w:hAnsi="Times New Roman" w:cs="Times New Roman"/>
          <w:sz w:val="20"/>
          <w:szCs w:val="20"/>
        </w:rPr>
        <w:t>стати</w:t>
      </w:r>
      <w:r w:rsidRPr="00001369">
        <w:rPr>
          <w:rFonts w:ascii="Times New Roman" w:hAnsi="Times New Roman" w:cs="Times New Roman"/>
          <w:sz w:val="20"/>
          <w:szCs w:val="20"/>
        </w:rPr>
        <w:t xml:space="preserve"> не стільки закономірності переробки людиною інформації та механізми роботи мозку в сформованих соціокультурних умовах</w:t>
      </w:r>
      <w:r w:rsidR="00250701" w:rsidRPr="00001369">
        <w:rPr>
          <w:rFonts w:ascii="Times New Roman" w:hAnsi="Times New Roman" w:cs="Times New Roman"/>
          <w:sz w:val="20"/>
          <w:szCs w:val="20"/>
        </w:rPr>
        <w:t xml:space="preserve"> (</w:t>
      </w:r>
      <w:r w:rsidRPr="00001369">
        <w:rPr>
          <w:rFonts w:ascii="Times New Roman" w:hAnsi="Times New Roman" w:cs="Times New Roman"/>
          <w:sz w:val="20"/>
          <w:szCs w:val="20"/>
        </w:rPr>
        <w:t>чим займаються і мають займатися когнітивні науки</w:t>
      </w:r>
      <w:r w:rsidR="00250701" w:rsidRPr="00001369">
        <w:rPr>
          <w:rFonts w:ascii="Times New Roman" w:hAnsi="Times New Roman" w:cs="Times New Roman"/>
          <w:sz w:val="20"/>
          <w:szCs w:val="20"/>
        </w:rPr>
        <w:t>)</w:t>
      </w:r>
      <w:r w:rsidRPr="00001369">
        <w:rPr>
          <w:rFonts w:ascii="Times New Roman" w:hAnsi="Times New Roman" w:cs="Times New Roman"/>
          <w:sz w:val="20"/>
          <w:szCs w:val="20"/>
        </w:rPr>
        <w:t>, а закономірності особистісного розвитку людини в системі безперервної освіти, починаючи з моменту її появи на світ; органічне місце у цих дослідженнях мають зайняти проблеми виховання;</w:t>
      </w:r>
    </w:p>
    <w:p w14:paraId="3C02D822" w14:textId="44A8F829" w:rsidR="00A16E61" w:rsidRPr="00001369" w:rsidRDefault="007E0E97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 xml:space="preserve">– </w:t>
      </w:r>
      <w:r w:rsidR="00A16E61" w:rsidRPr="00001369">
        <w:rPr>
          <w:rFonts w:ascii="Times New Roman" w:hAnsi="Times New Roman" w:cs="Times New Roman"/>
          <w:sz w:val="20"/>
          <w:szCs w:val="20"/>
        </w:rPr>
        <w:t>стають дедалі актуальнішими дослідження, створені задля виявлення механізмів впливу різноманітних контекстів на смисл інформації, що сприймається учнями;</w:t>
      </w:r>
    </w:p>
    <w:p w14:paraId="1E2B6E04" w14:textId="047A4CD6" w:rsidR="00EB6101" w:rsidRPr="00001369" w:rsidRDefault="00A16E61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– необхідне серйозне підвищення кваліфікації педагогічних працівників, і навіть батьків, відповідне науково-методичне забезпечення діяльності педагога на всіх рівнях системи безперервної освіти</w:t>
      </w:r>
      <w:r w:rsidR="004E07CB">
        <w:rPr>
          <w:rFonts w:ascii="Times New Roman" w:hAnsi="Times New Roman" w:cs="Times New Roman"/>
          <w:sz w:val="20"/>
          <w:szCs w:val="20"/>
        </w:rPr>
        <w:t xml:space="preserve"> </w:t>
      </w:r>
      <w:r w:rsidR="004E07CB" w:rsidRPr="004E07CB">
        <w:rPr>
          <w:rFonts w:ascii="Times New Roman" w:hAnsi="Times New Roman" w:cs="Times New Roman"/>
          <w:sz w:val="20"/>
          <w:szCs w:val="20"/>
        </w:rPr>
        <w:t>[1]</w:t>
      </w:r>
      <w:r w:rsidRPr="00001369">
        <w:rPr>
          <w:rFonts w:ascii="Times New Roman" w:hAnsi="Times New Roman" w:cs="Times New Roman"/>
          <w:sz w:val="20"/>
          <w:szCs w:val="20"/>
        </w:rPr>
        <w:t>.</w:t>
      </w:r>
    </w:p>
    <w:p w14:paraId="2FF409AB" w14:textId="5B27BA85" w:rsidR="00FD252E" w:rsidRPr="00001369" w:rsidRDefault="00EB6101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В умовах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цифрової трансформації освіти закономірне питання, наскільки рефлексивні практики, використані у традиційному форматі освіти, ефективні за умов змішаного навчання чи повного навчання. Розглянемо докладніше кожну їх.</w:t>
      </w:r>
    </w:p>
    <w:p w14:paraId="19A2CA32" w14:textId="77777777" w:rsidR="00FD252E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lastRenderedPageBreak/>
        <w:t>Практика розвитку рефлексивних здібностей вчителів містить досить великий набір методичних засобів, прийомів та форм навчання. Найбільш часто застосовуваними стимулами до виведення вчителя у рефлексивну позицію стосовно своєї професійної діяльності та себе як її суб'єкта є:</w:t>
      </w:r>
    </w:p>
    <w:p w14:paraId="1533949E" w14:textId="30C8CF4A" w:rsidR="00FD252E" w:rsidRPr="00001369" w:rsidRDefault="00EB6101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–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</w:t>
      </w:r>
      <w:r w:rsidRPr="00001369">
        <w:rPr>
          <w:rFonts w:ascii="Times New Roman" w:hAnsi="Times New Roman" w:cs="Times New Roman"/>
          <w:sz w:val="20"/>
          <w:szCs w:val="20"/>
        </w:rPr>
        <w:t>о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порні програми для ведення спостереження за своїми діями (або діями своїх колег) у </w:t>
      </w:r>
      <w:proofErr w:type="spellStart"/>
      <w:r w:rsidR="00FD252E" w:rsidRPr="00001369">
        <w:rPr>
          <w:rFonts w:ascii="Times New Roman" w:hAnsi="Times New Roman" w:cs="Times New Roman"/>
          <w:sz w:val="20"/>
          <w:szCs w:val="20"/>
        </w:rPr>
        <w:t>професійно</w:t>
      </w:r>
      <w:proofErr w:type="spellEnd"/>
      <w:r w:rsidR="00FD252E" w:rsidRPr="00001369">
        <w:rPr>
          <w:rFonts w:ascii="Times New Roman" w:hAnsi="Times New Roman" w:cs="Times New Roman"/>
          <w:sz w:val="20"/>
          <w:szCs w:val="20"/>
        </w:rPr>
        <w:t xml:space="preserve"> значущих ситуаціях з подальшим аналізом отриманих результатів;</w:t>
      </w:r>
    </w:p>
    <w:p w14:paraId="76D92A91" w14:textId="158163E3" w:rsidR="00FD252E" w:rsidRPr="00001369" w:rsidRDefault="00EB6101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–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ведення щоденникових записів, що фіксують події професійного життя</w:t>
      </w:r>
      <w:r w:rsidRPr="00001369">
        <w:rPr>
          <w:rFonts w:ascii="Times New Roman" w:hAnsi="Times New Roman" w:cs="Times New Roman"/>
          <w:sz w:val="20"/>
          <w:szCs w:val="20"/>
        </w:rPr>
        <w:t xml:space="preserve"> і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стають предметом подальшого аналізу та осмислення;</w:t>
      </w:r>
    </w:p>
    <w:p w14:paraId="16935098" w14:textId="3242EB3B" w:rsidR="00FD252E" w:rsidRPr="00001369" w:rsidRDefault="00FD252E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Hlk115771836"/>
      <w:r w:rsidRPr="00001369">
        <w:rPr>
          <w:rFonts w:ascii="Times New Roman" w:hAnsi="Times New Roman" w:cs="Times New Roman"/>
          <w:sz w:val="20"/>
          <w:szCs w:val="20"/>
        </w:rPr>
        <w:t>–</w:t>
      </w:r>
      <w:bookmarkEnd w:id="0"/>
      <w:r w:rsidRPr="00001369">
        <w:rPr>
          <w:rFonts w:ascii="Times New Roman" w:hAnsi="Times New Roman" w:cs="Times New Roman"/>
          <w:sz w:val="20"/>
          <w:szCs w:val="20"/>
        </w:rPr>
        <w:t xml:space="preserve"> відеозапис проведення вчителем уроку з наступним</w:t>
      </w:r>
      <w:r w:rsidR="00EB6101" w:rsidRPr="00001369">
        <w:rPr>
          <w:rFonts w:ascii="Times New Roman" w:hAnsi="Times New Roman" w:cs="Times New Roman"/>
          <w:sz w:val="20"/>
          <w:szCs w:val="20"/>
        </w:rPr>
        <w:t xml:space="preserve"> </w:t>
      </w:r>
      <w:r w:rsidRPr="00001369">
        <w:rPr>
          <w:rFonts w:ascii="Times New Roman" w:hAnsi="Times New Roman" w:cs="Times New Roman"/>
          <w:sz w:val="20"/>
          <w:szCs w:val="20"/>
        </w:rPr>
        <w:t>аналізом (або самоаналізом) та обговоренням;</w:t>
      </w:r>
    </w:p>
    <w:p w14:paraId="2C878321" w14:textId="7A01B4C4" w:rsidR="00FD252E" w:rsidRPr="00001369" w:rsidRDefault="00EB6101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bookmarkStart w:id="1" w:name="_Hlk115771997"/>
      <w:r w:rsidRPr="00001369">
        <w:rPr>
          <w:rFonts w:ascii="Times New Roman" w:hAnsi="Times New Roman" w:cs="Times New Roman"/>
          <w:sz w:val="20"/>
          <w:szCs w:val="20"/>
        </w:rPr>
        <w:t>–</w:t>
      </w:r>
      <w:bookmarkEnd w:id="1"/>
      <w:r w:rsidR="00FD252E" w:rsidRPr="00001369">
        <w:rPr>
          <w:rFonts w:ascii="Times New Roman" w:hAnsi="Times New Roman" w:cs="Times New Roman"/>
          <w:sz w:val="20"/>
          <w:szCs w:val="20"/>
        </w:rPr>
        <w:t xml:space="preserve"> </w:t>
      </w:r>
      <w:r w:rsidRPr="00001369">
        <w:rPr>
          <w:rFonts w:ascii="Times New Roman" w:hAnsi="Times New Roman" w:cs="Times New Roman"/>
          <w:sz w:val="20"/>
          <w:szCs w:val="20"/>
        </w:rPr>
        <w:t>р</w:t>
      </w:r>
      <w:r w:rsidR="00FD252E" w:rsidRPr="00001369">
        <w:rPr>
          <w:rFonts w:ascii="Times New Roman" w:hAnsi="Times New Roman" w:cs="Times New Roman"/>
          <w:sz w:val="20"/>
          <w:szCs w:val="20"/>
        </w:rPr>
        <w:t>ізноманітні ігрові прийоми (організаційно-діяльні ігри, імітаційні ігри та ін</w:t>
      </w:r>
      <w:r w:rsidRPr="00001369">
        <w:rPr>
          <w:rFonts w:ascii="Times New Roman" w:hAnsi="Times New Roman" w:cs="Times New Roman"/>
          <w:sz w:val="20"/>
          <w:szCs w:val="20"/>
        </w:rPr>
        <w:t>.</w:t>
      </w:r>
      <w:r w:rsidR="00FD252E" w:rsidRPr="00001369">
        <w:rPr>
          <w:rFonts w:ascii="Times New Roman" w:hAnsi="Times New Roman" w:cs="Times New Roman"/>
          <w:sz w:val="20"/>
          <w:szCs w:val="20"/>
        </w:rPr>
        <w:t>), засновані на прийнятті учасниками на себе певної ролі у вирішенні проблемної ситуації</w:t>
      </w:r>
      <w:r w:rsidRPr="00001369">
        <w:rPr>
          <w:rFonts w:ascii="Times New Roman" w:hAnsi="Times New Roman" w:cs="Times New Roman"/>
          <w:sz w:val="20"/>
          <w:szCs w:val="20"/>
        </w:rPr>
        <w:t>, що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</w:t>
      </w:r>
      <w:r w:rsidRPr="00001369">
        <w:rPr>
          <w:rFonts w:ascii="Times New Roman" w:hAnsi="Times New Roman" w:cs="Times New Roman"/>
          <w:sz w:val="20"/>
          <w:szCs w:val="20"/>
        </w:rPr>
        <w:t xml:space="preserve">моделюється </w:t>
      </w:r>
      <w:r w:rsidR="00FD252E" w:rsidRPr="00001369">
        <w:rPr>
          <w:rFonts w:ascii="Times New Roman" w:hAnsi="Times New Roman" w:cs="Times New Roman"/>
          <w:sz w:val="20"/>
          <w:szCs w:val="20"/>
        </w:rPr>
        <w:t>та груповому аналізі;</w:t>
      </w:r>
    </w:p>
    <w:p w14:paraId="65BE4D65" w14:textId="7B4BF2BE" w:rsidR="00FD252E" w:rsidRPr="00001369" w:rsidRDefault="004E07CB" w:rsidP="00A8167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–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кейс-метод (від англійського </w:t>
      </w:r>
      <w:proofErr w:type="spellStart"/>
      <w:r w:rsidR="00FD252E" w:rsidRPr="00001369">
        <w:rPr>
          <w:rFonts w:ascii="Times New Roman" w:hAnsi="Times New Roman" w:cs="Times New Roman"/>
          <w:sz w:val="20"/>
          <w:szCs w:val="20"/>
        </w:rPr>
        <w:t>case</w:t>
      </w:r>
      <w:proofErr w:type="spellEnd"/>
      <w:r w:rsidR="00FD252E" w:rsidRPr="00001369">
        <w:rPr>
          <w:rFonts w:ascii="Times New Roman" w:hAnsi="Times New Roman" w:cs="Times New Roman"/>
          <w:sz w:val="20"/>
          <w:szCs w:val="20"/>
        </w:rPr>
        <w:t xml:space="preserve"> </w:t>
      </w:r>
      <w:r w:rsidR="00EB6101" w:rsidRPr="00001369">
        <w:rPr>
          <w:rFonts w:ascii="Times New Roman" w:hAnsi="Times New Roman" w:cs="Times New Roman"/>
          <w:sz w:val="20"/>
          <w:szCs w:val="20"/>
        </w:rPr>
        <w:t>–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випадок, ситуація, справа) </w:t>
      </w:r>
      <w:r w:rsidR="00EB6101" w:rsidRPr="00001369">
        <w:rPr>
          <w:rFonts w:ascii="Times New Roman" w:hAnsi="Times New Roman" w:cs="Times New Roman"/>
          <w:sz w:val="20"/>
          <w:szCs w:val="20"/>
        </w:rPr>
        <w:t>–</w:t>
      </w:r>
      <w:r w:rsidR="00FD252E" w:rsidRPr="00001369">
        <w:rPr>
          <w:rFonts w:ascii="Times New Roman" w:hAnsi="Times New Roman" w:cs="Times New Roman"/>
          <w:sz w:val="20"/>
          <w:szCs w:val="20"/>
        </w:rPr>
        <w:t xml:space="preserve"> один з популярних активних методів навчання, що є діловою грою в мініатюрі (кейс-метод заснований, зазвичай, на реальній події з професійного життя педагогів і передбачає активний пошук рішення запропонованої проблеми з подальшим обговоренням процесу та результату спільних дій усіх учасників)</w:t>
      </w:r>
      <w:r w:rsidRPr="004E07CB">
        <w:rPr>
          <w:rFonts w:ascii="Times New Roman" w:hAnsi="Times New Roman" w:cs="Times New Roman"/>
          <w:sz w:val="20"/>
          <w:szCs w:val="20"/>
        </w:rPr>
        <w:t xml:space="preserve"> [2]</w:t>
      </w:r>
      <w:r w:rsidR="00FD252E" w:rsidRPr="00001369">
        <w:rPr>
          <w:rFonts w:ascii="Times New Roman" w:hAnsi="Times New Roman" w:cs="Times New Roman"/>
          <w:sz w:val="20"/>
          <w:szCs w:val="20"/>
        </w:rPr>
        <w:t>.</w:t>
      </w:r>
    </w:p>
    <w:p w14:paraId="0E31E61F" w14:textId="0ECD6880" w:rsidR="00FD252E" w:rsidRDefault="00FD252E" w:rsidP="004E07C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01369">
        <w:rPr>
          <w:rFonts w:ascii="Times New Roman" w:hAnsi="Times New Roman" w:cs="Times New Roman"/>
          <w:sz w:val="20"/>
          <w:szCs w:val="20"/>
        </w:rPr>
        <w:t>Незалежно від виду та формату, перелічені методичні прийоми рефлексивних практик націлені на розвиток здатності вчителів до рефлексивної децентрації (уміння бачити себе з боку), формування установки до активного аналізу своїх дій, осмислення свого професійного «я».</w:t>
      </w:r>
    </w:p>
    <w:p w14:paraId="792EAD32" w14:textId="77777777" w:rsidR="004E07CB" w:rsidRPr="00001369" w:rsidRDefault="004E07CB" w:rsidP="004E07C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64959364" w14:textId="7CA4603F" w:rsidR="00A81676" w:rsidRPr="00645823" w:rsidRDefault="00A81676" w:rsidP="004E07CB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645823">
        <w:rPr>
          <w:rFonts w:ascii="Times New Roman" w:hAnsi="Times New Roman" w:cs="Times New Roman"/>
          <w:b/>
          <w:bCs/>
          <w:sz w:val="20"/>
          <w:szCs w:val="20"/>
        </w:rPr>
        <w:t>Список літератури</w:t>
      </w:r>
      <w:r w:rsidRPr="00645823">
        <w:rPr>
          <w:rFonts w:ascii="Times New Roman" w:hAnsi="Times New Roman" w:cs="Times New Roman"/>
          <w:b/>
          <w:bCs/>
          <w:sz w:val="20"/>
          <w:szCs w:val="20"/>
          <w:lang w:val="ru-RU"/>
        </w:rPr>
        <w:t>:</w:t>
      </w:r>
    </w:p>
    <w:p w14:paraId="490D525D" w14:textId="7388A2E3" w:rsidR="00A81676" w:rsidRPr="004E07CB" w:rsidRDefault="00001369" w:rsidP="004E07C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0"/>
          <w:szCs w:val="20"/>
        </w:rPr>
      </w:pPr>
      <w:r w:rsidRPr="004E07CB">
        <w:rPr>
          <w:rFonts w:ascii="Times New Roman" w:hAnsi="Times New Roman" w:cs="Times New Roman"/>
          <w:sz w:val="20"/>
          <w:szCs w:val="20"/>
        </w:rPr>
        <w:t>Грядуща В.В., Шевченко М.П. Використання цифрових технологій при управлінні закладом дошкільної освіти. Інноваційна педагогіка. № 21. Т.3. 2020. С. 164-168.</w:t>
      </w:r>
    </w:p>
    <w:p w14:paraId="41FCA143" w14:textId="0F7306EF" w:rsidR="004E07CB" w:rsidRPr="004E07CB" w:rsidRDefault="004E07CB" w:rsidP="004E07C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Манойленко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Н. В., Кононенко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С. О., Крамаренко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Н. М. </w:t>
      </w: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Ц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ифровізація</w:t>
      </w:r>
      <w:proofErr w:type="spellEnd"/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освітнього процесу в умовах дистанційного навчання в закладах вищої освіти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. </w:t>
      </w:r>
      <w:r w:rsidRPr="004E07CB">
        <w:rPr>
          <w:rFonts w:ascii="Times New Roman" w:hAnsi="Times New Roman" w:cs="Times New Roman"/>
          <w:i/>
          <w:iCs/>
          <w:sz w:val="20"/>
          <w:szCs w:val="20"/>
          <w:shd w:val="clear" w:color="auto" w:fill="FFFFFF"/>
        </w:rPr>
        <w:t>Наукові записки. Серія: Педагогічні науки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2021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№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201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С.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108-112. 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4E07CB">
        <w:rPr>
          <w:rFonts w:ascii="Times New Roman" w:hAnsi="Times New Roman" w:cs="Times New Roman"/>
          <w:sz w:val="20"/>
          <w:szCs w:val="20"/>
          <w:shd w:val="clear" w:color="auto" w:fill="FFFFFF"/>
        </w:rPr>
        <w:t>https://doi.org/10.36550/2415-7988-2021-1-201-108-112</w:t>
      </w:r>
    </w:p>
    <w:p w14:paraId="510D34F1" w14:textId="77777777" w:rsidR="00001369" w:rsidRPr="004E07CB" w:rsidRDefault="00001369" w:rsidP="004E07C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32"/>
          <w:szCs w:val="32"/>
          <w:lang w:val="ru-RU"/>
        </w:rPr>
      </w:pPr>
    </w:p>
    <w:p w14:paraId="67310FDB" w14:textId="1407814F" w:rsidR="00272699" w:rsidRDefault="00272699" w:rsidP="00A81676">
      <w:pPr>
        <w:spacing w:line="360" w:lineRule="auto"/>
        <w:ind w:firstLine="720"/>
        <w:jc w:val="both"/>
      </w:pPr>
    </w:p>
    <w:sectPr w:rsidR="00272699" w:rsidSect="00A81676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DD69E7"/>
    <w:multiLevelType w:val="hybridMultilevel"/>
    <w:tmpl w:val="1E3EA0F2"/>
    <w:lvl w:ilvl="0" w:tplc="74C2B1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10983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555"/>
    <w:rsid w:val="00001369"/>
    <w:rsid w:val="00187308"/>
    <w:rsid w:val="00250701"/>
    <w:rsid w:val="00272699"/>
    <w:rsid w:val="00393555"/>
    <w:rsid w:val="004D3EC4"/>
    <w:rsid w:val="004E07CB"/>
    <w:rsid w:val="00611628"/>
    <w:rsid w:val="00645823"/>
    <w:rsid w:val="007E0E97"/>
    <w:rsid w:val="00A16E61"/>
    <w:rsid w:val="00A81676"/>
    <w:rsid w:val="00A94155"/>
    <w:rsid w:val="00AC4DA1"/>
    <w:rsid w:val="00EB6101"/>
    <w:rsid w:val="00FD2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C7612"/>
  <w15:chartTrackingRefBased/>
  <w15:docId w15:val="{360E9A0D-4108-4817-A9C2-62464DD05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E07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3098</Words>
  <Characters>1767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Kravchyna</dc:creator>
  <cp:keywords/>
  <dc:description/>
  <cp:lastModifiedBy>Tanya Kravchyna</cp:lastModifiedBy>
  <cp:revision>7</cp:revision>
  <dcterms:created xsi:type="dcterms:W3CDTF">2022-10-04T06:51:00Z</dcterms:created>
  <dcterms:modified xsi:type="dcterms:W3CDTF">2022-10-04T08:35:00Z</dcterms:modified>
</cp:coreProperties>
</file>