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D0848F" w14:textId="162967FF" w:rsidR="008B153E" w:rsidRDefault="008B153E" w:rsidP="008B153E">
      <w:pPr>
        <w:rPr>
          <w:b/>
          <w:highlight w:val="yellow"/>
        </w:rPr>
      </w:pPr>
      <w:r w:rsidRPr="008B153E">
        <w:rPr>
          <w:b/>
          <w:highlight w:val="yellow"/>
        </w:rPr>
        <w:t xml:space="preserve">Слайд 2 </w:t>
      </w:r>
      <w:proofErr w:type="spellStart"/>
      <w:r w:rsidRPr="008B153E">
        <w:rPr>
          <w:b/>
          <w:highlight w:val="yellow"/>
        </w:rPr>
        <w:t>Чит</w:t>
      </w:r>
      <w:proofErr w:type="spellEnd"/>
      <w:r w:rsidRPr="008B153E">
        <w:rPr>
          <w:b/>
          <w:highlight w:val="yellow"/>
        </w:rPr>
        <w:t xml:space="preserve"> після тексту на слайді</w:t>
      </w:r>
    </w:p>
    <w:p w14:paraId="4D876C1D" w14:textId="3C11BCBB" w:rsidR="008B153E" w:rsidRDefault="008B153E" w:rsidP="008B153E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</w:t>
      </w:r>
      <w:r w:rsidRPr="00E337C7">
        <w:rPr>
          <w:rFonts w:ascii="Times New Roman" w:hAnsi="Times New Roman" w:cs="Times New Roman"/>
          <w:sz w:val="28"/>
          <w:szCs w:val="28"/>
        </w:rPr>
        <w:t>кладність</w:t>
      </w:r>
      <w:r>
        <w:rPr>
          <w:rFonts w:ascii="Times New Roman" w:hAnsi="Times New Roman" w:cs="Times New Roman"/>
          <w:sz w:val="28"/>
          <w:szCs w:val="28"/>
        </w:rPr>
        <w:t xml:space="preserve"> полягає у тому, що</w:t>
      </w:r>
      <w:r w:rsidRPr="00E337C7">
        <w:rPr>
          <w:rFonts w:ascii="Times New Roman" w:hAnsi="Times New Roman" w:cs="Times New Roman"/>
          <w:sz w:val="28"/>
          <w:szCs w:val="28"/>
        </w:rPr>
        <w:t xml:space="preserve"> одне й те </w:t>
      </w:r>
      <w:r>
        <w:rPr>
          <w:rFonts w:ascii="Times New Roman" w:hAnsi="Times New Roman" w:cs="Times New Roman"/>
          <w:sz w:val="28"/>
          <w:szCs w:val="28"/>
        </w:rPr>
        <w:t>ж</w:t>
      </w:r>
      <w:r w:rsidRPr="00E337C7">
        <w:rPr>
          <w:rFonts w:ascii="Times New Roman" w:hAnsi="Times New Roman" w:cs="Times New Roman"/>
          <w:sz w:val="28"/>
          <w:szCs w:val="28"/>
        </w:rPr>
        <w:t xml:space="preserve"> граматичне явище залежно від конкретного лексичного вираження може</w:t>
      </w:r>
      <w:r>
        <w:rPr>
          <w:rFonts w:ascii="Times New Roman" w:hAnsi="Times New Roman" w:cs="Times New Roman"/>
          <w:sz w:val="28"/>
          <w:szCs w:val="28"/>
        </w:rPr>
        <w:t xml:space="preserve"> перекладатися різними засобами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822901" w14:textId="3AAAF174" w:rsidR="008B153E" w:rsidRPr="008B153E" w:rsidRDefault="008B153E" w:rsidP="008B153E">
      <w:pPr>
        <w:rPr>
          <w:b/>
        </w:rPr>
      </w:pPr>
      <w:r w:rsidRPr="008B153E">
        <w:rPr>
          <w:b/>
          <w:highlight w:val="yellow"/>
        </w:rPr>
        <w:t xml:space="preserve">Слайд 4 </w:t>
      </w:r>
      <w:proofErr w:type="spellStart"/>
      <w:r w:rsidRPr="008B153E">
        <w:rPr>
          <w:b/>
          <w:highlight w:val="yellow"/>
        </w:rPr>
        <w:t>чит</w:t>
      </w:r>
      <w:proofErr w:type="spellEnd"/>
      <w:r w:rsidRPr="008B153E">
        <w:rPr>
          <w:b/>
          <w:highlight w:val="yellow"/>
        </w:rPr>
        <w:t xml:space="preserve"> після нижнього прямокутника</w:t>
      </w:r>
    </w:p>
    <w:p w14:paraId="6D07FA0C" w14:textId="463DD22D" w:rsidR="008B153E" w:rsidRPr="00B61BC5" w:rsidRDefault="008B153E">
      <w:pPr>
        <w:rPr>
          <w:rStyle w:val="jsgrdq"/>
          <w:color w:val="000000"/>
          <w:sz w:val="28"/>
          <w:szCs w:val="28"/>
        </w:rPr>
      </w:pPr>
      <w:r w:rsidRPr="00B61BC5">
        <w:rPr>
          <w:rStyle w:val="jsgrdq"/>
          <w:color w:val="000000"/>
          <w:sz w:val="28"/>
          <w:szCs w:val="28"/>
        </w:rPr>
        <w:t>, які займались вивченням особливостей та проблем процесу перекладу в цілому та перекладу науково-технічної літератури зокрема.</w:t>
      </w:r>
    </w:p>
    <w:p w14:paraId="4CB4E0EA" w14:textId="3E22155E" w:rsidR="00BE5D0E" w:rsidRDefault="00143EA4">
      <w:pPr>
        <w:rPr>
          <w:rStyle w:val="jsgrdq"/>
          <w:color w:val="000000"/>
        </w:rPr>
      </w:pPr>
      <w:r w:rsidRPr="00143EA4">
        <w:rPr>
          <w:rStyle w:val="jsgrdq"/>
          <w:color w:val="000000"/>
          <w:highlight w:val="yellow"/>
        </w:rPr>
        <w:t>Читати перед 5 слайдом</w:t>
      </w:r>
    </w:p>
    <w:p w14:paraId="02E39014" w14:textId="0FF52651" w:rsidR="008B153E" w:rsidRDefault="00BE5D0E">
      <w:pPr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</w:rPr>
        <w:t>Особливістю</w:t>
      </w:r>
      <w:r w:rsidRPr="00E337C7">
        <w:rPr>
          <w:rFonts w:ascii="Times New Roman" w:hAnsi="Times New Roman" w:cs="Times New Roman"/>
          <w:sz w:val="28"/>
          <w:szCs w:val="28"/>
        </w:rPr>
        <w:t xml:space="preserve"> цієї літератури є те, що зазвичай матеріал викладено стисло і сухо. </w:t>
      </w:r>
      <w:r w:rsidRPr="00E337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Відмінність </w:t>
      </w:r>
      <w:proofErr w:type="spellStart"/>
      <w:r w:rsidRPr="00E337C7">
        <w:rPr>
          <w:rFonts w:ascii="Times New Roman" w:hAnsi="Times New Roman" w:cs="Times New Roman"/>
          <w:sz w:val="28"/>
          <w:szCs w:val="28"/>
          <w:shd w:val="clear" w:color="auto" w:fill="FFFFFF"/>
        </w:rPr>
        <w:t>терміна</w:t>
      </w:r>
      <w:proofErr w:type="spellEnd"/>
      <w:r w:rsidRPr="00E337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від звичайного слова залежить, перш за все, від його значення. Терміни виражають поняття науково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оброблені й</w:t>
      </w:r>
      <w:r w:rsidRPr="00E337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властиві лише конкретній галузі науки і техніки</w:t>
      </w:r>
    </w:p>
    <w:p w14:paraId="4ACBB7A1" w14:textId="5AA0FBA3" w:rsidR="00E97453" w:rsidRPr="00143EA4" w:rsidRDefault="00E97453">
      <w:pPr>
        <w:rPr>
          <w:b/>
        </w:rPr>
      </w:pPr>
      <w:r w:rsidRPr="00143EA4">
        <w:rPr>
          <w:b/>
          <w:highlight w:val="yellow"/>
        </w:rPr>
        <w:t xml:space="preserve">Слайд 5 </w:t>
      </w:r>
      <w:r w:rsidR="00143EA4" w:rsidRPr="00143EA4">
        <w:rPr>
          <w:b/>
          <w:highlight w:val="yellow"/>
        </w:rPr>
        <w:t>перед текстом на слайді читати</w:t>
      </w:r>
    </w:p>
    <w:p w14:paraId="6CE27454" w14:textId="14BC6883" w:rsidR="00143EA4" w:rsidRDefault="00143EA4">
      <w:pPr>
        <w:rPr>
          <w:rStyle w:val="jsgrdq"/>
          <w:color w:val="000000"/>
          <w:sz w:val="28"/>
          <w:szCs w:val="28"/>
        </w:rPr>
      </w:pPr>
      <w:r w:rsidRPr="00B61BC5">
        <w:rPr>
          <w:rStyle w:val="jsgrdq"/>
          <w:color w:val="000000"/>
          <w:sz w:val="28"/>
          <w:szCs w:val="28"/>
        </w:rPr>
        <w:t xml:space="preserve">Важливу роль при перекладі </w:t>
      </w:r>
      <w:r w:rsidRPr="00B61BC5">
        <w:rPr>
          <w:rStyle w:val="jsgrdq"/>
          <w:b/>
          <w:bCs/>
          <w:color w:val="000000"/>
          <w:sz w:val="28"/>
          <w:szCs w:val="28"/>
        </w:rPr>
        <w:t>складних термінів</w:t>
      </w:r>
      <w:r w:rsidRPr="00B61BC5">
        <w:rPr>
          <w:rStyle w:val="jsgrdq"/>
          <w:color w:val="000000"/>
          <w:sz w:val="28"/>
          <w:szCs w:val="28"/>
        </w:rPr>
        <w:t xml:space="preserve"> відіграє саме аналітичний етап – переклад окремих його компонентів.</w:t>
      </w:r>
      <w:r w:rsidRPr="00B61BC5">
        <w:rPr>
          <w:rStyle w:val="jsgrdq"/>
          <w:color w:val="000000"/>
          <w:sz w:val="28"/>
          <w:szCs w:val="28"/>
        </w:rPr>
        <w:t xml:space="preserve"> </w:t>
      </w:r>
    </w:p>
    <w:p w14:paraId="1B0225D6" w14:textId="47738DEB" w:rsidR="00B61BC5" w:rsidRDefault="00B61BC5">
      <w:pPr>
        <w:rPr>
          <w:sz w:val="28"/>
          <w:szCs w:val="28"/>
        </w:rPr>
      </w:pPr>
      <w:r w:rsidRPr="00B61BC5">
        <w:rPr>
          <w:sz w:val="28"/>
          <w:szCs w:val="28"/>
          <w:highlight w:val="yellow"/>
        </w:rPr>
        <w:t>Слайд 6 читати перед тексом на слайді</w:t>
      </w:r>
    </w:p>
    <w:p w14:paraId="7A4C3687" w14:textId="1394A3ED" w:rsidR="00F034CC" w:rsidRDefault="00B61BC5">
      <w:pPr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Важливо також пам</w:t>
      </w:r>
      <w:r w:rsidRPr="00262DE1">
        <w:rPr>
          <w:rFonts w:ascii="Times New Roman" w:hAnsi="Times New Roman" w:cs="Times New Roman"/>
          <w:color w:val="000000"/>
          <w:sz w:val="28"/>
          <w:szCs w:val="28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</w:rPr>
        <w:t>ятати,</w:t>
      </w:r>
      <w:r w:rsidRPr="00E337C7">
        <w:rPr>
          <w:rFonts w:ascii="Times New Roman" w:hAnsi="Times New Roman" w:cs="Times New Roman"/>
          <w:color w:val="000000"/>
          <w:sz w:val="28"/>
          <w:szCs w:val="28"/>
        </w:rPr>
        <w:t xml:space="preserve"> що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більшість слів, загально-</w:t>
      </w:r>
      <w:r w:rsidRPr="00E337C7">
        <w:rPr>
          <w:rFonts w:ascii="Times New Roman" w:hAnsi="Times New Roman" w:cs="Times New Roman"/>
          <w:color w:val="000000"/>
          <w:sz w:val="28"/>
          <w:szCs w:val="28"/>
        </w:rPr>
        <w:t>наукових і загально-</w:t>
      </w:r>
      <w:r>
        <w:rPr>
          <w:rFonts w:ascii="Times New Roman" w:hAnsi="Times New Roman" w:cs="Times New Roman"/>
          <w:color w:val="000000"/>
          <w:sz w:val="28"/>
          <w:szCs w:val="28"/>
        </w:rPr>
        <w:t>технічних термінів є полісемічними.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14:paraId="48617431" w14:textId="49C06E6C" w:rsidR="00F034CC" w:rsidRDefault="00F034CC">
      <w:pPr>
        <w:rPr>
          <w:rFonts w:ascii="Times New Roman" w:hAnsi="Times New Roman" w:cs="Times New Roman"/>
          <w:color w:val="000000"/>
          <w:sz w:val="28"/>
          <w:szCs w:val="28"/>
        </w:rPr>
      </w:pPr>
      <w:r w:rsidRPr="00F034CC">
        <w:rPr>
          <w:rFonts w:ascii="Times New Roman" w:hAnsi="Times New Roman" w:cs="Times New Roman"/>
          <w:color w:val="000000"/>
          <w:sz w:val="28"/>
          <w:szCs w:val="28"/>
          <w:highlight w:val="yellow"/>
        </w:rPr>
        <w:t>Читати після 6 слайду</w:t>
      </w:r>
      <w:bookmarkStart w:id="0" w:name="_GoBack"/>
      <w:bookmarkEnd w:id="0"/>
    </w:p>
    <w:p w14:paraId="5DD24CCA" w14:textId="67D8DA8A" w:rsidR="00E11749" w:rsidRPr="00B61BC5" w:rsidRDefault="00E11749">
      <w:pPr>
        <w:rPr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Це з</w:t>
      </w:r>
      <w:r w:rsidRPr="00E337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умовл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ено такими чинниками</w:t>
      </w:r>
      <w:r w:rsidRPr="00E337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  <w:r w:rsidRPr="00E337C7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E337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кількістю іменників у словосполученні;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E337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структурою обставинного складника і головного;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E337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різновидом семантичного зв’язку між складниками у безсполучниковому іменниковому сполученні (обст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авини місця, часу тощо</w:t>
      </w:r>
      <w:r w:rsidRPr="00E337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);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</w:t>
      </w:r>
      <w:r w:rsidRPr="00E337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аявністю прикметника, дієприкметника, присвійного займенника,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кількісного числівника</w:t>
      </w:r>
    </w:p>
    <w:sectPr w:rsidR="00E11749" w:rsidRPr="00B61BC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252"/>
    <w:rsid w:val="000A1644"/>
    <w:rsid w:val="00143EA4"/>
    <w:rsid w:val="00153A67"/>
    <w:rsid w:val="00280252"/>
    <w:rsid w:val="008B153E"/>
    <w:rsid w:val="00B61BC5"/>
    <w:rsid w:val="00BE5D0E"/>
    <w:rsid w:val="00E11749"/>
    <w:rsid w:val="00E97453"/>
    <w:rsid w:val="00F034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1C4296"/>
  <w15:chartTrackingRefBased/>
  <w15:docId w15:val="{D446EE1B-C29D-4D80-8948-C0AFF53C8A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jsgrdq">
    <w:name w:val="jsgrdq"/>
    <w:basedOn w:val="a0"/>
    <w:rsid w:val="008B15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810</Words>
  <Characters>462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5</cp:revision>
  <dcterms:created xsi:type="dcterms:W3CDTF">2022-04-16T17:26:00Z</dcterms:created>
  <dcterms:modified xsi:type="dcterms:W3CDTF">2022-04-16T18:36:00Z</dcterms:modified>
</cp:coreProperties>
</file>