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151E" w:rsidRDefault="008160DB" w:rsidP="008160DB">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Секція 2</w:t>
      </w:r>
    </w:p>
    <w:p w:rsidR="008160DB" w:rsidRDefault="008160DB" w:rsidP="008160DB">
      <w:pPr>
        <w:spacing w:after="0" w:line="360" w:lineRule="auto"/>
        <w:ind w:firstLine="709"/>
        <w:jc w:val="right"/>
        <w:rPr>
          <w:rFonts w:ascii="Times New Roman" w:hAnsi="Times New Roman" w:cs="Times New Roman"/>
          <w:b/>
          <w:i/>
          <w:sz w:val="28"/>
          <w:szCs w:val="28"/>
        </w:rPr>
      </w:pPr>
      <w:r>
        <w:rPr>
          <w:rFonts w:ascii="Times New Roman" w:hAnsi="Times New Roman" w:cs="Times New Roman"/>
          <w:b/>
          <w:i/>
          <w:sz w:val="28"/>
          <w:szCs w:val="28"/>
        </w:rPr>
        <w:t xml:space="preserve">Ларіонова К.Л., </w:t>
      </w:r>
      <w:proofErr w:type="spellStart"/>
      <w:r>
        <w:rPr>
          <w:rFonts w:ascii="Times New Roman" w:hAnsi="Times New Roman" w:cs="Times New Roman"/>
          <w:b/>
          <w:i/>
          <w:sz w:val="28"/>
          <w:szCs w:val="28"/>
        </w:rPr>
        <w:t>к.е.н</w:t>
      </w:r>
      <w:proofErr w:type="spellEnd"/>
      <w:r>
        <w:rPr>
          <w:rFonts w:ascii="Times New Roman" w:hAnsi="Times New Roman" w:cs="Times New Roman"/>
          <w:b/>
          <w:i/>
          <w:sz w:val="28"/>
          <w:szCs w:val="28"/>
        </w:rPr>
        <w:t>., доцент кафедри фінансів, банківської справи та страхування</w:t>
      </w:r>
    </w:p>
    <w:p w:rsidR="008160DB" w:rsidRDefault="008160DB" w:rsidP="008160DB">
      <w:pPr>
        <w:spacing w:after="0" w:line="360" w:lineRule="auto"/>
        <w:ind w:firstLine="709"/>
        <w:jc w:val="right"/>
        <w:rPr>
          <w:rFonts w:ascii="Times New Roman" w:hAnsi="Times New Roman" w:cs="Times New Roman"/>
          <w:b/>
          <w:i/>
          <w:sz w:val="28"/>
          <w:szCs w:val="28"/>
        </w:rPr>
      </w:pPr>
      <w:bookmarkStart w:id="0" w:name="_GoBack"/>
      <w:bookmarkEnd w:id="0"/>
      <w:r>
        <w:rPr>
          <w:rFonts w:ascii="Times New Roman" w:hAnsi="Times New Roman" w:cs="Times New Roman"/>
          <w:b/>
          <w:i/>
          <w:sz w:val="28"/>
          <w:szCs w:val="28"/>
        </w:rPr>
        <w:t>Чорна В.О., магістр</w:t>
      </w:r>
    </w:p>
    <w:p w:rsidR="008160DB" w:rsidRDefault="00B20F50" w:rsidP="008160DB">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Хмельницького національного</w:t>
      </w:r>
      <w:r w:rsidR="008160DB">
        <w:rPr>
          <w:rFonts w:ascii="Times New Roman" w:hAnsi="Times New Roman" w:cs="Times New Roman"/>
          <w:i/>
          <w:sz w:val="28"/>
          <w:szCs w:val="28"/>
        </w:rPr>
        <w:t xml:space="preserve"> університет</w:t>
      </w:r>
      <w:r>
        <w:rPr>
          <w:rFonts w:ascii="Times New Roman" w:hAnsi="Times New Roman" w:cs="Times New Roman"/>
          <w:i/>
          <w:sz w:val="28"/>
          <w:szCs w:val="28"/>
        </w:rPr>
        <w:t>у</w:t>
      </w:r>
    </w:p>
    <w:p w:rsidR="008160DB" w:rsidRPr="00923634" w:rsidRDefault="00F746C4" w:rsidP="008160DB">
      <w:pPr>
        <w:spacing w:after="0" w:line="360" w:lineRule="auto"/>
        <w:ind w:firstLine="709"/>
        <w:jc w:val="right"/>
        <w:rPr>
          <w:rFonts w:ascii="Times New Roman" w:hAnsi="Times New Roman" w:cs="Times New Roman"/>
          <w:i/>
          <w:sz w:val="28"/>
          <w:szCs w:val="28"/>
          <w:lang w:val="ru-RU"/>
        </w:rPr>
      </w:pPr>
      <w:hyperlink r:id="rId5" w:history="1">
        <w:r w:rsidR="008160DB" w:rsidRPr="005F013A">
          <w:rPr>
            <w:rStyle w:val="a3"/>
            <w:rFonts w:ascii="Times New Roman" w:hAnsi="Times New Roman" w:cs="Times New Roman"/>
            <w:i/>
            <w:sz w:val="28"/>
            <w:szCs w:val="28"/>
            <w:lang w:val="en-US"/>
          </w:rPr>
          <w:t>vitabogach</w:t>
        </w:r>
        <w:r w:rsidR="008160DB" w:rsidRPr="00923634">
          <w:rPr>
            <w:rStyle w:val="a3"/>
            <w:rFonts w:ascii="Times New Roman" w:hAnsi="Times New Roman" w:cs="Times New Roman"/>
            <w:i/>
            <w:sz w:val="28"/>
            <w:szCs w:val="28"/>
            <w:lang w:val="ru-RU"/>
          </w:rPr>
          <w:t>77@</w:t>
        </w:r>
        <w:r w:rsidR="008160DB" w:rsidRPr="005F013A">
          <w:rPr>
            <w:rStyle w:val="a3"/>
            <w:rFonts w:ascii="Times New Roman" w:hAnsi="Times New Roman" w:cs="Times New Roman"/>
            <w:i/>
            <w:sz w:val="28"/>
            <w:szCs w:val="28"/>
            <w:lang w:val="en-US"/>
          </w:rPr>
          <w:t>gmail</w:t>
        </w:r>
        <w:r w:rsidR="008160DB" w:rsidRPr="00923634">
          <w:rPr>
            <w:rStyle w:val="a3"/>
            <w:rFonts w:ascii="Times New Roman" w:hAnsi="Times New Roman" w:cs="Times New Roman"/>
            <w:i/>
            <w:sz w:val="28"/>
            <w:szCs w:val="28"/>
            <w:lang w:val="ru-RU"/>
          </w:rPr>
          <w:t>.</w:t>
        </w:r>
        <w:r w:rsidR="008160DB" w:rsidRPr="005F013A">
          <w:rPr>
            <w:rStyle w:val="a3"/>
            <w:rFonts w:ascii="Times New Roman" w:hAnsi="Times New Roman" w:cs="Times New Roman"/>
            <w:i/>
            <w:sz w:val="28"/>
            <w:szCs w:val="28"/>
            <w:lang w:val="en-US"/>
          </w:rPr>
          <w:t>com</w:t>
        </w:r>
      </w:hyperlink>
    </w:p>
    <w:p w:rsidR="008160DB" w:rsidRDefault="008160DB" w:rsidP="008160DB">
      <w:pPr>
        <w:spacing w:after="0" w:line="360" w:lineRule="auto"/>
        <w:ind w:firstLine="709"/>
        <w:jc w:val="right"/>
        <w:rPr>
          <w:rFonts w:ascii="Times New Roman" w:hAnsi="Times New Roman" w:cs="Times New Roman"/>
          <w:i/>
          <w:sz w:val="28"/>
          <w:szCs w:val="28"/>
        </w:rPr>
      </w:pPr>
    </w:p>
    <w:p w:rsidR="00B20F50" w:rsidRDefault="00384D32" w:rsidP="00B20F50">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МЕТОДИЧНІ АСПЕКТИ УПРАВЛІННЯ РЕСУРСНИМ ПОТЕНЦІАЛОМ БАНКУ</w:t>
      </w:r>
    </w:p>
    <w:p w:rsidR="00384D32" w:rsidRDefault="00384D32" w:rsidP="00123012">
      <w:pPr>
        <w:spacing w:after="0" w:line="360" w:lineRule="auto"/>
        <w:ind w:firstLine="709"/>
        <w:jc w:val="center"/>
        <w:rPr>
          <w:rFonts w:ascii="Times New Roman" w:hAnsi="Times New Roman" w:cs="Times New Roman"/>
          <w:b/>
          <w:sz w:val="28"/>
          <w:szCs w:val="28"/>
        </w:rPr>
      </w:pPr>
    </w:p>
    <w:p w:rsidR="00123012" w:rsidRDefault="00123012" w:rsidP="00123012">
      <w:pPr>
        <w:widowControl w:val="0"/>
        <w:spacing w:after="0" w:line="360" w:lineRule="auto"/>
        <w:ind w:firstLine="709"/>
        <w:jc w:val="both"/>
        <w:rPr>
          <w:rFonts w:ascii="Times New Roman" w:hAnsi="Times New Roman" w:cs="Times New Roman"/>
          <w:sz w:val="28"/>
          <w:szCs w:val="28"/>
        </w:rPr>
      </w:pPr>
      <w:r w:rsidRPr="00514E1F">
        <w:rPr>
          <w:rFonts w:ascii="Times New Roman" w:hAnsi="Times New Roman" w:cs="Times New Roman"/>
          <w:sz w:val="28"/>
          <w:szCs w:val="28"/>
        </w:rPr>
        <w:t>У період фінансової нестабільності серед українських банків особливо загострюється проблема залучення необхідного обсягу фінансових ресурсів та ефективне їх розміщення, тому особливого значення набуває питання визначенням наявних та стратегічних можливостей щодо забезпечення подальших перспектив їх діяльності.</w:t>
      </w:r>
    </w:p>
    <w:p w:rsidR="00384D32" w:rsidRDefault="00384D32" w:rsidP="005B7BE0">
      <w:pPr>
        <w:widowControl w:val="0"/>
        <w:spacing w:after="0" w:line="360" w:lineRule="auto"/>
        <w:ind w:firstLine="709"/>
        <w:jc w:val="both"/>
        <w:rPr>
          <w:rFonts w:ascii="Times New Roman" w:hAnsi="Times New Roman" w:cs="Times New Roman"/>
          <w:sz w:val="28"/>
          <w:szCs w:val="28"/>
        </w:rPr>
      </w:pPr>
      <w:r w:rsidRPr="00BF57E7">
        <w:rPr>
          <w:rFonts w:ascii="Times New Roman" w:hAnsi="Times New Roman" w:cs="Times New Roman"/>
          <w:sz w:val="28"/>
          <w:szCs w:val="28"/>
        </w:rPr>
        <w:t>На сьогоднішній день важливою складовою побудови та функціонування економічної системи будь-якої країни служать ресурси, які акумулюють учасники господарських відносин. У макроекономічних умовах, що склалися в Україні внаслідок фінансової кризи, аналіз формування та функціонування ресурсів банківських установ має вирішальне значення для прийняття вагомих стратегічних рішень щодо подальшого розвитку економіки країни.</w:t>
      </w:r>
    </w:p>
    <w:p w:rsidR="002F4BAF" w:rsidRDefault="002F4BAF" w:rsidP="005B7BE0">
      <w:pPr>
        <w:widowControl w:val="0"/>
        <w:spacing w:after="0" w:line="360" w:lineRule="auto"/>
        <w:ind w:firstLine="709"/>
        <w:jc w:val="both"/>
        <w:rPr>
          <w:rFonts w:ascii="Times New Roman" w:hAnsi="Times New Roman" w:cs="Times New Roman"/>
          <w:sz w:val="28"/>
          <w:szCs w:val="28"/>
        </w:rPr>
      </w:pPr>
      <w:r w:rsidRPr="00BF57E7">
        <w:rPr>
          <w:rFonts w:ascii="Times New Roman" w:hAnsi="Times New Roman" w:cs="Times New Roman"/>
          <w:sz w:val="28"/>
          <w:szCs w:val="28"/>
        </w:rPr>
        <w:t>Крім того, у сучасному нестабільному  і непередбачуваному середовищі діяльності банків, великого значення набуває спроможність забезпечувати своє ефективне функціонування за наявної та потенційної сукупності ресурсів. Саме тому постає потреба у визначенні існуючих, потенційних  та максимальних можливостей банку, які визначають його ресурсний потенціал.</w:t>
      </w:r>
    </w:p>
    <w:p w:rsidR="00C74354" w:rsidRDefault="00C74354" w:rsidP="00C74354">
      <w:pPr>
        <w:widowControl w:val="0"/>
        <w:spacing w:after="0" w:line="360" w:lineRule="auto"/>
        <w:ind w:firstLine="709"/>
        <w:jc w:val="both"/>
        <w:rPr>
          <w:rFonts w:ascii="Times New Roman" w:hAnsi="Times New Roman" w:cs="Times New Roman"/>
          <w:sz w:val="28"/>
          <w:szCs w:val="28"/>
        </w:rPr>
      </w:pPr>
      <w:r w:rsidRPr="00BF57E7">
        <w:rPr>
          <w:rFonts w:ascii="Times New Roman" w:hAnsi="Times New Roman" w:cs="Times New Roman"/>
          <w:sz w:val="28"/>
          <w:szCs w:val="28"/>
        </w:rPr>
        <w:t>В економічній літературі з питань банківської діяльності поняття “ресурсний потенціал” не набуло такого широ</w:t>
      </w:r>
      <w:r w:rsidR="006F151B">
        <w:rPr>
          <w:rFonts w:ascii="Times New Roman" w:hAnsi="Times New Roman" w:cs="Times New Roman"/>
          <w:sz w:val="28"/>
          <w:szCs w:val="28"/>
        </w:rPr>
        <w:t>кого вжитку як,</w:t>
      </w:r>
      <w:r w:rsidRPr="00BF57E7">
        <w:rPr>
          <w:rFonts w:ascii="Times New Roman" w:hAnsi="Times New Roman" w:cs="Times New Roman"/>
          <w:sz w:val="28"/>
          <w:szCs w:val="28"/>
        </w:rPr>
        <w:t xml:space="preserve"> “банківські ре</w:t>
      </w:r>
      <w:r w:rsidR="006F151B">
        <w:rPr>
          <w:rFonts w:ascii="Times New Roman" w:hAnsi="Times New Roman" w:cs="Times New Roman"/>
          <w:sz w:val="28"/>
          <w:szCs w:val="28"/>
        </w:rPr>
        <w:t>сурси” .</w:t>
      </w:r>
    </w:p>
    <w:p w:rsidR="00C74354" w:rsidRPr="00C74354" w:rsidRDefault="00C74354" w:rsidP="00C74354">
      <w:pPr>
        <w:widowControl w:val="0"/>
        <w:spacing w:after="0" w:line="360" w:lineRule="auto"/>
        <w:ind w:firstLine="709"/>
        <w:jc w:val="both"/>
        <w:rPr>
          <w:rFonts w:ascii="Times New Roman" w:hAnsi="Times New Roman" w:cs="Times New Roman"/>
          <w:sz w:val="28"/>
          <w:szCs w:val="28"/>
        </w:rPr>
      </w:pPr>
      <w:r w:rsidRPr="00744E6B">
        <w:rPr>
          <w:rFonts w:ascii="Times New Roman" w:hAnsi="Times New Roman" w:cs="Times New Roman"/>
          <w:sz w:val="28"/>
          <w:szCs w:val="28"/>
        </w:rPr>
        <w:t xml:space="preserve">У сучасній науковій літературі трактування категорії “банківські ресурси” </w:t>
      </w:r>
      <w:r w:rsidRPr="00744E6B">
        <w:rPr>
          <w:rFonts w:ascii="Times New Roman" w:hAnsi="Times New Roman" w:cs="Times New Roman"/>
          <w:sz w:val="28"/>
          <w:szCs w:val="28"/>
        </w:rPr>
        <w:lastRenderedPageBreak/>
        <w:t>набуло дещо іншого характеру, що обумовлено зміною економічної та фінансової системи.</w:t>
      </w:r>
      <w:r>
        <w:rPr>
          <w:rFonts w:ascii="Times New Roman" w:hAnsi="Times New Roman" w:cs="Times New Roman"/>
          <w:sz w:val="28"/>
          <w:szCs w:val="28"/>
        </w:rPr>
        <w:t xml:space="preserve"> </w:t>
      </w:r>
      <w:r w:rsidRPr="007D17FC">
        <w:rPr>
          <w:rFonts w:ascii="Times New Roman" w:eastAsia="Calibri" w:hAnsi="Times New Roman" w:cs="Times New Roman"/>
          <w:sz w:val="28"/>
          <w:szCs w:val="28"/>
        </w:rPr>
        <w:t>З метою  аналізу та систематизації, виокремлення спільних і відмінних положень згрупуємо визначення різних науковц</w:t>
      </w:r>
      <w:r>
        <w:rPr>
          <w:rFonts w:ascii="Times New Roman" w:eastAsia="Calibri" w:hAnsi="Times New Roman" w:cs="Times New Roman"/>
          <w:sz w:val="28"/>
          <w:szCs w:val="28"/>
        </w:rPr>
        <w:t xml:space="preserve">ів  за конкретними критеріями, </w:t>
      </w:r>
      <w:r w:rsidRPr="007D17FC">
        <w:rPr>
          <w:rFonts w:ascii="Times New Roman" w:eastAsia="Calibri" w:hAnsi="Times New Roman" w:cs="Times New Roman"/>
          <w:sz w:val="28"/>
          <w:szCs w:val="28"/>
        </w:rPr>
        <w:t xml:space="preserve">які вкладають автори в </w:t>
      </w:r>
      <w:r>
        <w:rPr>
          <w:rFonts w:ascii="Times New Roman" w:eastAsia="Calibri" w:hAnsi="Times New Roman" w:cs="Times New Roman"/>
          <w:sz w:val="28"/>
          <w:szCs w:val="28"/>
        </w:rPr>
        <w:t>зміст цього поняття</w:t>
      </w:r>
      <w:r w:rsidRPr="007D17FC">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744E6B">
        <w:rPr>
          <w:rFonts w:ascii="Times New Roman" w:hAnsi="Times New Roman" w:cs="Times New Roman"/>
          <w:sz w:val="28"/>
          <w:szCs w:val="28"/>
        </w:rPr>
        <w:t xml:space="preserve">Найпоширенішим серед науковців </w:t>
      </w:r>
      <w:r>
        <w:rPr>
          <w:rFonts w:ascii="Times New Roman" w:hAnsi="Times New Roman" w:cs="Times New Roman"/>
          <w:sz w:val="28"/>
          <w:szCs w:val="28"/>
        </w:rPr>
        <w:t>є визначення банківських ресурсів</w:t>
      </w:r>
      <w:r w:rsidRPr="00744E6B">
        <w:rPr>
          <w:rFonts w:ascii="Times New Roman" w:hAnsi="Times New Roman" w:cs="Times New Roman"/>
          <w:sz w:val="28"/>
          <w:szCs w:val="28"/>
        </w:rPr>
        <w:t xml:space="preserve"> як сукупності грошових коштів.</w:t>
      </w:r>
      <w:r>
        <w:rPr>
          <w:rFonts w:ascii="Times New Roman" w:hAnsi="Times New Roman" w:cs="Times New Roman"/>
          <w:sz w:val="28"/>
          <w:szCs w:val="28"/>
        </w:rPr>
        <w:t xml:space="preserve"> </w:t>
      </w:r>
      <w:r w:rsidRPr="00744E6B">
        <w:rPr>
          <w:rFonts w:ascii="Times New Roman" w:hAnsi="Times New Roman" w:cs="Times New Roman"/>
          <w:sz w:val="28"/>
          <w:szCs w:val="28"/>
        </w:rPr>
        <w:t xml:space="preserve">Так, наприклад, О. А. Кириченко, І. В. </w:t>
      </w:r>
      <w:proofErr w:type="spellStart"/>
      <w:r w:rsidRPr="00744E6B">
        <w:rPr>
          <w:rFonts w:ascii="Times New Roman" w:hAnsi="Times New Roman" w:cs="Times New Roman"/>
          <w:sz w:val="28"/>
          <w:szCs w:val="28"/>
        </w:rPr>
        <w:t>Гіленко</w:t>
      </w:r>
      <w:proofErr w:type="spellEnd"/>
      <w:r w:rsidRPr="00744E6B">
        <w:rPr>
          <w:rFonts w:ascii="Times New Roman" w:hAnsi="Times New Roman" w:cs="Times New Roman"/>
          <w:sz w:val="28"/>
          <w:szCs w:val="28"/>
        </w:rPr>
        <w:t xml:space="preserve">, А. </w:t>
      </w:r>
      <w:proofErr w:type="spellStart"/>
      <w:r w:rsidRPr="00744E6B">
        <w:rPr>
          <w:rFonts w:ascii="Times New Roman" w:hAnsi="Times New Roman" w:cs="Times New Roman"/>
          <w:sz w:val="28"/>
          <w:szCs w:val="28"/>
        </w:rPr>
        <w:t>Ятченко</w:t>
      </w:r>
      <w:proofErr w:type="spellEnd"/>
      <w:r w:rsidRPr="00744E6B">
        <w:rPr>
          <w:rFonts w:ascii="Times New Roman" w:hAnsi="Times New Roman" w:cs="Times New Roman"/>
          <w:sz w:val="28"/>
          <w:szCs w:val="28"/>
        </w:rPr>
        <w:t xml:space="preserve"> вважають, що  банківські ресурси – це сукупність коштів, які перебувають в розпорядженні банків і використовуються ними для кредитних, ін</w:t>
      </w:r>
      <w:r w:rsidR="00B66FF2">
        <w:rPr>
          <w:rFonts w:ascii="Times New Roman" w:hAnsi="Times New Roman" w:cs="Times New Roman"/>
          <w:sz w:val="28"/>
          <w:szCs w:val="28"/>
        </w:rPr>
        <w:t>вестиційних та інших операцій [3</w:t>
      </w:r>
      <w:r w:rsidRPr="00744E6B">
        <w:rPr>
          <w:rFonts w:ascii="Times New Roman" w:hAnsi="Times New Roman" w:cs="Times New Roman"/>
          <w:sz w:val="28"/>
          <w:szCs w:val="28"/>
        </w:rPr>
        <w:t>, с. 549]. Наведене визначення не повною мірою характеризує дану дефініцію, адже у ньому не вказуються джерела ресурсів, проте конкретизуються напрямки використання.</w:t>
      </w:r>
    </w:p>
    <w:p w:rsidR="00EA6894" w:rsidRPr="00EA6894" w:rsidRDefault="00EA6894" w:rsidP="005B7BE0">
      <w:pPr>
        <w:widowControl w:val="0"/>
        <w:spacing w:after="0" w:line="360" w:lineRule="auto"/>
        <w:ind w:firstLine="709"/>
        <w:jc w:val="both"/>
        <w:rPr>
          <w:rFonts w:ascii="Times New Roman" w:hAnsi="Times New Roman" w:cs="Times New Roman"/>
          <w:color w:val="000000" w:themeColor="text1"/>
          <w:sz w:val="28"/>
          <w:szCs w:val="28"/>
        </w:rPr>
      </w:pPr>
      <w:r w:rsidRPr="00EA6894">
        <w:rPr>
          <w:rFonts w:ascii="Times New Roman" w:hAnsi="Times New Roman" w:cs="Times New Roman"/>
          <w:color w:val="000000" w:themeColor="text1"/>
          <w:sz w:val="28"/>
          <w:szCs w:val="28"/>
        </w:rPr>
        <w:t>Дослідження механізму управління ресурсами і дієвої стратегії їх залучення передбачає реалізація основних функцій комерційного банку як інституту ринкової економіки</w:t>
      </w:r>
      <w:r w:rsidR="00923634">
        <w:rPr>
          <w:rFonts w:ascii="Times New Roman" w:hAnsi="Times New Roman" w:cs="Times New Roman"/>
          <w:color w:val="000000" w:themeColor="text1"/>
          <w:sz w:val="28"/>
          <w:szCs w:val="28"/>
        </w:rPr>
        <w:t>.</w:t>
      </w:r>
      <w:r w:rsidRPr="00EA6894">
        <w:rPr>
          <w:rFonts w:ascii="Times New Roman" w:hAnsi="Times New Roman" w:cs="Times New Roman"/>
          <w:color w:val="000000" w:themeColor="text1"/>
          <w:sz w:val="28"/>
          <w:szCs w:val="28"/>
        </w:rPr>
        <w:t xml:space="preserve"> Досягнення цілей і завдань фінансового менеджменту банку в сфері управління його ресурсами є складним і багатогранним завданням, яке потребує передусім визначення інструментів як дієвого засобу досягнення намічених цілей і реалізації поставлених завдань.</w:t>
      </w:r>
    </w:p>
    <w:p w:rsidR="002D36F4" w:rsidRDefault="002D36F4" w:rsidP="005B7BE0">
      <w:pPr>
        <w:widowControl w:val="0"/>
        <w:spacing w:after="0" w:line="360" w:lineRule="auto"/>
        <w:ind w:firstLine="709"/>
        <w:jc w:val="both"/>
        <w:rPr>
          <w:rFonts w:ascii="Times New Roman" w:hAnsi="Times New Roman" w:cs="Times New Roman"/>
          <w:sz w:val="28"/>
          <w:szCs w:val="28"/>
        </w:rPr>
      </w:pPr>
      <w:r w:rsidRPr="00965A90">
        <w:rPr>
          <w:rFonts w:ascii="Times New Roman" w:hAnsi="Times New Roman" w:cs="Times New Roman"/>
          <w:sz w:val="28"/>
          <w:szCs w:val="28"/>
        </w:rPr>
        <w:t>Щоб зрозуміти сутність поняття “ресурсний потенціал банку” розглянемо основні погляди науковців щодо його визначення. Взагалі термін “потенціал” походить від латинського “</w:t>
      </w:r>
      <w:proofErr w:type="spellStart"/>
      <w:r w:rsidRPr="00965A90">
        <w:rPr>
          <w:rFonts w:ascii="Times New Roman" w:hAnsi="Times New Roman" w:cs="Times New Roman"/>
          <w:sz w:val="28"/>
          <w:szCs w:val="28"/>
        </w:rPr>
        <w:t>potential</w:t>
      </w:r>
      <w:proofErr w:type="spellEnd"/>
      <w:r w:rsidRPr="00965A90">
        <w:rPr>
          <w:rFonts w:ascii="Times New Roman" w:hAnsi="Times New Roman" w:cs="Times New Roman"/>
          <w:sz w:val="28"/>
          <w:szCs w:val="28"/>
        </w:rPr>
        <w:t>”, щ</w:t>
      </w:r>
      <w:r w:rsidR="00B66FF2">
        <w:rPr>
          <w:rFonts w:ascii="Times New Roman" w:hAnsi="Times New Roman" w:cs="Times New Roman"/>
          <w:sz w:val="28"/>
          <w:szCs w:val="28"/>
        </w:rPr>
        <w:t>о означає “потужність, сила” [4</w:t>
      </w:r>
      <w:r w:rsidRPr="00965A90">
        <w:rPr>
          <w:rFonts w:ascii="Times New Roman" w:hAnsi="Times New Roman" w:cs="Times New Roman"/>
          <w:sz w:val="28"/>
          <w:szCs w:val="28"/>
        </w:rPr>
        <w:t>, с. 5].</w:t>
      </w:r>
    </w:p>
    <w:p w:rsidR="002D36F4" w:rsidRDefault="002D36F4" w:rsidP="005B7BE0">
      <w:pPr>
        <w:widowControl w:val="0"/>
        <w:spacing w:after="0" w:line="360" w:lineRule="auto"/>
        <w:ind w:firstLine="709"/>
        <w:jc w:val="both"/>
        <w:rPr>
          <w:rFonts w:ascii="Times New Roman" w:hAnsi="Times New Roman" w:cs="Times New Roman"/>
          <w:sz w:val="28"/>
          <w:szCs w:val="28"/>
        </w:rPr>
      </w:pPr>
      <w:r w:rsidRPr="00965A90">
        <w:rPr>
          <w:rFonts w:ascii="Times New Roman" w:hAnsi="Times New Roman" w:cs="Times New Roman"/>
          <w:sz w:val="28"/>
          <w:szCs w:val="28"/>
        </w:rPr>
        <w:t xml:space="preserve">Науковці С. М. </w:t>
      </w:r>
      <w:proofErr w:type="spellStart"/>
      <w:r w:rsidRPr="00965A90">
        <w:rPr>
          <w:rFonts w:ascii="Times New Roman" w:hAnsi="Times New Roman" w:cs="Times New Roman"/>
          <w:sz w:val="28"/>
          <w:szCs w:val="28"/>
        </w:rPr>
        <w:t>Козьменко</w:t>
      </w:r>
      <w:proofErr w:type="spellEnd"/>
      <w:r w:rsidRPr="00965A90">
        <w:rPr>
          <w:rFonts w:ascii="Times New Roman" w:hAnsi="Times New Roman" w:cs="Times New Roman"/>
          <w:sz w:val="28"/>
          <w:szCs w:val="28"/>
        </w:rPr>
        <w:t xml:space="preserve">, Ф. І. Шпиг, І. В. Волошко під ресурсним потенціалом розуміють сукупність основних ресурсів – матеріальних (фізичні активи, фінансові активи) і нематеріальних (імідж, ноу-хау, персонал, управління). Проте О. В. </w:t>
      </w:r>
      <w:proofErr w:type="spellStart"/>
      <w:r w:rsidRPr="00965A90">
        <w:rPr>
          <w:rFonts w:ascii="Times New Roman" w:hAnsi="Times New Roman" w:cs="Times New Roman"/>
          <w:sz w:val="28"/>
          <w:szCs w:val="28"/>
        </w:rPr>
        <w:t>Васюренко</w:t>
      </w:r>
      <w:proofErr w:type="spellEnd"/>
      <w:r w:rsidRPr="00965A90">
        <w:rPr>
          <w:rFonts w:ascii="Times New Roman" w:hAnsi="Times New Roman" w:cs="Times New Roman"/>
          <w:sz w:val="28"/>
          <w:szCs w:val="28"/>
        </w:rPr>
        <w:t xml:space="preserve"> та І. М. </w:t>
      </w:r>
      <w:proofErr w:type="spellStart"/>
      <w:r w:rsidRPr="00965A90">
        <w:rPr>
          <w:rFonts w:ascii="Times New Roman" w:hAnsi="Times New Roman" w:cs="Times New Roman"/>
          <w:sz w:val="28"/>
          <w:szCs w:val="28"/>
        </w:rPr>
        <w:t>Федосік</w:t>
      </w:r>
      <w:proofErr w:type="spellEnd"/>
      <w:r w:rsidRPr="00965A90">
        <w:rPr>
          <w:rFonts w:ascii="Times New Roman" w:hAnsi="Times New Roman" w:cs="Times New Roman"/>
          <w:sz w:val="28"/>
          <w:szCs w:val="28"/>
        </w:rPr>
        <w:t xml:space="preserve"> вказують, що основу ресурсного потенціалу банку складають саме фінансові ресурси, а всі інші види ресурсів, необхідні банку для його діяльності, можуть бути придбані за достатньог</w:t>
      </w:r>
      <w:r w:rsidR="00EA6894">
        <w:rPr>
          <w:rFonts w:ascii="Times New Roman" w:hAnsi="Times New Roman" w:cs="Times New Roman"/>
          <w:sz w:val="28"/>
          <w:szCs w:val="28"/>
        </w:rPr>
        <w:t>о обсягу фінансових ресурсів [</w:t>
      </w:r>
      <w:r>
        <w:rPr>
          <w:rFonts w:ascii="Times New Roman" w:hAnsi="Times New Roman" w:cs="Times New Roman"/>
          <w:sz w:val="28"/>
          <w:szCs w:val="28"/>
        </w:rPr>
        <w:t>2</w:t>
      </w:r>
      <w:r w:rsidRPr="00965A90">
        <w:rPr>
          <w:rFonts w:ascii="Times New Roman" w:hAnsi="Times New Roman" w:cs="Times New Roman"/>
          <w:sz w:val="28"/>
          <w:szCs w:val="28"/>
        </w:rPr>
        <w:t>, с. 61]. Погоджуючись з цією думкою, відзначимо, що все ж таки фінансові ресурси є основою ресурсного забезпечення банку, на це вказує також незначна частка всіх інших видів ресурсів порівняно  з цими.</w:t>
      </w:r>
    </w:p>
    <w:p w:rsidR="002D36F4" w:rsidRDefault="002D36F4" w:rsidP="00C626F7">
      <w:pPr>
        <w:widowControl w:val="0"/>
        <w:spacing w:after="0" w:line="360" w:lineRule="auto"/>
        <w:ind w:firstLine="709"/>
        <w:jc w:val="both"/>
        <w:rPr>
          <w:rFonts w:ascii="Times New Roman" w:hAnsi="Times New Roman" w:cs="Times New Roman"/>
          <w:sz w:val="28"/>
          <w:szCs w:val="28"/>
        </w:rPr>
      </w:pPr>
      <w:r w:rsidRPr="00AC3636">
        <w:rPr>
          <w:rFonts w:ascii="Times New Roman" w:hAnsi="Times New Roman" w:cs="Times New Roman"/>
          <w:sz w:val="28"/>
          <w:szCs w:val="28"/>
        </w:rPr>
        <w:lastRenderedPageBreak/>
        <w:t>Розроблення сучасних методів управління ресурсами банку передбачає дотримання так званого “золотого банківського правила”, яке полягає в тому, що обсяги і строки вимог банку повинні відповідати обсягам і строкам його зобов’язань, що обумовлює необхідність формування дієвого процесу управління ресурсним потенціалом банків.</w:t>
      </w:r>
    </w:p>
    <w:p w:rsidR="000B3B32" w:rsidRDefault="000B3B32" w:rsidP="005B7BE0">
      <w:pPr>
        <w:widowControl w:val="0"/>
        <w:spacing w:after="0" w:line="360" w:lineRule="auto"/>
        <w:ind w:firstLine="709"/>
        <w:jc w:val="both"/>
        <w:rPr>
          <w:rFonts w:ascii="Times New Roman" w:hAnsi="Times New Roman" w:cs="Times New Roman"/>
          <w:sz w:val="28"/>
          <w:szCs w:val="28"/>
        </w:rPr>
      </w:pPr>
      <w:r w:rsidRPr="00AC3636">
        <w:rPr>
          <w:rFonts w:ascii="Times New Roman" w:hAnsi="Times New Roman" w:cs="Times New Roman"/>
          <w:sz w:val="28"/>
          <w:szCs w:val="28"/>
        </w:rPr>
        <w:t>Перш за все, розглянемо сутність управління ресурсним потенціалом банку. Поняття “управління ресурсним потенціалом банку” можна охарактеризувати як сукупність етапів управлінського процесу, що передбачає впорядковану послідовність дій банку з формування та розміщення його ресурсного потенціалу з метою забезпечення оптимального обсягу та структури ресурсної бази.</w:t>
      </w:r>
    </w:p>
    <w:p w:rsidR="000B3B32" w:rsidRDefault="000B3B32" w:rsidP="005B7BE0">
      <w:pPr>
        <w:widowControl w:val="0"/>
        <w:spacing w:after="0" w:line="360" w:lineRule="auto"/>
        <w:ind w:firstLine="709"/>
        <w:jc w:val="both"/>
        <w:rPr>
          <w:rFonts w:ascii="Times New Roman" w:hAnsi="Times New Roman" w:cs="Times New Roman"/>
          <w:sz w:val="28"/>
          <w:szCs w:val="28"/>
        </w:rPr>
      </w:pPr>
      <w:r w:rsidRPr="00AC3636">
        <w:rPr>
          <w:rFonts w:ascii="Times New Roman" w:hAnsi="Times New Roman" w:cs="Times New Roman"/>
          <w:sz w:val="28"/>
          <w:szCs w:val="28"/>
        </w:rPr>
        <w:t>Основними завданнями управління р</w:t>
      </w:r>
      <w:r w:rsidR="00EA6894">
        <w:rPr>
          <w:rFonts w:ascii="Times New Roman" w:hAnsi="Times New Roman" w:cs="Times New Roman"/>
          <w:sz w:val="28"/>
          <w:szCs w:val="28"/>
        </w:rPr>
        <w:t>есурсним потенціалом банку є [1</w:t>
      </w:r>
      <w:r w:rsidRPr="00AC3636">
        <w:rPr>
          <w:rFonts w:ascii="Times New Roman" w:hAnsi="Times New Roman" w:cs="Times New Roman"/>
          <w:sz w:val="28"/>
          <w:szCs w:val="28"/>
        </w:rPr>
        <w:t>, с. 106]:моніторинг рівня ресурсного потенціалу та визначення його достатності;виявлення основних факторів (зовнішніх та внутрішніх), які здійснюють вплив на ресурсний потенціал банку;визначення оптимальної структури управління ресурсним потенціалом банку, здатної забезпечити процес його формування і використання;формування оптимальної структури ресурсної бази, яка б комплексно враховувала прибутковість, ліквідність і ризик.</w:t>
      </w:r>
    </w:p>
    <w:p w:rsidR="002F4BAF" w:rsidRPr="00AC3636" w:rsidRDefault="002F4BAF" w:rsidP="005B7BE0">
      <w:pPr>
        <w:widowControl w:val="0"/>
        <w:spacing w:after="0" w:line="360" w:lineRule="auto"/>
        <w:ind w:firstLine="709"/>
        <w:jc w:val="both"/>
        <w:rPr>
          <w:rFonts w:ascii="Times New Roman" w:hAnsi="Times New Roman" w:cs="Times New Roman"/>
          <w:sz w:val="28"/>
          <w:szCs w:val="28"/>
        </w:rPr>
      </w:pPr>
      <w:r w:rsidRPr="00AC3636">
        <w:rPr>
          <w:rFonts w:ascii="Times New Roman" w:hAnsi="Times New Roman" w:cs="Times New Roman"/>
          <w:sz w:val="28"/>
          <w:szCs w:val="28"/>
        </w:rPr>
        <w:t>Управління ресурсним потенціалом базується на певних підходах до управління. Можна виділити три основні етапи в розвитку підходів до управління активами і пасивам</w:t>
      </w:r>
      <w:r w:rsidR="00B66FF2">
        <w:rPr>
          <w:rFonts w:ascii="Times New Roman" w:hAnsi="Times New Roman" w:cs="Times New Roman"/>
          <w:sz w:val="28"/>
          <w:szCs w:val="28"/>
        </w:rPr>
        <w:t>и банку [6</w:t>
      </w:r>
      <w:r w:rsidRPr="00AC3636">
        <w:rPr>
          <w:rFonts w:ascii="Times New Roman" w:hAnsi="Times New Roman" w:cs="Times New Roman"/>
          <w:sz w:val="28"/>
          <w:szCs w:val="28"/>
        </w:rPr>
        <w:t>, с. 249]:</w:t>
      </w:r>
    </w:p>
    <w:p w:rsidR="002F4BAF" w:rsidRPr="00AC3636" w:rsidRDefault="002F4BAF" w:rsidP="005B7BE0">
      <w:pPr>
        <w:pStyle w:val="a4"/>
        <w:widowControl w:val="0"/>
        <w:numPr>
          <w:ilvl w:val="0"/>
          <w:numId w:val="2"/>
        </w:numPr>
        <w:spacing w:after="0" w:line="360" w:lineRule="auto"/>
        <w:jc w:val="both"/>
        <w:rPr>
          <w:rFonts w:ascii="Times New Roman" w:hAnsi="Times New Roman" w:cs="Times New Roman"/>
          <w:sz w:val="28"/>
          <w:szCs w:val="28"/>
        </w:rPr>
      </w:pPr>
      <w:r w:rsidRPr="00AC3636">
        <w:rPr>
          <w:rFonts w:ascii="Times New Roman" w:hAnsi="Times New Roman" w:cs="Times New Roman"/>
          <w:sz w:val="28"/>
          <w:szCs w:val="28"/>
        </w:rPr>
        <w:t>управління через активи (до 1960-х рр. ХХ ст.);</w:t>
      </w:r>
    </w:p>
    <w:p w:rsidR="002F4BAF" w:rsidRPr="00AC3636" w:rsidRDefault="002F4BAF" w:rsidP="005B7BE0">
      <w:pPr>
        <w:pStyle w:val="a4"/>
        <w:widowControl w:val="0"/>
        <w:numPr>
          <w:ilvl w:val="0"/>
          <w:numId w:val="2"/>
        </w:numPr>
        <w:spacing w:after="0" w:line="360" w:lineRule="auto"/>
        <w:jc w:val="both"/>
        <w:rPr>
          <w:rFonts w:ascii="Times New Roman" w:hAnsi="Times New Roman" w:cs="Times New Roman"/>
          <w:sz w:val="28"/>
          <w:szCs w:val="28"/>
        </w:rPr>
      </w:pPr>
      <w:r w:rsidRPr="00AC3636">
        <w:rPr>
          <w:rFonts w:ascii="Times New Roman" w:hAnsi="Times New Roman" w:cs="Times New Roman"/>
          <w:sz w:val="28"/>
          <w:szCs w:val="28"/>
        </w:rPr>
        <w:t>управління через пасиви (1960–1970-ті роки ХХ ст.);</w:t>
      </w:r>
    </w:p>
    <w:p w:rsidR="002F4BAF" w:rsidRDefault="002F4BAF" w:rsidP="005B7BE0">
      <w:pPr>
        <w:pStyle w:val="a4"/>
        <w:widowControl w:val="0"/>
        <w:numPr>
          <w:ilvl w:val="0"/>
          <w:numId w:val="2"/>
        </w:numPr>
        <w:spacing w:after="0" w:line="360" w:lineRule="auto"/>
        <w:jc w:val="both"/>
        <w:rPr>
          <w:rFonts w:ascii="Times New Roman" w:hAnsi="Times New Roman" w:cs="Times New Roman"/>
          <w:sz w:val="28"/>
          <w:szCs w:val="28"/>
        </w:rPr>
      </w:pPr>
      <w:r w:rsidRPr="00AC3636">
        <w:rPr>
          <w:rFonts w:ascii="Times New Roman" w:hAnsi="Times New Roman" w:cs="Times New Roman"/>
          <w:sz w:val="28"/>
          <w:szCs w:val="28"/>
        </w:rPr>
        <w:t>інтегроване управління активами і пасивами (з 1980-х рр. ХХ ст.).</w:t>
      </w:r>
    </w:p>
    <w:p w:rsidR="002F4BAF" w:rsidRDefault="002F4BAF" w:rsidP="005B7BE0">
      <w:pPr>
        <w:pStyle w:val="a4"/>
        <w:widowControl w:val="0"/>
        <w:spacing w:after="0" w:line="360" w:lineRule="auto"/>
        <w:ind w:left="0" w:firstLine="709"/>
        <w:jc w:val="both"/>
        <w:rPr>
          <w:rFonts w:ascii="Times New Roman" w:hAnsi="Times New Roman" w:cs="Times New Roman"/>
          <w:sz w:val="28"/>
          <w:szCs w:val="28"/>
        </w:rPr>
      </w:pPr>
      <w:r w:rsidRPr="00F229BC">
        <w:rPr>
          <w:rFonts w:ascii="Times New Roman" w:hAnsi="Times New Roman" w:cs="Times New Roman"/>
          <w:sz w:val="28"/>
          <w:szCs w:val="28"/>
        </w:rPr>
        <w:t xml:space="preserve">У сучасній практиці банківської діяльності наведені підходи до управління фінансовими ресурсами існують паралельно. Окремі банки все ще здійснюють управління через активи, деякі застосовують автономні методи управління (через пасиви), є також банки, які активно втілюють прогресивні методи управління в практику своєї роботи, виходячи з позицій інтегрованого </w:t>
      </w:r>
      <w:r w:rsidRPr="00F229BC">
        <w:rPr>
          <w:rFonts w:ascii="Times New Roman" w:hAnsi="Times New Roman" w:cs="Times New Roman"/>
          <w:sz w:val="28"/>
          <w:szCs w:val="28"/>
        </w:rPr>
        <w:lastRenderedPageBreak/>
        <w:t>управління активами і пасивами (УАП), яке найповніше враховує й відображає сучасні реалії і потреби практичної діяльності банків.</w:t>
      </w:r>
    </w:p>
    <w:p w:rsidR="000B3B32" w:rsidRDefault="000B3B32" w:rsidP="005B7BE0">
      <w:pPr>
        <w:widowControl w:val="0"/>
        <w:spacing w:after="0" w:line="360" w:lineRule="auto"/>
        <w:ind w:firstLine="709"/>
        <w:jc w:val="both"/>
        <w:rPr>
          <w:rFonts w:ascii="Times New Roman" w:hAnsi="Times New Roman" w:cs="Times New Roman"/>
          <w:sz w:val="28"/>
          <w:szCs w:val="28"/>
        </w:rPr>
      </w:pPr>
      <w:r w:rsidRPr="00F229BC">
        <w:rPr>
          <w:rFonts w:ascii="Times New Roman" w:hAnsi="Times New Roman" w:cs="Times New Roman"/>
          <w:sz w:val="28"/>
          <w:szCs w:val="28"/>
        </w:rPr>
        <w:t>Ключовим моментом збалансованого управління активами і пасивами банку є максимізація доходності та мінімізація ризиків. Це, в свою чергу, передбачає прибуткове розміщення акумульованих коштів на такий термін і за такою ціною, які давали б можливість отримувати достатні надходження готівкових коштів і в такий спосіб уникнути проблем, пов’язаних з ліквідністю.</w:t>
      </w:r>
    </w:p>
    <w:p w:rsidR="000B3B32" w:rsidRPr="0018262C" w:rsidRDefault="000B3B32" w:rsidP="005B7BE0">
      <w:pPr>
        <w:pStyle w:val="a4"/>
        <w:widowControl w:val="0"/>
        <w:spacing w:after="0" w:line="360" w:lineRule="auto"/>
        <w:ind w:left="0" w:firstLine="709"/>
        <w:jc w:val="both"/>
        <w:rPr>
          <w:rFonts w:ascii="Times New Roman" w:hAnsi="Times New Roman" w:cs="Times New Roman"/>
          <w:sz w:val="28"/>
          <w:szCs w:val="28"/>
        </w:rPr>
      </w:pPr>
      <w:r w:rsidRPr="0018262C">
        <w:rPr>
          <w:rFonts w:ascii="Times New Roman" w:hAnsi="Times New Roman" w:cs="Times New Roman"/>
          <w:sz w:val="28"/>
          <w:szCs w:val="28"/>
        </w:rPr>
        <w:t xml:space="preserve">О. В. </w:t>
      </w:r>
      <w:proofErr w:type="spellStart"/>
      <w:r w:rsidRPr="0018262C">
        <w:rPr>
          <w:rFonts w:ascii="Times New Roman" w:hAnsi="Times New Roman" w:cs="Times New Roman"/>
          <w:sz w:val="28"/>
          <w:szCs w:val="28"/>
        </w:rPr>
        <w:t>Шварц</w:t>
      </w:r>
      <w:proofErr w:type="spellEnd"/>
      <w:r w:rsidRPr="0018262C">
        <w:rPr>
          <w:rFonts w:ascii="Times New Roman" w:hAnsi="Times New Roman" w:cs="Times New Roman"/>
          <w:sz w:val="28"/>
          <w:szCs w:val="28"/>
        </w:rPr>
        <w:t xml:space="preserve"> виділяє дві групи методів управління активами і пасивами банк</w:t>
      </w:r>
      <w:r w:rsidR="00B66FF2">
        <w:rPr>
          <w:rFonts w:ascii="Times New Roman" w:hAnsi="Times New Roman" w:cs="Times New Roman"/>
          <w:sz w:val="28"/>
          <w:szCs w:val="28"/>
        </w:rPr>
        <w:t>у [5</w:t>
      </w:r>
      <w:r w:rsidRPr="0018262C">
        <w:rPr>
          <w:rFonts w:ascii="Times New Roman" w:hAnsi="Times New Roman" w:cs="Times New Roman"/>
          <w:sz w:val="28"/>
          <w:szCs w:val="28"/>
        </w:rPr>
        <w:t>, с. 34]:</w:t>
      </w:r>
    </w:p>
    <w:p w:rsidR="000B3B32" w:rsidRPr="0018262C" w:rsidRDefault="000B3B32" w:rsidP="005B7BE0">
      <w:pPr>
        <w:pStyle w:val="a4"/>
        <w:widowControl w:val="0"/>
        <w:spacing w:after="0" w:line="360" w:lineRule="auto"/>
        <w:ind w:left="0" w:firstLine="709"/>
        <w:jc w:val="both"/>
        <w:rPr>
          <w:rFonts w:ascii="Times New Roman" w:hAnsi="Times New Roman" w:cs="Times New Roman"/>
          <w:sz w:val="28"/>
          <w:szCs w:val="28"/>
        </w:rPr>
      </w:pPr>
      <w:r w:rsidRPr="0018262C">
        <w:rPr>
          <w:rFonts w:ascii="Times New Roman" w:hAnsi="Times New Roman" w:cs="Times New Roman"/>
          <w:sz w:val="28"/>
          <w:szCs w:val="28"/>
        </w:rPr>
        <w:t>– перша група – базові методи управління певним ризиком  (методи УАП, які використовують для управління конкретним ризиком, що виникає в процесі діяльності банку та пов’язаний зі структурою активів і пасивів банку, її зміною). У цій групі автор виокремлює процентний, валютний та ризик ліквідності, управління я</w:t>
      </w:r>
      <w:r>
        <w:rPr>
          <w:rFonts w:ascii="Times New Roman" w:hAnsi="Times New Roman" w:cs="Times New Roman"/>
          <w:sz w:val="28"/>
          <w:szCs w:val="28"/>
        </w:rPr>
        <w:t>кими здійснюється в процесі УАП;</w:t>
      </w:r>
    </w:p>
    <w:p w:rsidR="000B3B32" w:rsidRDefault="000B3B32" w:rsidP="005B7BE0">
      <w:pPr>
        <w:pStyle w:val="a4"/>
        <w:widowControl w:val="0"/>
        <w:spacing w:after="0" w:line="360" w:lineRule="auto"/>
        <w:ind w:left="0" w:firstLine="709"/>
        <w:jc w:val="both"/>
        <w:rPr>
          <w:rFonts w:ascii="Times New Roman" w:hAnsi="Times New Roman" w:cs="Times New Roman"/>
          <w:sz w:val="28"/>
          <w:szCs w:val="28"/>
        </w:rPr>
      </w:pPr>
      <w:r w:rsidRPr="0018262C">
        <w:rPr>
          <w:rFonts w:ascii="Times New Roman" w:hAnsi="Times New Roman" w:cs="Times New Roman"/>
          <w:sz w:val="28"/>
          <w:szCs w:val="28"/>
        </w:rPr>
        <w:t xml:space="preserve">– друга група – методи моделювання структури балансу (передбачають побудову моделі оптимального банківського балансу, що являє собою таке співвідношення активів і пасивів, яке відповідало б визначеним цілям та враховувало ризики). Ця група методів передбачає графічні, статистичні, економіко-математичні методи та інші, що спрямовані на </w:t>
      </w:r>
      <w:proofErr w:type="spellStart"/>
      <w:r w:rsidRPr="0018262C">
        <w:rPr>
          <w:rFonts w:ascii="Times New Roman" w:hAnsi="Times New Roman" w:cs="Times New Roman"/>
          <w:sz w:val="28"/>
          <w:szCs w:val="28"/>
        </w:rPr>
        <w:t>репозиціювання</w:t>
      </w:r>
      <w:proofErr w:type="spellEnd"/>
      <w:r w:rsidR="00C74354">
        <w:rPr>
          <w:rFonts w:ascii="Times New Roman" w:hAnsi="Times New Roman" w:cs="Times New Roman"/>
          <w:sz w:val="28"/>
          <w:szCs w:val="28"/>
        </w:rPr>
        <w:t xml:space="preserve"> </w:t>
      </w:r>
      <w:r w:rsidRPr="0018262C">
        <w:rPr>
          <w:rFonts w:ascii="Times New Roman" w:hAnsi="Times New Roman" w:cs="Times New Roman"/>
          <w:sz w:val="28"/>
          <w:szCs w:val="28"/>
        </w:rPr>
        <w:t>структури балансу для зниження заданих параметрів ризиків.</w:t>
      </w:r>
    </w:p>
    <w:p w:rsidR="00EA6894" w:rsidRPr="00EA6894" w:rsidRDefault="00EA6894" w:rsidP="005B7BE0">
      <w:pPr>
        <w:pStyle w:val="a4"/>
        <w:widowControl w:val="0"/>
        <w:spacing w:after="0" w:line="360" w:lineRule="auto"/>
        <w:ind w:left="0" w:firstLine="709"/>
        <w:jc w:val="both"/>
        <w:rPr>
          <w:rFonts w:ascii="Times New Roman" w:hAnsi="Times New Roman" w:cs="Times New Roman"/>
          <w:sz w:val="28"/>
          <w:szCs w:val="28"/>
        </w:rPr>
      </w:pPr>
      <w:r w:rsidRPr="00EA6894">
        <w:rPr>
          <w:rFonts w:ascii="Times New Roman" w:hAnsi="Times New Roman" w:cs="Times New Roman"/>
          <w:sz w:val="28"/>
          <w:szCs w:val="28"/>
        </w:rPr>
        <w:t>На обсяг та структуру ресурсного потенціалу банку впливають фактори ринкового середовища (регіонального, національного та міжнародного), що представлені економічними, політичними, правовими, соціальними, технологічними можливостями та загрозами для розвитку банку</w:t>
      </w:r>
      <w:r>
        <w:rPr>
          <w:rFonts w:ascii="Times New Roman" w:hAnsi="Times New Roman" w:cs="Times New Roman"/>
          <w:sz w:val="28"/>
          <w:szCs w:val="28"/>
        </w:rPr>
        <w:t>.</w:t>
      </w:r>
    </w:p>
    <w:p w:rsidR="000B3B32" w:rsidRDefault="000B3B32" w:rsidP="005B7BE0">
      <w:pPr>
        <w:pStyle w:val="a4"/>
        <w:widowControl w:val="0"/>
        <w:spacing w:after="0" w:line="360" w:lineRule="auto"/>
        <w:ind w:left="0" w:firstLine="709"/>
        <w:jc w:val="both"/>
        <w:rPr>
          <w:rFonts w:ascii="Times New Roman" w:hAnsi="Times New Roman" w:cs="Times New Roman"/>
          <w:sz w:val="28"/>
          <w:szCs w:val="28"/>
        </w:rPr>
      </w:pPr>
      <w:r w:rsidRPr="0018262C">
        <w:rPr>
          <w:rFonts w:ascii="Times New Roman" w:hAnsi="Times New Roman" w:cs="Times New Roman"/>
          <w:sz w:val="28"/>
          <w:szCs w:val="28"/>
        </w:rPr>
        <w:t xml:space="preserve">Управління ресурсами комерційних банків здійснюється на </w:t>
      </w:r>
      <w:proofErr w:type="spellStart"/>
      <w:r w:rsidRPr="0018262C">
        <w:rPr>
          <w:rFonts w:ascii="Times New Roman" w:hAnsi="Times New Roman" w:cs="Times New Roman"/>
          <w:sz w:val="28"/>
          <w:szCs w:val="28"/>
        </w:rPr>
        <w:t>макро</w:t>
      </w:r>
      <w:proofErr w:type="spellEnd"/>
      <w:r w:rsidRPr="0018262C">
        <w:rPr>
          <w:rFonts w:ascii="Times New Roman" w:hAnsi="Times New Roman" w:cs="Times New Roman"/>
          <w:sz w:val="28"/>
          <w:szCs w:val="28"/>
        </w:rPr>
        <w:t>- та мікроекономічному рівнях. На макроекономічному рівні управління ресурсами банку здійснюється шляхом регулювання маси грошей в обігу, впливу на темпи інфляції, фінансової підтримки реалізації пріоритетних економічних заходів, а на мікроекономічному шляхом регулюванням ресурсної бази банків задля обмеження або збільшення ї</w:t>
      </w:r>
      <w:r w:rsidR="00EA6894">
        <w:rPr>
          <w:rFonts w:ascii="Times New Roman" w:hAnsi="Times New Roman" w:cs="Times New Roman"/>
          <w:sz w:val="28"/>
          <w:szCs w:val="28"/>
        </w:rPr>
        <w:t>хнього кредитного потенціалу [</w:t>
      </w:r>
      <w:r>
        <w:rPr>
          <w:rFonts w:ascii="Times New Roman" w:hAnsi="Times New Roman" w:cs="Times New Roman"/>
          <w:sz w:val="28"/>
          <w:szCs w:val="28"/>
        </w:rPr>
        <w:t>2</w:t>
      </w:r>
      <w:r w:rsidRPr="0018262C">
        <w:rPr>
          <w:rFonts w:ascii="Times New Roman" w:hAnsi="Times New Roman" w:cs="Times New Roman"/>
          <w:sz w:val="28"/>
          <w:szCs w:val="28"/>
        </w:rPr>
        <w:t>, с. 49].</w:t>
      </w:r>
    </w:p>
    <w:p w:rsidR="002F4BAF" w:rsidRDefault="002F4BAF" w:rsidP="005B7BE0">
      <w:pPr>
        <w:pStyle w:val="a4"/>
        <w:widowControl w:val="0"/>
        <w:spacing w:after="0" w:line="360" w:lineRule="auto"/>
        <w:ind w:left="0" w:firstLine="709"/>
        <w:jc w:val="both"/>
        <w:rPr>
          <w:rFonts w:ascii="Times New Roman" w:hAnsi="Times New Roman" w:cs="Times New Roman"/>
          <w:sz w:val="28"/>
          <w:szCs w:val="28"/>
        </w:rPr>
      </w:pPr>
      <w:r w:rsidRPr="00DB009D">
        <w:rPr>
          <w:rFonts w:ascii="Times New Roman" w:hAnsi="Times New Roman" w:cs="Times New Roman"/>
          <w:sz w:val="28"/>
          <w:szCs w:val="28"/>
        </w:rPr>
        <w:lastRenderedPageBreak/>
        <w:t>Отже, ресурсний потенціал є основою довгострокового розвитку банку. За сучасних умов посилення конкуренції банків за обмежені ресурси, основним критерієм їх виживання на ринку стає спроможність своєчасно реагувати на зміни середовища, та, відповідно до них, впроваджувати інновації у сфері формування та вик</w:t>
      </w:r>
      <w:r>
        <w:rPr>
          <w:rFonts w:ascii="Times New Roman" w:hAnsi="Times New Roman" w:cs="Times New Roman"/>
          <w:sz w:val="28"/>
          <w:szCs w:val="28"/>
        </w:rPr>
        <w:t xml:space="preserve">ористання ресурсного потенціалу, а </w:t>
      </w:r>
      <w:r w:rsidRPr="003149D7">
        <w:rPr>
          <w:rFonts w:ascii="Times New Roman" w:hAnsi="Times New Roman" w:cs="Times New Roman"/>
          <w:sz w:val="28"/>
          <w:szCs w:val="28"/>
        </w:rPr>
        <w:t>ефективне управління ресурсним потенціалом банку на сучасному етапі є досить важливим для забезпечення конкурентоспроможності банку, адже дозволяє вчасно знаходити можливості зовнішнього та внутрішнього середовища та використовувати їх у відповідності із своїми цілями.</w:t>
      </w:r>
    </w:p>
    <w:p w:rsidR="002F4BAF" w:rsidRDefault="002F4BAF" w:rsidP="002F4BAF">
      <w:pPr>
        <w:widowControl w:val="0"/>
        <w:spacing w:after="0" w:line="336" w:lineRule="auto"/>
        <w:ind w:firstLine="709"/>
        <w:jc w:val="both"/>
        <w:rPr>
          <w:rFonts w:ascii="Times New Roman" w:hAnsi="Times New Roman" w:cs="Times New Roman"/>
          <w:sz w:val="28"/>
          <w:szCs w:val="28"/>
        </w:rPr>
      </w:pPr>
    </w:p>
    <w:p w:rsidR="00384D32" w:rsidRPr="00EA6894" w:rsidRDefault="00EA6894" w:rsidP="00EA6894">
      <w:pPr>
        <w:widowControl w:val="0"/>
        <w:spacing w:after="0" w:line="336" w:lineRule="auto"/>
        <w:ind w:firstLine="709"/>
        <w:jc w:val="center"/>
        <w:rPr>
          <w:rFonts w:ascii="Times New Roman" w:hAnsi="Times New Roman" w:cs="Times New Roman"/>
          <w:b/>
          <w:sz w:val="28"/>
          <w:szCs w:val="28"/>
        </w:rPr>
      </w:pPr>
      <w:r>
        <w:rPr>
          <w:rFonts w:ascii="Times New Roman" w:hAnsi="Times New Roman" w:cs="Times New Roman"/>
          <w:b/>
          <w:sz w:val="28"/>
          <w:szCs w:val="28"/>
        </w:rPr>
        <w:t>Список використаної літератури</w:t>
      </w:r>
    </w:p>
    <w:p w:rsidR="00EA6894" w:rsidRPr="00EA6894" w:rsidRDefault="00EA6894" w:rsidP="005B7BE0">
      <w:pPr>
        <w:pStyle w:val="a4"/>
        <w:widowControl w:val="0"/>
        <w:numPr>
          <w:ilvl w:val="0"/>
          <w:numId w:val="1"/>
        </w:numPr>
        <w:tabs>
          <w:tab w:val="left" w:pos="851"/>
          <w:tab w:val="left" w:pos="1134"/>
          <w:tab w:val="left" w:pos="1418"/>
        </w:tabs>
        <w:spacing w:after="0" w:line="360" w:lineRule="auto"/>
        <w:ind w:left="0" w:firstLine="709"/>
        <w:jc w:val="both"/>
        <w:rPr>
          <w:rFonts w:ascii="Times New Roman" w:hAnsi="Times New Roman" w:cs="Times New Roman"/>
          <w:sz w:val="28"/>
          <w:szCs w:val="28"/>
        </w:rPr>
      </w:pPr>
      <w:proofErr w:type="spellStart"/>
      <w:r w:rsidRPr="000D7C49">
        <w:rPr>
          <w:rFonts w:ascii="Times New Roman" w:hAnsi="Times New Roman" w:cs="Times New Roman"/>
          <w:sz w:val="28"/>
          <w:szCs w:val="28"/>
        </w:rPr>
        <w:t>Дрьомова</w:t>
      </w:r>
      <w:proofErr w:type="spellEnd"/>
      <w:r w:rsidRPr="000D7C49">
        <w:rPr>
          <w:rFonts w:ascii="Times New Roman" w:hAnsi="Times New Roman" w:cs="Times New Roman"/>
          <w:sz w:val="28"/>
          <w:szCs w:val="28"/>
        </w:rPr>
        <w:t xml:space="preserve"> У. В. Проблемні аспекти формування та оцінки потенціалу розвитку банківського довгострокового кредитування / У. В. </w:t>
      </w:r>
      <w:proofErr w:type="spellStart"/>
      <w:r w:rsidRPr="000D7C49">
        <w:rPr>
          <w:rFonts w:ascii="Times New Roman" w:hAnsi="Times New Roman" w:cs="Times New Roman"/>
          <w:sz w:val="28"/>
          <w:szCs w:val="28"/>
        </w:rPr>
        <w:t>Дрьомова</w:t>
      </w:r>
      <w:proofErr w:type="spellEnd"/>
      <w:r w:rsidRPr="000D7C49">
        <w:rPr>
          <w:rFonts w:ascii="Times New Roman" w:hAnsi="Times New Roman" w:cs="Times New Roman"/>
          <w:sz w:val="28"/>
          <w:szCs w:val="28"/>
        </w:rPr>
        <w:t xml:space="preserve"> // Вісник Дніпропетровської державної фінансової академії . – 2009. – №1. – С. 105–111.</w:t>
      </w:r>
    </w:p>
    <w:p w:rsidR="00EA6894" w:rsidRDefault="00EA6894" w:rsidP="005B7BE0">
      <w:pPr>
        <w:pStyle w:val="a4"/>
        <w:widowControl w:val="0"/>
        <w:numPr>
          <w:ilvl w:val="0"/>
          <w:numId w:val="1"/>
        </w:numPr>
        <w:tabs>
          <w:tab w:val="left" w:pos="851"/>
          <w:tab w:val="left" w:pos="1134"/>
          <w:tab w:val="left" w:pos="1418"/>
        </w:tabs>
        <w:spacing w:after="0" w:line="360" w:lineRule="auto"/>
        <w:ind w:left="0" w:firstLine="709"/>
        <w:jc w:val="both"/>
        <w:rPr>
          <w:rFonts w:ascii="Times New Roman" w:hAnsi="Times New Roman" w:cs="Times New Roman"/>
          <w:sz w:val="28"/>
          <w:szCs w:val="28"/>
        </w:rPr>
      </w:pPr>
      <w:r w:rsidRPr="000D7C49">
        <w:rPr>
          <w:rFonts w:ascii="Times New Roman" w:hAnsi="Times New Roman" w:cs="Times New Roman"/>
          <w:sz w:val="28"/>
          <w:szCs w:val="28"/>
        </w:rPr>
        <w:t>Загородній А. Г. Фінансово-економічний словник / А. Г. Загородній, Г. Л. Вознюк. – Львів : Львівська політехніка, 2005. – 713 с.</w:t>
      </w:r>
    </w:p>
    <w:p w:rsidR="00B66FF2" w:rsidRPr="00B66FF2" w:rsidRDefault="00B66FF2" w:rsidP="00B66FF2">
      <w:pPr>
        <w:pStyle w:val="a4"/>
        <w:widowControl w:val="0"/>
        <w:numPr>
          <w:ilvl w:val="0"/>
          <w:numId w:val="1"/>
        </w:numPr>
        <w:tabs>
          <w:tab w:val="left" w:pos="851"/>
          <w:tab w:val="left" w:pos="1134"/>
          <w:tab w:val="left" w:pos="1418"/>
        </w:tabs>
        <w:spacing w:after="0" w:line="360" w:lineRule="auto"/>
        <w:ind w:left="0" w:firstLine="709"/>
        <w:jc w:val="both"/>
        <w:rPr>
          <w:rFonts w:ascii="Times New Roman" w:hAnsi="Times New Roman" w:cs="Times New Roman"/>
          <w:sz w:val="28"/>
          <w:szCs w:val="28"/>
        </w:rPr>
      </w:pPr>
      <w:r w:rsidRPr="000D7C49">
        <w:rPr>
          <w:rFonts w:ascii="Times New Roman" w:hAnsi="Times New Roman" w:cs="Times New Roman"/>
          <w:sz w:val="28"/>
          <w:szCs w:val="28"/>
        </w:rPr>
        <w:t xml:space="preserve">Кириченко О. Банківський менеджмент: </w:t>
      </w:r>
      <w:proofErr w:type="spellStart"/>
      <w:r w:rsidRPr="000D7C49">
        <w:rPr>
          <w:rFonts w:ascii="Times New Roman" w:hAnsi="Times New Roman" w:cs="Times New Roman"/>
          <w:sz w:val="28"/>
          <w:szCs w:val="28"/>
        </w:rPr>
        <w:t>навч</w:t>
      </w:r>
      <w:proofErr w:type="spellEnd"/>
      <w:r w:rsidRPr="000D7C49">
        <w:rPr>
          <w:rFonts w:ascii="Times New Roman" w:hAnsi="Times New Roman" w:cs="Times New Roman"/>
          <w:sz w:val="28"/>
          <w:szCs w:val="28"/>
        </w:rPr>
        <w:t>. посібник / О. Кириченко, І. </w:t>
      </w:r>
      <w:proofErr w:type="spellStart"/>
      <w:r w:rsidRPr="000D7C49">
        <w:rPr>
          <w:rFonts w:ascii="Times New Roman" w:hAnsi="Times New Roman" w:cs="Times New Roman"/>
          <w:sz w:val="28"/>
          <w:szCs w:val="28"/>
        </w:rPr>
        <w:t>Гіленко</w:t>
      </w:r>
      <w:proofErr w:type="spellEnd"/>
      <w:r w:rsidRPr="000D7C49">
        <w:rPr>
          <w:rFonts w:ascii="Times New Roman" w:hAnsi="Times New Roman" w:cs="Times New Roman"/>
          <w:sz w:val="28"/>
          <w:szCs w:val="28"/>
        </w:rPr>
        <w:t xml:space="preserve">, А. </w:t>
      </w:r>
      <w:proofErr w:type="spellStart"/>
      <w:r w:rsidRPr="000D7C49">
        <w:rPr>
          <w:rFonts w:ascii="Times New Roman" w:hAnsi="Times New Roman" w:cs="Times New Roman"/>
          <w:sz w:val="28"/>
          <w:szCs w:val="28"/>
        </w:rPr>
        <w:t>Ятченко</w:t>
      </w:r>
      <w:proofErr w:type="spellEnd"/>
      <w:r w:rsidRPr="000D7C49">
        <w:rPr>
          <w:rFonts w:ascii="Times New Roman" w:hAnsi="Times New Roman" w:cs="Times New Roman"/>
          <w:sz w:val="28"/>
          <w:szCs w:val="28"/>
        </w:rPr>
        <w:t>. – К. : Основи, 1999. – 671 с.</w:t>
      </w:r>
    </w:p>
    <w:p w:rsidR="00EA6894" w:rsidRPr="000D7C49" w:rsidRDefault="00EA6894" w:rsidP="005B7BE0">
      <w:pPr>
        <w:pStyle w:val="a4"/>
        <w:widowControl w:val="0"/>
        <w:numPr>
          <w:ilvl w:val="0"/>
          <w:numId w:val="1"/>
        </w:numPr>
        <w:tabs>
          <w:tab w:val="left" w:pos="851"/>
          <w:tab w:val="left" w:pos="1134"/>
          <w:tab w:val="left" w:pos="1418"/>
        </w:tabs>
        <w:spacing w:after="0" w:line="360" w:lineRule="auto"/>
        <w:ind w:left="0" w:firstLine="709"/>
        <w:jc w:val="both"/>
        <w:rPr>
          <w:rFonts w:ascii="Times New Roman" w:hAnsi="Times New Roman" w:cs="Times New Roman"/>
          <w:sz w:val="28"/>
          <w:szCs w:val="28"/>
        </w:rPr>
      </w:pPr>
      <w:proofErr w:type="spellStart"/>
      <w:r w:rsidRPr="000D7C49">
        <w:rPr>
          <w:rFonts w:ascii="Times New Roman" w:hAnsi="Times New Roman" w:cs="Times New Roman"/>
          <w:sz w:val="28"/>
          <w:szCs w:val="28"/>
        </w:rPr>
        <w:t>Краснокутська</w:t>
      </w:r>
      <w:proofErr w:type="spellEnd"/>
      <w:r w:rsidRPr="000D7C49">
        <w:rPr>
          <w:rFonts w:ascii="Times New Roman" w:hAnsi="Times New Roman" w:cs="Times New Roman"/>
          <w:sz w:val="28"/>
          <w:szCs w:val="28"/>
        </w:rPr>
        <w:t xml:space="preserve"> Н. С. Потенціал підприємства: формування та оцінка : </w:t>
      </w:r>
      <w:proofErr w:type="spellStart"/>
      <w:r w:rsidRPr="000D7C49">
        <w:rPr>
          <w:rFonts w:ascii="Times New Roman" w:hAnsi="Times New Roman" w:cs="Times New Roman"/>
          <w:sz w:val="28"/>
          <w:szCs w:val="28"/>
        </w:rPr>
        <w:t>навч</w:t>
      </w:r>
      <w:proofErr w:type="spellEnd"/>
      <w:r w:rsidRPr="000D7C49">
        <w:rPr>
          <w:rFonts w:ascii="Times New Roman" w:hAnsi="Times New Roman" w:cs="Times New Roman"/>
          <w:sz w:val="28"/>
          <w:szCs w:val="28"/>
        </w:rPr>
        <w:t xml:space="preserve">. </w:t>
      </w:r>
      <w:proofErr w:type="spellStart"/>
      <w:r w:rsidRPr="000D7C49">
        <w:rPr>
          <w:rFonts w:ascii="Times New Roman" w:hAnsi="Times New Roman" w:cs="Times New Roman"/>
          <w:sz w:val="28"/>
          <w:szCs w:val="28"/>
        </w:rPr>
        <w:t>посіб</w:t>
      </w:r>
      <w:proofErr w:type="spellEnd"/>
      <w:r w:rsidRPr="000D7C49">
        <w:rPr>
          <w:rFonts w:ascii="Times New Roman" w:hAnsi="Times New Roman" w:cs="Times New Roman"/>
          <w:sz w:val="28"/>
          <w:szCs w:val="28"/>
        </w:rPr>
        <w:t xml:space="preserve">. / Н. С. </w:t>
      </w:r>
      <w:proofErr w:type="spellStart"/>
      <w:r w:rsidRPr="000D7C49">
        <w:rPr>
          <w:rFonts w:ascii="Times New Roman" w:hAnsi="Times New Roman" w:cs="Times New Roman"/>
          <w:sz w:val="28"/>
          <w:szCs w:val="28"/>
        </w:rPr>
        <w:t>Краснокутська</w:t>
      </w:r>
      <w:proofErr w:type="spellEnd"/>
      <w:r w:rsidRPr="000D7C49">
        <w:rPr>
          <w:rFonts w:ascii="Times New Roman" w:hAnsi="Times New Roman" w:cs="Times New Roman"/>
          <w:sz w:val="28"/>
          <w:szCs w:val="28"/>
        </w:rPr>
        <w:t xml:space="preserve">. – К. : Центр </w:t>
      </w:r>
      <w:proofErr w:type="spellStart"/>
      <w:r w:rsidRPr="000D7C49">
        <w:rPr>
          <w:rFonts w:ascii="Times New Roman" w:hAnsi="Times New Roman" w:cs="Times New Roman"/>
          <w:sz w:val="28"/>
          <w:szCs w:val="28"/>
        </w:rPr>
        <w:t>навч</w:t>
      </w:r>
      <w:proofErr w:type="spellEnd"/>
      <w:r w:rsidRPr="000D7C49">
        <w:rPr>
          <w:rFonts w:ascii="Times New Roman" w:hAnsi="Times New Roman" w:cs="Times New Roman"/>
          <w:sz w:val="28"/>
          <w:szCs w:val="28"/>
        </w:rPr>
        <w:t>. л-ри, 2005. – 352 с.</w:t>
      </w:r>
    </w:p>
    <w:p w:rsidR="00372B53" w:rsidRPr="000D7C49" w:rsidRDefault="00372B53" w:rsidP="005B7BE0">
      <w:pPr>
        <w:pStyle w:val="a4"/>
        <w:widowControl w:val="0"/>
        <w:numPr>
          <w:ilvl w:val="0"/>
          <w:numId w:val="1"/>
        </w:numPr>
        <w:tabs>
          <w:tab w:val="left" w:pos="851"/>
          <w:tab w:val="left" w:pos="1134"/>
          <w:tab w:val="left" w:pos="1418"/>
        </w:tabs>
        <w:spacing w:after="0" w:line="360" w:lineRule="auto"/>
        <w:ind w:left="0" w:firstLine="709"/>
        <w:jc w:val="both"/>
        <w:rPr>
          <w:rFonts w:ascii="Times New Roman" w:hAnsi="Times New Roman" w:cs="Times New Roman"/>
          <w:sz w:val="28"/>
          <w:szCs w:val="28"/>
        </w:rPr>
      </w:pPr>
      <w:proofErr w:type="spellStart"/>
      <w:r w:rsidRPr="000D7C49">
        <w:rPr>
          <w:rFonts w:ascii="Times New Roman" w:hAnsi="Times New Roman" w:cs="Times New Roman"/>
          <w:sz w:val="28"/>
          <w:szCs w:val="28"/>
        </w:rPr>
        <w:t>Плотніцький</w:t>
      </w:r>
      <w:proofErr w:type="spellEnd"/>
      <w:r w:rsidRPr="000D7C49">
        <w:rPr>
          <w:rFonts w:ascii="Times New Roman" w:hAnsi="Times New Roman" w:cs="Times New Roman"/>
          <w:sz w:val="28"/>
          <w:szCs w:val="28"/>
        </w:rPr>
        <w:t xml:space="preserve"> А. В. Оцінка ресурсного потенціалу банківських установ / А. В. </w:t>
      </w:r>
      <w:proofErr w:type="spellStart"/>
      <w:r w:rsidRPr="000D7C49">
        <w:rPr>
          <w:rFonts w:ascii="Times New Roman" w:hAnsi="Times New Roman" w:cs="Times New Roman"/>
          <w:sz w:val="28"/>
          <w:szCs w:val="28"/>
        </w:rPr>
        <w:t>Плотніцький</w:t>
      </w:r>
      <w:proofErr w:type="spellEnd"/>
      <w:r w:rsidRPr="000D7C49">
        <w:rPr>
          <w:rFonts w:ascii="Times New Roman" w:hAnsi="Times New Roman" w:cs="Times New Roman"/>
          <w:sz w:val="28"/>
          <w:szCs w:val="28"/>
        </w:rPr>
        <w:t xml:space="preserve"> // Молодіжний науковий вісник УАБС НБУ. – 2013. – №3. – С. 92 – 99.</w:t>
      </w:r>
    </w:p>
    <w:p w:rsidR="00372B53" w:rsidRPr="000D7C49" w:rsidRDefault="00372B53" w:rsidP="005B7BE0">
      <w:pPr>
        <w:pStyle w:val="a4"/>
        <w:widowControl w:val="0"/>
        <w:numPr>
          <w:ilvl w:val="0"/>
          <w:numId w:val="1"/>
        </w:numPr>
        <w:tabs>
          <w:tab w:val="left" w:pos="851"/>
          <w:tab w:val="left" w:pos="1134"/>
          <w:tab w:val="left" w:pos="1418"/>
        </w:tabs>
        <w:spacing w:after="0" w:line="360" w:lineRule="auto"/>
        <w:ind w:left="0" w:firstLine="709"/>
        <w:jc w:val="both"/>
        <w:rPr>
          <w:rFonts w:ascii="Times New Roman" w:hAnsi="Times New Roman" w:cs="Times New Roman"/>
          <w:sz w:val="28"/>
          <w:szCs w:val="28"/>
        </w:rPr>
      </w:pPr>
      <w:r w:rsidRPr="000D7C49">
        <w:rPr>
          <w:rFonts w:ascii="Times New Roman" w:hAnsi="Times New Roman" w:cs="Times New Roman"/>
          <w:sz w:val="28"/>
          <w:szCs w:val="28"/>
        </w:rPr>
        <w:t xml:space="preserve">Примостка Л. О. Фінансовий менеджмент у банку : підручник / Л. О. Примостка. – 2-ге вид., </w:t>
      </w:r>
      <w:proofErr w:type="spellStart"/>
      <w:r w:rsidRPr="000D7C49">
        <w:rPr>
          <w:rFonts w:ascii="Times New Roman" w:hAnsi="Times New Roman" w:cs="Times New Roman"/>
          <w:sz w:val="28"/>
          <w:szCs w:val="28"/>
        </w:rPr>
        <w:t>доп</w:t>
      </w:r>
      <w:proofErr w:type="spellEnd"/>
      <w:r w:rsidRPr="000D7C49">
        <w:rPr>
          <w:rFonts w:ascii="Times New Roman" w:hAnsi="Times New Roman" w:cs="Times New Roman"/>
          <w:sz w:val="28"/>
          <w:szCs w:val="28"/>
        </w:rPr>
        <w:t>. і перероб. – К. : КНЕУ, 2004. – 468 с.</w:t>
      </w:r>
    </w:p>
    <w:p w:rsidR="00372B53" w:rsidRPr="00384D32" w:rsidRDefault="00372B53" w:rsidP="00372B53">
      <w:pPr>
        <w:spacing w:after="0" w:line="360" w:lineRule="auto"/>
        <w:ind w:firstLine="709"/>
        <w:jc w:val="both"/>
        <w:rPr>
          <w:rFonts w:ascii="Times New Roman" w:hAnsi="Times New Roman" w:cs="Times New Roman"/>
          <w:sz w:val="28"/>
          <w:szCs w:val="28"/>
        </w:rPr>
      </w:pPr>
    </w:p>
    <w:p w:rsidR="00EA6894" w:rsidRPr="00384D32" w:rsidRDefault="00EA6894" w:rsidP="002F4BAF">
      <w:pPr>
        <w:spacing w:after="0" w:line="360" w:lineRule="auto"/>
        <w:ind w:firstLine="709"/>
        <w:jc w:val="both"/>
        <w:rPr>
          <w:rFonts w:ascii="Times New Roman" w:hAnsi="Times New Roman" w:cs="Times New Roman"/>
          <w:sz w:val="28"/>
          <w:szCs w:val="28"/>
        </w:rPr>
      </w:pPr>
    </w:p>
    <w:sectPr w:rsidR="00EA6894" w:rsidRPr="00384D32" w:rsidSect="008160D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7853A9"/>
    <w:multiLevelType w:val="hybridMultilevel"/>
    <w:tmpl w:val="5F165D9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 w15:restartNumberingAfterBreak="0">
    <w:nsid w:val="73AC546B"/>
    <w:multiLevelType w:val="hybridMultilevel"/>
    <w:tmpl w:val="A6861222"/>
    <w:lvl w:ilvl="0" w:tplc="D894538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60DB"/>
    <w:rsid w:val="000B3B32"/>
    <w:rsid w:val="00123012"/>
    <w:rsid w:val="001E5A15"/>
    <w:rsid w:val="002D36F4"/>
    <w:rsid w:val="002F4BAF"/>
    <w:rsid w:val="00372B53"/>
    <w:rsid w:val="00384D32"/>
    <w:rsid w:val="005B7BE0"/>
    <w:rsid w:val="006F151B"/>
    <w:rsid w:val="00721242"/>
    <w:rsid w:val="008160DB"/>
    <w:rsid w:val="008C1B5D"/>
    <w:rsid w:val="00923634"/>
    <w:rsid w:val="00AB151E"/>
    <w:rsid w:val="00B20F50"/>
    <w:rsid w:val="00B66FF2"/>
    <w:rsid w:val="00C626F7"/>
    <w:rsid w:val="00C74354"/>
    <w:rsid w:val="00EA6894"/>
    <w:rsid w:val="00F746C4"/>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508EA5C-891A-4F3F-A160-E5F7C79C4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2124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160DB"/>
    <w:rPr>
      <w:color w:val="0000FF" w:themeColor="hyperlink"/>
      <w:u w:val="single"/>
    </w:rPr>
  </w:style>
  <w:style w:type="paragraph" w:styleId="a4">
    <w:name w:val="List Paragraph"/>
    <w:basedOn w:val="a"/>
    <w:uiPriority w:val="34"/>
    <w:qFormat/>
    <w:rsid w:val="002D36F4"/>
    <w:pPr>
      <w:spacing w:after="160" w:line="259" w:lineRule="auto"/>
      <w:ind w:left="720"/>
      <w:contextualSpacing/>
    </w:pPr>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vitabogach77@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5823</Words>
  <Characters>3320</Characters>
  <Application>Microsoft Office Word</Application>
  <DocSecurity>0</DocSecurity>
  <Lines>27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9125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dc:creator>
  <cp:lastModifiedBy>АЛИНА</cp:lastModifiedBy>
  <cp:revision>2</cp:revision>
  <dcterms:created xsi:type="dcterms:W3CDTF">2018-04-04T19:15:00Z</dcterms:created>
  <dcterms:modified xsi:type="dcterms:W3CDTF">2018-04-04T19:15:00Z</dcterms:modified>
</cp:coreProperties>
</file>