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before="72"/>
        <w:ind w:left="3969" w:right="109" w:firstLine="3012"/>
        <w:jc w:val="right"/>
        <w:rPr>
          <w:i/>
          <w:sz w:val="28"/>
        </w:rPr>
      </w:pPr>
      <w:r>
        <w:rPr>
          <w:b/>
          <w:sz w:val="28"/>
        </w:rPr>
        <w:t>Наталія Школяр,</w:t>
      </w:r>
      <w:r>
        <w:rPr>
          <w:b/>
          <w:w w:val="100"/>
          <w:sz w:val="28"/>
        </w:rPr>
        <w:t> </w:t>
      </w:r>
      <w:r>
        <w:rPr>
          <w:i/>
          <w:sz w:val="28"/>
        </w:rPr>
        <w:t>кандидат педагогічних наук,</w:t>
      </w:r>
      <w:r>
        <w:rPr>
          <w:i/>
          <w:w w:val="100"/>
          <w:sz w:val="28"/>
        </w:rPr>
        <w:t> </w:t>
      </w:r>
      <w:r>
        <w:rPr>
          <w:i/>
          <w:sz w:val="28"/>
        </w:rPr>
        <w:t>Хмельницький національний університет</w:t>
      </w:r>
    </w:p>
    <w:p>
      <w:pPr>
        <w:spacing w:line="317" w:lineRule="exact" w:before="0"/>
        <w:ind w:left="5919" w:right="0" w:firstLine="0"/>
        <w:jc w:val="left"/>
        <w:rPr>
          <w:i/>
          <w:sz w:val="28"/>
        </w:rPr>
      </w:pPr>
      <w:r>
        <w:rPr>
          <w:i/>
          <w:sz w:val="28"/>
        </w:rPr>
        <w:t>(м. Хмельницький, Україна)</w:t>
      </w:r>
    </w:p>
    <w:p>
      <w:pPr>
        <w:pStyle w:val="BodyText"/>
        <w:spacing w:before="11"/>
        <w:ind w:left="0" w:firstLine="0"/>
        <w:jc w:val="left"/>
        <w:rPr>
          <w:i/>
          <w:sz w:val="27"/>
        </w:rPr>
      </w:pPr>
    </w:p>
    <w:p>
      <w:pPr>
        <w:pStyle w:val="Heading1"/>
        <w:ind w:right="463" w:firstLine="127"/>
      </w:pPr>
      <w:r>
        <w:rPr/>
        <w:t>ВПЛИВ ІНТЕРАКТИВНИХ МЕТОДІВ НАВЧАННЯ НА РОЗВИТОК ПРОФЕСІЙНО ВАЖЛИВИХ ЯКОСТЕЙ</w:t>
      </w:r>
    </w:p>
    <w:p>
      <w:pPr>
        <w:spacing w:line="317" w:lineRule="exact" w:before="0"/>
        <w:ind w:left="1677" w:right="0" w:firstLine="0"/>
        <w:jc w:val="left"/>
        <w:rPr>
          <w:b/>
          <w:sz w:val="28"/>
        </w:rPr>
      </w:pPr>
      <w:r>
        <w:rPr>
          <w:b/>
          <w:sz w:val="28"/>
        </w:rPr>
        <w:t>ОСОБИСТОСТІ МАЙБУТНЬОГО ФАХІВЦЯ</w:t>
      </w:r>
    </w:p>
    <w:p>
      <w:pPr>
        <w:pStyle w:val="BodyText"/>
        <w:spacing w:before="2"/>
        <w:ind w:left="0" w:firstLine="0"/>
        <w:jc w:val="left"/>
        <w:rPr>
          <w:b/>
        </w:rPr>
      </w:pPr>
    </w:p>
    <w:p>
      <w:pPr>
        <w:pStyle w:val="BodyText"/>
        <w:ind w:right="110"/>
      </w:pPr>
      <w:r>
        <w:rPr/>
        <w:t>Успішність професійної освіти та результат  професійної діяльності значною мірою залежать від професійних якостей фахівця, тому їх необхідно брати до уваги під час професійного відбору враховуючи той факт, що деякі з них підлягають розвитку й тренуванню. У зв’язку з цим існує можливість здійснювати спеціально спрямоване формування та удосконалення таких професійних якостей під час підготовки до майбутньої професійної</w:t>
      </w:r>
      <w:r>
        <w:rPr>
          <w:spacing w:val="-9"/>
        </w:rPr>
        <w:t> </w:t>
      </w:r>
      <w:r>
        <w:rPr/>
        <w:t>діяльності.</w:t>
      </w:r>
    </w:p>
    <w:p>
      <w:pPr>
        <w:pStyle w:val="BodyText"/>
        <w:ind w:right="109"/>
      </w:pPr>
      <w:r>
        <w:rPr/>
        <w:t>В основі особистісно зорієнтованого підходу знаходяться не лише знання, уміння й навички як головний критерій успішності підготовки, функціонально-оперативна підготовленість до здійснення певних видів діяльності, але й формування особистісних якостей: суспільної активності, зорієнтованості, творчих здібностей та умінь, волі, самостійності, емоційної сфери, рис характеру. Це передбачає відмову від усередненого підходу до освіти, виключення стилю навчання, що пригнічує особистість, і створення умов для максимального прояву позитивних задатків, самобутності та оригінальності.</w:t>
      </w:r>
    </w:p>
    <w:p>
      <w:pPr>
        <w:pStyle w:val="BodyText"/>
        <w:spacing w:before="2"/>
        <w:ind w:right="107"/>
      </w:pPr>
      <w:r>
        <w:rPr/>
        <w:t>Подальший професійний розвиток особистості визначається її діяльністю. На думку В. Сластьоніна [1], ефективність процесу засвоєння особистістю професійних знань, формування відповідних умінь і навичок безпосередньо залежить від різноманітності та значущості для неї певної діяльності. Соціальне середовище, в якому майбутній фахівець здобуває вищу освіту, здійснює значний вплив на його особистісні якості, які, у свою чергу, виступають активним стимулом діяльності, у тому числі діяльності, спрямованої на набуття професійних умінь і навичок. На нашу думку, реалізація діяльнісного підходу в процесі підготовки створить передумови для конструктивного розв’язання завдань, спрямованих на розвиток професійно важливих якостей особистості майбутніх фахівців. З огляду на все вищезазначене, вважаємо необхідним здійснювати позитивний вплив на розвиток самостійності та комунікативних умінь майбутніх фахівців як професійно важливих якостей особистості, від ступеню розвитку яких залежить їхня професійна</w:t>
      </w:r>
      <w:r>
        <w:rPr>
          <w:spacing w:val="-9"/>
        </w:rPr>
        <w:t> </w:t>
      </w:r>
      <w:r>
        <w:rPr/>
        <w:t>компетентність.</w:t>
      </w:r>
    </w:p>
    <w:p>
      <w:pPr>
        <w:pStyle w:val="BodyText"/>
        <w:ind w:right="107"/>
      </w:pPr>
      <w:r>
        <w:rPr/>
        <w:t>Термін «професійно орієнтована підготовка» використовується для позначення процесу викладання іноземної мови в ЗВО, орієнтованого на читання фахової літератури, вивчення фахової термінології    та    на    спілкування    у    сфері    професійної  діяльності.</w:t>
      </w:r>
    </w:p>
    <w:p>
      <w:pPr>
        <w:spacing w:after="0"/>
        <w:sectPr>
          <w:footerReference w:type="default" r:id="rId5"/>
          <w:pgSz w:w="11910" w:h="16840"/>
          <w:pgMar w:footer="782" w:header="0" w:top="1040" w:bottom="980" w:left="1160" w:right="1020"/>
          <w:pgNumType w:start="261"/>
        </w:sectPr>
      </w:pPr>
    </w:p>
    <w:p>
      <w:pPr>
        <w:pStyle w:val="BodyText"/>
        <w:spacing w:before="72"/>
        <w:ind w:right="105" w:firstLine="0"/>
      </w:pPr>
      <w:r>
        <w:rPr/>
        <w:t>Розглядаючи професійно орієнтовану підготовку та іншомовне спілкування, ми можемо зробити висновок, що ключовим елементом є цілеспрямована професійна орієнтація всіх складників, які формуються й розвиваються на базі міждисциплінарних зв’язків і зумовлені інтеграцією програми навчання іншомовному спілкуванню з програмами профільних дисциплін на ґрунті спеціально розроблених методів і засобів. Варто зазначити, що розвиток комунікативних умінь зумовлено професійною орієнтацією та є необхідним у зв’язку з тим, що у ЗВО основною метою є не уміння здійснювати іншомовне спілкування, а підготовка майбутнього фахівця до здійснення професійної діяльності.</w:t>
      </w:r>
    </w:p>
    <w:p>
      <w:pPr>
        <w:pStyle w:val="BodyText"/>
        <w:spacing w:before="1"/>
        <w:ind w:right="107"/>
      </w:pPr>
      <w:r>
        <w:rPr/>
        <w:t>Нині особлива увага приділяється активним формам освітнього процесу – взаємодії, співпраці педагогів і студентів, а також самих студентів між собою, де діяльність викладача спрямована на розробку  й використання такого змісту, прийомів і засобів навчання, які сприяють підвищенню зацікавленості, самостійності, творчої  активності студентів у засвоєнні знань, формуванні умінь та навичок в  їх практичному</w:t>
      </w:r>
      <w:r>
        <w:rPr>
          <w:spacing w:val="-5"/>
        </w:rPr>
        <w:t> </w:t>
      </w:r>
      <w:r>
        <w:rPr/>
        <w:t>застосуванні.</w:t>
      </w:r>
    </w:p>
    <w:p>
      <w:pPr>
        <w:pStyle w:val="BodyText"/>
        <w:spacing w:before="1"/>
        <w:ind w:right="111"/>
      </w:pPr>
      <w:r>
        <w:rPr/>
        <w:t>Впродовж тривалого часу науковцями, педагогами, психологами розглядаються можливості упровадження інтерактивних методів навчання з метою відповідності вимогам сучасної освіти та покращення рівня підготовки майбутніх фахівців. Технологія інтерактивного навчання є способом реалізації змісту підготовки, у якій студенти беруть активну участь, вони є мотивованими на самостійний пошук рішення комунікативних або проблемних завдань</w:t>
      </w:r>
      <w:r>
        <w:rPr>
          <w:spacing w:val="-13"/>
        </w:rPr>
        <w:t> </w:t>
      </w:r>
      <w:r>
        <w:rPr/>
        <w:t>[2].</w:t>
      </w:r>
    </w:p>
    <w:p>
      <w:pPr>
        <w:pStyle w:val="BodyText"/>
        <w:spacing w:before="1"/>
        <w:ind w:right="109"/>
      </w:pPr>
      <w:r>
        <w:rPr/>
        <w:t>При використанні традиційних форм і методів навчання методів викладач перебуває в активному стані, а студенти переважно пасивно сприймають інформацію, тобто процес має інтелектуально пасивний характер [3]. Традиційні форми та методи навчання можуть забезпечувати передачу знань, але вони не завжди є ефективними для формування професійно важливих якостей особистості майбутніх фахівців. Інтерактивні методи навчання здатні активізувати пізнавальну діяльність студентів, підвищити мотивацію та емоційність навчання, формувати професійну компетентність [4]. Серед ознак застосування інтерактивних методів навчання є результативність, спрямованість методів на розвиток особистості студентів у процесі підготовки, оптимальна організація навчального матеріалу, організація освітнього процесу відповідно до навчальної мети, де більша увага приділяється самостійній роботі студентів з навчальним матеріалом. Застосування таких методів викликає в майбутніх фахівців зацікавленість у навчально-пізнавальній діяльності, що є дуже важливим для формування мотивованого ставлення до занять, розвитку творчих здібностей та професійно важливих якостей майбутніх  фахівців.  Саме  тому  виникає  необхідність  </w:t>
      </w:r>
      <w:r>
        <w:rPr>
          <w:spacing w:val="23"/>
        </w:rPr>
        <w:t> </w:t>
      </w:r>
      <w:r>
        <w:rPr/>
        <w:t>запровадження</w:t>
      </w:r>
    </w:p>
    <w:p>
      <w:pPr>
        <w:spacing w:after="0"/>
        <w:sectPr>
          <w:pgSz w:w="11910" w:h="16840"/>
          <w:pgMar w:header="0" w:footer="782" w:top="1040" w:bottom="980" w:left="1160" w:right="1020"/>
        </w:sectPr>
      </w:pPr>
    </w:p>
    <w:p>
      <w:pPr>
        <w:pStyle w:val="BodyText"/>
        <w:tabs>
          <w:tab w:pos="2275" w:val="left" w:leader="none"/>
          <w:tab w:pos="3529" w:val="left" w:leader="none"/>
          <w:tab w:pos="5031" w:val="left" w:leader="none"/>
          <w:tab w:pos="5429" w:val="left" w:leader="none"/>
          <w:tab w:pos="6592" w:val="left" w:leader="none"/>
          <w:tab w:pos="8281" w:val="left" w:leader="none"/>
        </w:tabs>
        <w:spacing w:before="72"/>
        <w:ind w:right="115" w:firstLine="0"/>
        <w:jc w:val="left"/>
      </w:pPr>
      <w:r>
        <w:rPr/>
        <w:t>інтерактивних</w:t>
        <w:tab/>
        <w:t>методів</w:t>
        <w:tab/>
        <w:t>навчання</w:t>
        <w:tab/>
        <w:t>в</w:t>
        <w:tab/>
        <w:t>процес</w:t>
        <w:tab/>
        <w:t>підготовки</w:t>
        <w:tab/>
      </w:r>
      <w:r>
        <w:rPr>
          <w:spacing w:val="-1"/>
        </w:rPr>
        <w:t>майбутніх </w:t>
      </w:r>
      <w:r>
        <w:rPr/>
        <w:t>фахівців.</w:t>
      </w:r>
    </w:p>
    <w:p>
      <w:pPr>
        <w:pStyle w:val="BodyText"/>
        <w:spacing w:before="1"/>
        <w:ind w:right="109"/>
      </w:pPr>
      <w:r>
        <w:rPr/>
        <w:t>Ефективними засобами спрямованими на розвиток професійно важливих якостей майбутніх фахівців, є ігрові методи, зокрема ділові ігри. У діловій грі студентами здійснюється квазіпрофесійна діяльність, для якої характерними є риси навчальної та майбутньої професійної діяльності [5]. Участь у ділових іграх дає можливість студентам отримати досвід діяльності, подібної до виконання їхніх майбутніх професійних обов’язків, стати активним учасником процесу  розв’язання проблемних ситуацій. Сутність ділової гри на заняттях полягає в творчій діяльності учасників, яким потрібно відшукати проблему й способи її розв’язання. Важливість використання ділових ігор для впливу на розвиток самостійності та комунікативних умінь майбутніх фахівців полягає у тому, що вони дають можливість для обміну думками, самостійного прийняття рішення, сприяють засвоєнню нових знань, формують досвід розв’язання певних професійних завдань, ціннісних орієнтацій студентів і тим самим передбачають удосконалення комунікативних умінь на психолінгвістичному</w:t>
      </w:r>
      <w:r>
        <w:rPr>
          <w:spacing w:val="-9"/>
        </w:rPr>
        <w:t> </w:t>
      </w:r>
      <w:r>
        <w:rPr/>
        <w:t>рівні.</w:t>
      </w:r>
    </w:p>
    <w:p>
      <w:pPr>
        <w:pStyle w:val="BodyText"/>
        <w:ind w:right="112"/>
      </w:pPr>
      <w:r>
        <w:rPr/>
        <w:t>Зіставляючи ігрові технології навчання з традиційними формами проведення занять, можна зробити висновок про те, що використання ділової гри у процесі підготовки має такі переваги:</w:t>
      </w:r>
    </w:p>
    <w:p>
      <w:pPr>
        <w:pStyle w:val="ListParagraph"/>
        <w:numPr>
          <w:ilvl w:val="0"/>
          <w:numId w:val="1"/>
        </w:numPr>
        <w:tabs>
          <w:tab w:pos="1073" w:val="left" w:leader="none"/>
        </w:tabs>
        <w:spacing w:line="240" w:lineRule="auto" w:before="3" w:after="0"/>
        <w:ind w:left="116" w:right="109" w:firstLine="709"/>
        <w:jc w:val="both"/>
        <w:rPr>
          <w:sz w:val="28"/>
        </w:rPr>
      </w:pPr>
      <w:r>
        <w:rPr>
          <w:sz w:val="28"/>
        </w:rPr>
        <w:t>досягається вищий рівень спілкування, ніж при застосуванні традиційних методів навчання, оскільки ігрові методи припускають реалізацію конкретної діяльності (обговорення проекту, участь у конференції, бесіда з колегами), тобто у ділових іграх реалізуються сценарії, які базуються на реальному мовленнєвому матеріалі, що відображає конкретну ситуацію спілкування у професійній</w:t>
      </w:r>
      <w:r>
        <w:rPr>
          <w:spacing w:val="-14"/>
          <w:sz w:val="28"/>
        </w:rPr>
        <w:t> </w:t>
      </w:r>
      <w:r>
        <w:rPr>
          <w:sz w:val="28"/>
        </w:rPr>
        <w:t>сфері;</w:t>
      </w:r>
    </w:p>
    <w:p>
      <w:pPr>
        <w:pStyle w:val="ListParagraph"/>
        <w:numPr>
          <w:ilvl w:val="0"/>
          <w:numId w:val="1"/>
        </w:numPr>
        <w:tabs>
          <w:tab w:pos="1073" w:val="left" w:leader="none"/>
        </w:tabs>
        <w:spacing w:line="240" w:lineRule="auto" w:before="0" w:after="0"/>
        <w:ind w:left="116" w:right="112" w:firstLine="709"/>
        <w:jc w:val="both"/>
        <w:rPr>
          <w:sz w:val="28"/>
        </w:rPr>
      </w:pPr>
      <w:r>
        <w:rPr>
          <w:sz w:val="28"/>
        </w:rPr>
        <w:t>являють собою колективну діяльність, що припускає активну участь усієї групи й кожного члена групи, взаємодію учасників і, як наслідок, формуються навички встановлення контакту, правильного сприйняття та оцінки партнера як особистості, вироблення стратегії та тактики</w:t>
      </w:r>
      <w:r>
        <w:rPr>
          <w:spacing w:val="-5"/>
          <w:sz w:val="28"/>
        </w:rPr>
        <w:t> </w:t>
      </w:r>
      <w:r>
        <w:rPr>
          <w:sz w:val="28"/>
        </w:rPr>
        <w:t>спілкування;</w:t>
      </w:r>
    </w:p>
    <w:p>
      <w:pPr>
        <w:pStyle w:val="ListParagraph"/>
        <w:numPr>
          <w:ilvl w:val="0"/>
          <w:numId w:val="1"/>
        </w:numPr>
        <w:tabs>
          <w:tab w:pos="1073" w:val="left" w:leader="none"/>
        </w:tabs>
        <w:spacing w:line="240" w:lineRule="auto" w:before="2" w:after="0"/>
        <w:ind w:left="116" w:right="113" w:firstLine="709"/>
        <w:jc w:val="both"/>
        <w:rPr>
          <w:sz w:val="28"/>
        </w:rPr>
      </w:pPr>
      <w:r>
        <w:rPr>
          <w:sz w:val="28"/>
        </w:rPr>
        <w:t>суттєвим моментом є проблемність ділової гри, великого значення набувають сценарії ділових ігор, що стимулюють виникнення нових ситуацій спілкування й дозволяють залучити якомога більше студентів до участі у</w:t>
      </w:r>
      <w:r>
        <w:rPr>
          <w:spacing w:val="-6"/>
          <w:sz w:val="28"/>
        </w:rPr>
        <w:t> </w:t>
      </w:r>
      <w:r>
        <w:rPr>
          <w:sz w:val="28"/>
        </w:rPr>
        <w:t>грі</w:t>
      </w:r>
    </w:p>
    <w:p>
      <w:pPr>
        <w:pStyle w:val="BodyText"/>
        <w:ind w:right="111"/>
      </w:pPr>
      <w:r>
        <w:rPr>
          <w:rFonts w:ascii="Times New Roman" w:hAnsi="Times New Roman"/>
        </w:rPr>
        <w:t>– </w:t>
      </w:r>
      <w:r>
        <w:rPr/>
        <w:t>при складанні сценарію гри перевага надається принципу спільної діяльності і принципу діалогічного спілкування учасників, послідовна реалізація яких забезпечує активне розгортання змісту цієї технології.</w:t>
      </w:r>
    </w:p>
    <w:p>
      <w:pPr>
        <w:pStyle w:val="BodyText"/>
        <w:ind w:right="109"/>
      </w:pPr>
      <w:r>
        <w:rPr/>
        <w:t>Серед функцій, що виконуються діловими іграми, можна виділити наступні: діагностичну, ігротерапевтичну, комунікативну, соціалізаційну. З-поміж зазначених функцій у межах нашого дослідження ми виділяємо комунікативну, оскільки вона   зорієнтована</w:t>
      </w:r>
    </w:p>
    <w:p>
      <w:pPr>
        <w:spacing w:after="0"/>
        <w:sectPr>
          <w:pgSz w:w="11910" w:h="16840"/>
          <w:pgMar w:header="0" w:footer="782" w:top="1040" w:bottom="980" w:left="1160" w:right="1020"/>
        </w:sectPr>
      </w:pPr>
    </w:p>
    <w:p>
      <w:pPr>
        <w:pStyle w:val="BodyText"/>
        <w:spacing w:before="72"/>
        <w:ind w:right="108" w:firstLine="0"/>
      </w:pPr>
      <w:r>
        <w:rPr/>
        <w:t>на розвиток комунікативних умінь, а спілкування є основою залучення студентів до спільної пізнавальної діяльності, та способом створення й розв’язання проблемних ситуацій. Саме в процесі спілкування досягаються цілі ділових ігор, які розвивають уміння майбутніх фахівців чітко й логічно формулювати свої думки, переконувати опонентів, вести діалог чи дискусію та активізують творчий потенціал учасників. Майбутні фахівці, як учасники ділової гри, стають носіями майбутніх професійних відносин, мають змогу розкривати та розвивати свої творчі здібності, інтелектуальні ресурси, здатність до активної участі в комунікативних ситуаціях. Оскільки у межах нашого дослідження ділові ігри використовуються для розвитку самостійності та комунікативних умінь як професійно важливих якостей майбутніх фахівців, важливо, щоб викладач при організації та проведенні гри звертав увагу не на якість виконання тієї чи іншої ролі студентами, а на ступінь їх залученості до гри, активність, ініціативу, на можливість засвоєння студентами різних ролей та різних видів діяльності. Це пов’язано з тим, що ділова гра, моделюючи умови й динаміку відносин між майбутніми фахівцями, слугує засобом актуалізації, застосування  та закріплення знань, формування комунікативних</w:t>
      </w:r>
      <w:r>
        <w:rPr>
          <w:spacing w:val="-15"/>
        </w:rPr>
        <w:t> </w:t>
      </w:r>
      <w:r>
        <w:rPr/>
        <w:t>умінь.</w:t>
      </w:r>
    </w:p>
    <w:p>
      <w:pPr>
        <w:pStyle w:val="BodyText"/>
        <w:ind w:right="111"/>
      </w:pPr>
      <w:r>
        <w:rPr/>
        <w:t>Таким чином, навчальна ділова гра тлумачиться у межах нашого дослідження як інтерактивна форма навчання, засіб, що дозволяє орієнтувати процес навчання студентів спілкуванню іноземною мовою на професійні теми, та умова розвитку професійно важливих якостей майбутніх фахівців за рахунок активного залучення їх в іншомовну комунікативну діяльність.</w:t>
      </w:r>
    </w:p>
    <w:p>
      <w:pPr>
        <w:pStyle w:val="BodyText"/>
        <w:spacing w:before="2"/>
        <w:ind w:left="0" w:firstLine="0"/>
        <w:jc w:val="left"/>
      </w:pPr>
    </w:p>
    <w:p>
      <w:pPr>
        <w:spacing w:before="0"/>
        <w:ind w:left="2774" w:right="0" w:firstLine="0"/>
        <w:jc w:val="left"/>
        <w:rPr>
          <w:b/>
          <w:i/>
          <w:sz w:val="24"/>
        </w:rPr>
      </w:pPr>
      <w:r>
        <w:rPr>
          <w:b/>
          <w:i/>
          <w:sz w:val="24"/>
        </w:rPr>
        <w:t>СПИСОК ВИКОРИСТАНИХ ДЖЕРЕЛ:</w:t>
      </w:r>
    </w:p>
    <w:p>
      <w:pPr>
        <w:pStyle w:val="BodyText"/>
        <w:spacing w:before="10"/>
        <w:ind w:left="0" w:firstLine="0"/>
        <w:jc w:val="left"/>
        <w:rPr>
          <w:b/>
          <w:i/>
          <w:sz w:val="27"/>
        </w:rPr>
      </w:pPr>
    </w:p>
    <w:p>
      <w:pPr>
        <w:pStyle w:val="ListParagraph"/>
        <w:numPr>
          <w:ilvl w:val="0"/>
          <w:numId w:val="2"/>
        </w:numPr>
        <w:tabs>
          <w:tab w:pos="1250" w:val="left" w:leader="none"/>
        </w:tabs>
        <w:spacing w:line="240" w:lineRule="auto" w:before="0" w:after="0"/>
        <w:ind w:left="116" w:right="111" w:firstLine="709"/>
        <w:jc w:val="both"/>
        <w:rPr>
          <w:sz w:val="24"/>
        </w:rPr>
      </w:pPr>
      <w:r>
        <w:rPr>
          <w:sz w:val="24"/>
        </w:rPr>
        <w:t>Педагогика:  учеб.  пособ.   для   студ.   высш.   педагогич.   заведений   /   В. А. Сластёнин, И. Ф. Исаев, А. И. Мищенко, Н. Н. Шиянов. Москва: Школа-Пресс, 1998. 512</w:t>
      </w:r>
      <w:r>
        <w:rPr>
          <w:spacing w:val="-3"/>
          <w:sz w:val="24"/>
        </w:rPr>
        <w:t> </w:t>
      </w:r>
      <w:r>
        <w:rPr>
          <w:sz w:val="24"/>
        </w:rPr>
        <w:t>с.</w:t>
      </w:r>
    </w:p>
    <w:p>
      <w:pPr>
        <w:pStyle w:val="ListParagraph"/>
        <w:numPr>
          <w:ilvl w:val="0"/>
          <w:numId w:val="2"/>
        </w:numPr>
        <w:tabs>
          <w:tab w:pos="1250" w:val="left" w:leader="none"/>
        </w:tabs>
        <w:spacing w:line="240" w:lineRule="auto" w:before="0" w:after="0"/>
        <w:ind w:left="116" w:right="108" w:firstLine="709"/>
        <w:jc w:val="both"/>
        <w:rPr>
          <w:sz w:val="24"/>
        </w:rPr>
      </w:pPr>
      <w:r>
        <w:rPr>
          <w:sz w:val="24"/>
        </w:rPr>
        <w:t>Кузякина Н. А. Особенности обучения иностранной лексике как необходимая составная обучения иностранному языку в военном авиационном  вузе. </w:t>
      </w:r>
      <w:r>
        <w:rPr>
          <w:i/>
          <w:sz w:val="24"/>
        </w:rPr>
        <w:t>Инновационное развитие профессионального  образования</w:t>
      </w:r>
      <w:r>
        <w:rPr>
          <w:sz w:val="24"/>
        </w:rPr>
        <w:t>.  2015.  № 1 (07). С.</w:t>
      </w:r>
      <w:r>
        <w:rPr>
          <w:spacing w:val="-7"/>
          <w:sz w:val="24"/>
        </w:rPr>
        <w:t> </w:t>
      </w:r>
      <w:r>
        <w:rPr>
          <w:sz w:val="24"/>
        </w:rPr>
        <w:t>74</w:t>
      </w:r>
      <w:r>
        <w:rPr>
          <w:rFonts w:ascii="Times New Roman" w:hAnsi="Times New Roman"/>
          <w:sz w:val="24"/>
        </w:rPr>
        <w:t>‒</w:t>
      </w:r>
      <w:r>
        <w:rPr>
          <w:sz w:val="24"/>
        </w:rPr>
        <w:t>79.</w:t>
      </w:r>
    </w:p>
    <w:p>
      <w:pPr>
        <w:pStyle w:val="ListParagraph"/>
        <w:numPr>
          <w:ilvl w:val="0"/>
          <w:numId w:val="2"/>
        </w:numPr>
        <w:tabs>
          <w:tab w:pos="1250" w:val="left" w:leader="none"/>
        </w:tabs>
        <w:spacing w:line="240" w:lineRule="auto" w:before="3" w:after="0"/>
        <w:ind w:left="116" w:right="111" w:firstLine="709"/>
        <w:jc w:val="both"/>
        <w:rPr>
          <w:sz w:val="24"/>
        </w:rPr>
      </w:pPr>
      <w:r>
        <w:rPr>
          <w:sz w:val="24"/>
        </w:rPr>
        <w:t>Коваленко А. Б. Особливості застосування методів активного навчання при підготовці до професійної діяльності. </w:t>
      </w:r>
      <w:r>
        <w:rPr>
          <w:i/>
          <w:sz w:val="24"/>
        </w:rPr>
        <w:t>Наука і освіта</w:t>
      </w:r>
      <w:r>
        <w:rPr>
          <w:sz w:val="24"/>
        </w:rPr>
        <w:t>: наук.-практ. журн. Південного наукового центру АПН України. 2009. № 5. С.</w:t>
      </w:r>
      <w:r>
        <w:rPr>
          <w:spacing w:val="-13"/>
          <w:sz w:val="24"/>
        </w:rPr>
        <w:t> </w:t>
      </w:r>
      <w:r>
        <w:rPr>
          <w:sz w:val="24"/>
        </w:rPr>
        <w:t>77–81.</w:t>
      </w:r>
    </w:p>
    <w:p>
      <w:pPr>
        <w:pStyle w:val="ListParagraph"/>
        <w:numPr>
          <w:ilvl w:val="0"/>
          <w:numId w:val="2"/>
        </w:numPr>
        <w:tabs>
          <w:tab w:pos="1250" w:val="left" w:leader="none"/>
        </w:tabs>
        <w:spacing w:line="240" w:lineRule="auto" w:before="0" w:after="0"/>
        <w:ind w:left="116" w:right="114" w:firstLine="709"/>
        <w:jc w:val="both"/>
        <w:rPr>
          <w:sz w:val="24"/>
        </w:rPr>
      </w:pPr>
      <w:r>
        <w:rPr>
          <w:sz w:val="24"/>
        </w:rPr>
        <w:t>Мілерян В. Є. Методичні основи підготовки та проведення навчальних занять у медичних вузах: метод. посіб. Київ: Хрещатик, 2006. 80</w:t>
      </w:r>
      <w:r>
        <w:rPr>
          <w:spacing w:val="-19"/>
          <w:sz w:val="24"/>
        </w:rPr>
        <w:t> </w:t>
      </w:r>
      <w:r>
        <w:rPr>
          <w:sz w:val="24"/>
        </w:rPr>
        <w:t>с.</w:t>
      </w:r>
    </w:p>
    <w:p>
      <w:pPr>
        <w:pStyle w:val="ListParagraph"/>
        <w:numPr>
          <w:ilvl w:val="0"/>
          <w:numId w:val="2"/>
        </w:numPr>
        <w:tabs>
          <w:tab w:pos="1250" w:val="left" w:leader="none"/>
        </w:tabs>
        <w:spacing w:line="240" w:lineRule="auto" w:before="0" w:after="0"/>
        <w:ind w:left="116" w:right="116" w:firstLine="709"/>
        <w:jc w:val="both"/>
        <w:rPr>
          <w:sz w:val="24"/>
        </w:rPr>
      </w:pPr>
      <w:r>
        <w:rPr>
          <w:sz w:val="24"/>
        </w:rPr>
        <w:t>Вербицкий А. А. Педагогические технологии контекстного обучения: науч.-метод. пособ. Москва: РИЦ МГГУ им. М. А. Шолохова, 2010. 55</w:t>
      </w:r>
      <w:r>
        <w:rPr>
          <w:spacing w:val="-12"/>
          <w:sz w:val="24"/>
        </w:rPr>
        <w:t> </w:t>
      </w:r>
      <w:r>
        <w:rPr>
          <w:sz w:val="24"/>
        </w:rPr>
        <w:t>с.</w:t>
      </w:r>
    </w:p>
    <w:sectPr>
      <w:pgSz w:w="11910" w:h="16840"/>
      <w:pgMar w:header="0" w:footer="782" w:top="1040" w:bottom="980" w:left="1160" w:right="10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CC"/>
    <w:family w:val="roman"/>
    <w:pitch w:val="variable"/>
  </w:font>
  <w:font w:name="Arial">
    <w:altName w:val="Arial"/>
    <w:charset w:val="CC"/>
    <w:family w:val="swiss"/>
    <w:pitch w:val="variable"/>
  </w:font>
  <w:font w:name="Georgia">
    <w:altName w:val="Georgia"/>
    <w:charset w:val="CC"/>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left="0" w:firstLine="0"/>
      <w:jc w:val="left"/>
      <w:rPr>
        <w:sz w:val="20"/>
      </w:rPr>
    </w:pPr>
    <w:r>
      <w:rPr/>
      <w:pict>
        <v:shapetype id="_x0000_t202" o:spt="202" coordsize="21600,21600" path="m,l,21600r21600,l21600,xe">
          <v:stroke joinstyle="miter"/>
          <v:path gradientshapeok="t" o:connecttype="rect"/>
        </v:shapetype>
        <v:shape style="position:absolute;margin-left:290.25pt;margin-top:791.802612pt;width:22pt;height:15.3pt;mso-position-horizontal-relative:page;mso-position-vertical-relative:page;z-index:-2848" type="#_x0000_t202" filled="false" stroked="false">
          <v:textbox inset="0,0,0,0">
            <w:txbxContent>
              <w:p>
                <w:pPr>
                  <w:spacing w:before="10"/>
                  <w:ind w:left="40" w:right="0" w:firstLine="0"/>
                  <w:jc w:val="left"/>
                  <w:rPr>
                    <w:rFonts w:ascii="Times New Roman"/>
                    <w:sz w:val="24"/>
                  </w:rPr>
                </w:pPr>
                <w:r>
                  <w:rPr/>
                  <w:fldChar w:fldCharType="begin"/>
                </w:r>
                <w:r>
                  <w:rPr>
                    <w:rFonts w:ascii="Times New Roman"/>
                    <w:sz w:val="24"/>
                  </w:rPr>
                  <w:instrText> PAGE </w:instrText>
                </w:r>
                <w:r>
                  <w:rPr/>
                  <w:fldChar w:fldCharType="separate"/>
                </w:r>
                <w:r>
                  <w:rPr/>
                  <w:t>261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16" w:hanging="425"/>
        <w:jc w:val="left"/>
      </w:pPr>
      <w:rPr>
        <w:rFonts w:hint="default" w:ascii="Georgia" w:hAnsi="Georgia" w:eastAsia="Georgia" w:cs="Georgia"/>
        <w:spacing w:val="-2"/>
        <w:w w:val="99"/>
        <w:sz w:val="24"/>
        <w:szCs w:val="24"/>
      </w:rPr>
    </w:lvl>
    <w:lvl w:ilvl="1">
      <w:start w:val="0"/>
      <w:numFmt w:val="bullet"/>
      <w:lvlText w:val="•"/>
      <w:lvlJc w:val="left"/>
      <w:pPr>
        <w:ind w:left="1080" w:hanging="425"/>
      </w:pPr>
      <w:rPr>
        <w:rFonts w:hint="default"/>
      </w:rPr>
    </w:lvl>
    <w:lvl w:ilvl="2">
      <w:start w:val="0"/>
      <w:numFmt w:val="bullet"/>
      <w:lvlText w:val="•"/>
      <w:lvlJc w:val="left"/>
      <w:pPr>
        <w:ind w:left="2041" w:hanging="425"/>
      </w:pPr>
      <w:rPr>
        <w:rFonts w:hint="default"/>
      </w:rPr>
    </w:lvl>
    <w:lvl w:ilvl="3">
      <w:start w:val="0"/>
      <w:numFmt w:val="bullet"/>
      <w:lvlText w:val="•"/>
      <w:lvlJc w:val="left"/>
      <w:pPr>
        <w:ind w:left="3001" w:hanging="425"/>
      </w:pPr>
      <w:rPr>
        <w:rFonts w:hint="default"/>
      </w:rPr>
    </w:lvl>
    <w:lvl w:ilvl="4">
      <w:start w:val="0"/>
      <w:numFmt w:val="bullet"/>
      <w:lvlText w:val="•"/>
      <w:lvlJc w:val="left"/>
      <w:pPr>
        <w:ind w:left="3962" w:hanging="425"/>
      </w:pPr>
      <w:rPr>
        <w:rFonts w:hint="default"/>
      </w:rPr>
    </w:lvl>
    <w:lvl w:ilvl="5">
      <w:start w:val="0"/>
      <w:numFmt w:val="bullet"/>
      <w:lvlText w:val="•"/>
      <w:lvlJc w:val="left"/>
      <w:pPr>
        <w:ind w:left="4923" w:hanging="425"/>
      </w:pPr>
      <w:rPr>
        <w:rFonts w:hint="default"/>
      </w:rPr>
    </w:lvl>
    <w:lvl w:ilvl="6">
      <w:start w:val="0"/>
      <w:numFmt w:val="bullet"/>
      <w:lvlText w:val="•"/>
      <w:lvlJc w:val="left"/>
      <w:pPr>
        <w:ind w:left="5883" w:hanging="425"/>
      </w:pPr>
      <w:rPr>
        <w:rFonts w:hint="default"/>
      </w:rPr>
    </w:lvl>
    <w:lvl w:ilvl="7">
      <w:start w:val="0"/>
      <w:numFmt w:val="bullet"/>
      <w:lvlText w:val="•"/>
      <w:lvlJc w:val="left"/>
      <w:pPr>
        <w:ind w:left="6844" w:hanging="425"/>
      </w:pPr>
      <w:rPr>
        <w:rFonts w:hint="default"/>
      </w:rPr>
    </w:lvl>
    <w:lvl w:ilvl="8">
      <w:start w:val="0"/>
      <w:numFmt w:val="bullet"/>
      <w:lvlText w:val="•"/>
      <w:lvlJc w:val="left"/>
      <w:pPr>
        <w:ind w:left="7805" w:hanging="425"/>
      </w:pPr>
      <w:rPr>
        <w:rFonts w:hint="default"/>
      </w:rPr>
    </w:lvl>
  </w:abstractNum>
  <w:abstractNum w:abstractNumId="0">
    <w:multiLevelType w:val="hybridMultilevel"/>
    <w:lvl w:ilvl="0">
      <w:start w:val="0"/>
      <w:numFmt w:val="bullet"/>
      <w:lvlText w:val="–"/>
      <w:lvlJc w:val="left"/>
      <w:pPr>
        <w:ind w:left="116" w:hanging="248"/>
      </w:pPr>
      <w:rPr>
        <w:rFonts w:hint="default" w:ascii="Georgia" w:hAnsi="Georgia" w:eastAsia="Georgia" w:cs="Georgia"/>
        <w:w w:val="100"/>
        <w:sz w:val="28"/>
        <w:szCs w:val="28"/>
      </w:rPr>
    </w:lvl>
    <w:lvl w:ilvl="1">
      <w:start w:val="0"/>
      <w:numFmt w:val="bullet"/>
      <w:lvlText w:val="•"/>
      <w:lvlJc w:val="left"/>
      <w:pPr>
        <w:ind w:left="1080" w:hanging="248"/>
      </w:pPr>
      <w:rPr>
        <w:rFonts w:hint="default"/>
      </w:rPr>
    </w:lvl>
    <w:lvl w:ilvl="2">
      <w:start w:val="0"/>
      <w:numFmt w:val="bullet"/>
      <w:lvlText w:val="•"/>
      <w:lvlJc w:val="left"/>
      <w:pPr>
        <w:ind w:left="2041" w:hanging="248"/>
      </w:pPr>
      <w:rPr>
        <w:rFonts w:hint="default"/>
      </w:rPr>
    </w:lvl>
    <w:lvl w:ilvl="3">
      <w:start w:val="0"/>
      <w:numFmt w:val="bullet"/>
      <w:lvlText w:val="•"/>
      <w:lvlJc w:val="left"/>
      <w:pPr>
        <w:ind w:left="3001" w:hanging="248"/>
      </w:pPr>
      <w:rPr>
        <w:rFonts w:hint="default"/>
      </w:rPr>
    </w:lvl>
    <w:lvl w:ilvl="4">
      <w:start w:val="0"/>
      <w:numFmt w:val="bullet"/>
      <w:lvlText w:val="•"/>
      <w:lvlJc w:val="left"/>
      <w:pPr>
        <w:ind w:left="3962" w:hanging="248"/>
      </w:pPr>
      <w:rPr>
        <w:rFonts w:hint="default"/>
      </w:rPr>
    </w:lvl>
    <w:lvl w:ilvl="5">
      <w:start w:val="0"/>
      <w:numFmt w:val="bullet"/>
      <w:lvlText w:val="•"/>
      <w:lvlJc w:val="left"/>
      <w:pPr>
        <w:ind w:left="4923" w:hanging="248"/>
      </w:pPr>
      <w:rPr>
        <w:rFonts w:hint="default"/>
      </w:rPr>
    </w:lvl>
    <w:lvl w:ilvl="6">
      <w:start w:val="0"/>
      <w:numFmt w:val="bullet"/>
      <w:lvlText w:val="•"/>
      <w:lvlJc w:val="left"/>
      <w:pPr>
        <w:ind w:left="5883" w:hanging="248"/>
      </w:pPr>
      <w:rPr>
        <w:rFonts w:hint="default"/>
      </w:rPr>
    </w:lvl>
    <w:lvl w:ilvl="7">
      <w:start w:val="0"/>
      <w:numFmt w:val="bullet"/>
      <w:lvlText w:val="•"/>
      <w:lvlJc w:val="left"/>
      <w:pPr>
        <w:ind w:left="6844" w:hanging="248"/>
      </w:pPr>
      <w:rPr>
        <w:rFonts w:hint="default"/>
      </w:rPr>
    </w:lvl>
    <w:lvl w:ilvl="8">
      <w:start w:val="0"/>
      <w:numFmt w:val="bullet"/>
      <w:lvlText w:val="•"/>
      <w:lvlJc w:val="left"/>
      <w:pPr>
        <w:ind w:left="7805" w:hanging="248"/>
      </w:pPr>
      <w:rPr>
        <w:rFonts w:hint="default"/>
      </w:rPr>
    </w:lvl>
  </w:abstract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Georgia" w:hAnsi="Georgia" w:eastAsia="Georgia" w:cs="Georgia"/>
    </w:rPr>
  </w:style>
  <w:style w:styleId="BodyText" w:type="paragraph">
    <w:name w:val="Body Text"/>
    <w:basedOn w:val="Normal"/>
    <w:uiPriority w:val="1"/>
    <w:qFormat/>
    <w:pPr>
      <w:ind w:left="116" w:firstLine="708"/>
      <w:jc w:val="both"/>
    </w:pPr>
    <w:rPr>
      <w:rFonts w:ascii="Georgia" w:hAnsi="Georgia" w:eastAsia="Georgia" w:cs="Georgia"/>
      <w:sz w:val="28"/>
      <w:szCs w:val="28"/>
    </w:rPr>
  </w:style>
  <w:style w:styleId="Heading1" w:type="paragraph">
    <w:name w:val="Heading 1"/>
    <w:basedOn w:val="Normal"/>
    <w:uiPriority w:val="1"/>
    <w:qFormat/>
    <w:pPr>
      <w:ind w:left="1062"/>
      <w:outlineLvl w:val="1"/>
    </w:pPr>
    <w:rPr>
      <w:rFonts w:ascii="Georgia" w:hAnsi="Georgia" w:eastAsia="Georgia" w:cs="Georgia"/>
      <w:b/>
      <w:bCs/>
      <w:sz w:val="28"/>
      <w:szCs w:val="28"/>
    </w:rPr>
  </w:style>
  <w:style w:styleId="ListParagraph" w:type="paragraph">
    <w:name w:val="List Paragraph"/>
    <w:basedOn w:val="Normal"/>
    <w:uiPriority w:val="1"/>
    <w:qFormat/>
    <w:pPr>
      <w:ind w:left="116" w:right="111" w:firstLine="709"/>
      <w:jc w:val="both"/>
    </w:pPr>
    <w:rPr>
      <w:rFonts w:ascii="Georgia" w:hAnsi="Georgia" w:eastAsia="Georgia" w:cs="Georgia"/>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dcterms:created xsi:type="dcterms:W3CDTF">2020-12-06T23:55:00Z</dcterms:created>
  <dcterms:modified xsi:type="dcterms:W3CDTF">2020-12-06T23:55:00Z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2020-04-20T00:00:00Z</vt:filetime>
  </property>
  <property fmtid="{D5CDD505-2E9C-101B-9397-08002B2CF9AE}" pid="3" name="Creator">
    <vt:lpwstr>Microsoft® Word 2013</vt:lpwstr>
  </property>
  <property fmtid="{D5CDD505-2E9C-101B-9397-08002B2CF9AE}" pid="4" name="LastSaved">
    <vt:filetime>2020-12-06T00:00:00Z</vt:filetime>
  </property>
</Properties>
</file>