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625D1B" w14:textId="77777777" w:rsidR="00FB445A" w:rsidRPr="00FB445A" w:rsidRDefault="00FB445A" w:rsidP="00FB445A">
      <w:pPr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Кравчина Тетяна,</w:t>
      </w:r>
    </w:p>
    <w:p w14:paraId="529ABAC9" w14:textId="77777777" w:rsidR="00FB445A" w:rsidRPr="00FB445A" w:rsidRDefault="00FB445A" w:rsidP="00FB445A">
      <w:pPr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кандидат психологічних наук, доцент,</w:t>
      </w:r>
    </w:p>
    <w:p w14:paraId="14FC9307" w14:textId="77777777" w:rsidR="00FB445A" w:rsidRPr="00FB445A" w:rsidRDefault="00FB445A" w:rsidP="00FB445A">
      <w:pPr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доцент кафедри іноземних мов</w:t>
      </w:r>
    </w:p>
    <w:p w14:paraId="38A13D7F" w14:textId="77777777" w:rsidR="00FB445A" w:rsidRPr="00FB445A" w:rsidRDefault="00FB445A" w:rsidP="00FB445A">
      <w:pPr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Хмельницький національний університет</w:t>
      </w:r>
    </w:p>
    <w:p w14:paraId="2E722A0A" w14:textId="77777777" w:rsidR="00FB445A" w:rsidRPr="00FB445A" w:rsidRDefault="00FB445A" w:rsidP="00FB445A">
      <w:pPr>
        <w:jc w:val="both"/>
        <w:rPr>
          <w:rFonts w:ascii="Times New Roman" w:hAnsi="Times New Roman" w:cs="Times New Roman"/>
        </w:rPr>
      </w:pPr>
    </w:p>
    <w:p w14:paraId="3669F800" w14:textId="2B065EDE" w:rsidR="00FB445A" w:rsidRPr="00FB445A" w:rsidRDefault="00FB445A" w:rsidP="00FB445A">
      <w:pPr>
        <w:jc w:val="both"/>
        <w:rPr>
          <w:rFonts w:ascii="Times New Roman" w:hAnsi="Times New Roman" w:cs="Times New Roman"/>
          <w:b/>
          <w:bCs/>
        </w:rPr>
      </w:pPr>
      <w:r w:rsidRPr="00FB445A">
        <w:rPr>
          <w:rFonts w:ascii="Times New Roman" w:hAnsi="Times New Roman" w:cs="Times New Roman"/>
          <w:b/>
          <w:bCs/>
        </w:rPr>
        <w:t>Педагогіка партнерства у концепції «Нової української школи»</w:t>
      </w:r>
    </w:p>
    <w:p w14:paraId="1A5BE388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Педагогіка партнерства – один з ключових компонентів формули Нової</w:t>
      </w:r>
    </w:p>
    <w:p w14:paraId="52348F7A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української школи, що включає систему методів і прийомів виховання та</w:t>
      </w:r>
    </w:p>
    <w:p w14:paraId="45712891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навчання на засадах гуманізму й творчого підходу до розвитку особистості. В</w:t>
      </w:r>
    </w:p>
    <w:p w14:paraId="212E1613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основі педагогіки партнерства – демократичний спосіб співпраці між учителем,</w:t>
      </w:r>
    </w:p>
    <w:p w14:paraId="001190C0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учнем і батьками, які об’єднані спільними цілями та прагненнями, є</w:t>
      </w:r>
    </w:p>
    <w:p w14:paraId="3CEAD1EB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добровільними й зацікавленими спільниками, рівноправними учасниками</w:t>
      </w:r>
    </w:p>
    <w:p w14:paraId="1783F8BF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освітнього процесу, відповідальними за результат. Учитель має бути другом, а</w:t>
      </w:r>
    </w:p>
    <w:p w14:paraId="3CEA665E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родина – залучена до побудови освітньої траєкторії дитини. Педагогіка</w:t>
      </w:r>
    </w:p>
    <w:p w14:paraId="0765F9B8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партнерства передбачає безумовну рівність у праві на повагу, довіру,</w:t>
      </w:r>
    </w:p>
    <w:p w14:paraId="6E29CBF3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доброзичливе ставлення і взаємну вимогливість [2, c. 310].</w:t>
      </w:r>
    </w:p>
    <w:p w14:paraId="54822DC0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Відокремимо основні ідеї на яких базується педагогіка партнерства:</w:t>
      </w:r>
    </w:p>
    <w:p w14:paraId="2121FDFC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1) учіння без примусу (тобто виключення з методів виховання примусу) – одне</w:t>
      </w:r>
    </w:p>
    <w:p w14:paraId="30198138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з центральних положень педагогіки партнерства;</w:t>
      </w:r>
    </w:p>
    <w:p w14:paraId="5D7EFE8F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2) ідея важкої мети виявляється у тому, що учитель перед дітьми ставить</w:t>
      </w:r>
    </w:p>
    <w:p w14:paraId="6BF89D25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складну мету і запевняє в тому, що вони подолають труднощі й досягнуть</w:t>
      </w:r>
    </w:p>
    <w:p w14:paraId="3BB1958B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успіху;</w:t>
      </w:r>
    </w:p>
    <w:p w14:paraId="26C2CE23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3) ідея опори пропонує методику навчання, що виключає розподіл дітей</w:t>
      </w:r>
    </w:p>
    <w:p w14:paraId="1A6AE9FC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за здібностями. Розроблені педагогами форми опор (опорні сигнали у</w:t>
      </w:r>
    </w:p>
    <w:p w14:paraId="129F3726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 xml:space="preserve">В. Шаталова, схеми у С. </w:t>
      </w:r>
      <w:proofErr w:type="spellStart"/>
      <w:r w:rsidRPr="00FB445A">
        <w:rPr>
          <w:rFonts w:ascii="Times New Roman" w:hAnsi="Times New Roman" w:cs="Times New Roman"/>
        </w:rPr>
        <w:t>Лисенкової</w:t>
      </w:r>
      <w:proofErr w:type="spellEnd"/>
      <w:r w:rsidRPr="00FB445A">
        <w:rPr>
          <w:rFonts w:ascii="Times New Roman" w:hAnsi="Times New Roman" w:cs="Times New Roman"/>
        </w:rPr>
        <w:t>, опорні деталі у Є. Ільїна та ін.) базуються</w:t>
      </w:r>
    </w:p>
    <w:p w14:paraId="0113750A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на загальному положенні, що опорні сигнали дозволяють педагогу перевірити</w:t>
      </w:r>
    </w:p>
    <w:p w14:paraId="627DB801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виконання домашніх завдань у згорнутому виді, а учням при систематичних</w:t>
      </w:r>
    </w:p>
    <w:p w14:paraId="0C08E120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заняттях без примусу здобути необхідні знання та уміння [3];</w:t>
      </w:r>
    </w:p>
    <w:p w14:paraId="4BB130A3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4) ідея вільного вибору допомагає дітям почувати себе партнерами</w:t>
      </w:r>
    </w:p>
    <w:p w14:paraId="67A3B6E7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педагога і самостійно обирати правильні рішення у різних галузях знань,</w:t>
      </w:r>
    </w:p>
    <w:p w14:paraId="0EACA605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діяльності;</w:t>
      </w:r>
    </w:p>
    <w:p w14:paraId="1069C917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5) ідея випередження створює учителю умови для вільного</w:t>
      </w:r>
    </w:p>
    <w:p w14:paraId="45541E78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розпорядження учительським часом, а учню – для кращого засвоєння</w:t>
      </w:r>
    </w:p>
    <w:p w14:paraId="73122F26" w14:textId="15772CCA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навчальної програми;</w:t>
      </w:r>
    </w:p>
    <w:p w14:paraId="1BA7C84E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6) ідея крупних блоків дає можливість значно збільшити об’єм матеріалу,</w:t>
      </w:r>
    </w:p>
    <w:p w14:paraId="0EBC29C9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що вивчається, знизити завантаженість учня за рахунок об’єднання в блок</w:t>
      </w:r>
    </w:p>
    <w:p w14:paraId="639BC881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кількох тем, уроків тощо;</w:t>
      </w:r>
    </w:p>
    <w:p w14:paraId="6A67D773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7) ідея відповідної форми виявляється у використанні різних засобів та</w:t>
      </w:r>
    </w:p>
    <w:p w14:paraId="2CC147C5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прийомів у формі, яка відповідає матеріалу, що вивчається (наприклад,</w:t>
      </w:r>
    </w:p>
    <w:p w14:paraId="0DEB271D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художній аналіз у Є. Ільїна тощо);</w:t>
      </w:r>
    </w:p>
    <w:p w14:paraId="11482F26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8) ідея самоаналізу привчає дітей самостійно здійснювати індивідуальний</w:t>
      </w:r>
    </w:p>
    <w:p w14:paraId="19456D58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і колективний аналіз своєї діяльності;</w:t>
      </w:r>
    </w:p>
    <w:p w14:paraId="178086B6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9) інтелектуальний фон класу складається, коли учні покладають перед</w:t>
      </w:r>
    </w:p>
    <w:p w14:paraId="38BCC15E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собою значущі життєві цілі, а учитель намагається дати учням значно ширші,</w:t>
      </w:r>
    </w:p>
    <w:p w14:paraId="3C531767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порівняно з навчальною програмою, знання, відповідно їхнім інтересам. Творча</w:t>
      </w:r>
    </w:p>
    <w:p w14:paraId="5AB5A59B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продуктивна праця дітей здійснюється спільно з дорослими та стимулює</w:t>
      </w:r>
    </w:p>
    <w:p w14:paraId="059F0753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винахідливість дітей, поліпшує їх працю, а також їх прагнення бути корисними</w:t>
      </w:r>
    </w:p>
    <w:p w14:paraId="40E8B0BA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навколишньому оточенню;</w:t>
      </w:r>
    </w:p>
    <w:p w14:paraId="39D0A48A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9) творче самоврядування розглядається не як життя без дорослих, а як</w:t>
      </w:r>
    </w:p>
    <w:p w14:paraId="14451B3A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lastRenderedPageBreak/>
        <w:t>спільна праця старших та молодших членів колективу. Співробітництво з</w:t>
      </w:r>
    </w:p>
    <w:p w14:paraId="3A32326C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батьками будується на переконанні, що відносини в сім’ї між батьками та</w:t>
      </w:r>
    </w:p>
    <w:p w14:paraId="32C53579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дітьми повинні бути товариськими (досвід Нікітіних); в батьках педагог бачить</w:t>
      </w:r>
    </w:p>
    <w:p w14:paraId="52A12D6F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своїх спільників [3].</w:t>
      </w:r>
    </w:p>
    <w:p w14:paraId="0C58EA4C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Джерелом цих підходів є ідеї гуманістичної педагогіки минулого,</w:t>
      </w:r>
    </w:p>
    <w:p w14:paraId="4A211976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теоретична спадщина і досвід шкіл 20–30-х років XX ст. Так, П. П. Блонський,</w:t>
      </w:r>
    </w:p>
    <w:p w14:paraId="72DA9204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С. Т. Шацький, Н. К. Крупська виступали проти жорсткої регламентації,</w:t>
      </w:r>
    </w:p>
    <w:p w14:paraId="46208E9A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формалізму, придушення творчої самостійності. Принцип вимогливості та</w:t>
      </w:r>
    </w:p>
    <w:p w14:paraId="6A0B7A31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поваги до особистості, який втілюється в довірі до учнів, доброзичливості,</w:t>
      </w:r>
    </w:p>
    <w:p w14:paraId="555B983E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опорі на позитивне, не тільки обґрунтував, а і реалізував у практичній</w:t>
      </w:r>
    </w:p>
    <w:p w14:paraId="35EC78B0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діяльності А. С. Макаренко. Суб’єкт-суб’єктну взаємодію глибоко розкрито в</w:t>
      </w:r>
    </w:p>
    <w:p w14:paraId="4BDEBC92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педагогічних працях В. О. Сухомлинського, який закликав учителів дивитися</w:t>
      </w:r>
    </w:p>
    <w:p w14:paraId="3AF51591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на світ очима тих, кого ми виховуємо, звертатися до школярів як до</w:t>
      </w:r>
    </w:p>
    <w:p w14:paraId="7B13231A" w14:textId="6862FE2B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однодумців, рівних собі.</w:t>
      </w:r>
    </w:p>
    <w:p w14:paraId="28368DBD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Педагогіка партнерства передбачає, що педагог виступає як організатор</w:t>
      </w:r>
    </w:p>
    <w:p w14:paraId="4FE857B6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навчання, посередник між школярем і соціальним досвідом, культурою</w:t>
      </w:r>
    </w:p>
    <w:p w14:paraId="1F79C8F8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людства, що допомагає подоланню відчуженості дітей від дорослих, педагогів,</w:t>
      </w:r>
    </w:p>
    <w:p w14:paraId="1E1FA27F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батьків, створенню умов для активності, ініціативності, творчості учнів,</w:t>
      </w:r>
    </w:p>
    <w:p w14:paraId="3EA991CB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подоланню певного роздвоєння поведінки, дії, для себе і для дорослих.</w:t>
      </w:r>
    </w:p>
    <w:p w14:paraId="0A4AE04E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Ш. О. Амонашвілі ідею педагогіки партнерства висловив таким чином:</w:t>
      </w:r>
    </w:p>
    <w:p w14:paraId="758BD5B7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«... зробити дитину нашим (дорослих – учителів, вихователів, батьків)</w:t>
      </w:r>
    </w:p>
    <w:p w14:paraId="1092D554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добровільними і зацікавленими соратниками, однодумцями у своєму ж</w:t>
      </w:r>
    </w:p>
    <w:p w14:paraId="6C0EB721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вихованні, освіті, навчанні, становленні, зробити її рівноправним учасником</w:t>
      </w:r>
    </w:p>
    <w:p w14:paraId="0B944EFF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педагогічного процесу, дбайливим і відповідальним за цей процес, за його</w:t>
      </w:r>
    </w:p>
    <w:p w14:paraId="53A75697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результати». Одночасно вчений підкреслив, що педагогіка партнерства – один</w:t>
      </w:r>
    </w:p>
    <w:p w14:paraId="55B1C369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із можливих напрямів, що сприяє гуманізації й демократизації педагогічного</w:t>
      </w:r>
    </w:p>
    <w:p w14:paraId="1FA263D8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процесу, укріплення в ньому духу взаємопорозуміння і доброти [1].</w:t>
      </w:r>
    </w:p>
    <w:p w14:paraId="5DCC9328" w14:textId="77777777" w:rsid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</w:p>
    <w:p w14:paraId="33DD20FF" w14:textId="38BDA0BF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Список використаних джерел</w:t>
      </w:r>
    </w:p>
    <w:p w14:paraId="4547B413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 xml:space="preserve">1. </w:t>
      </w:r>
      <w:proofErr w:type="spellStart"/>
      <w:r w:rsidRPr="00FB445A">
        <w:rPr>
          <w:rFonts w:ascii="Times New Roman" w:hAnsi="Times New Roman" w:cs="Times New Roman"/>
        </w:rPr>
        <w:t>Амонашвили</w:t>
      </w:r>
      <w:proofErr w:type="spellEnd"/>
      <w:r w:rsidRPr="00FB445A">
        <w:rPr>
          <w:rFonts w:ascii="Times New Roman" w:hAnsi="Times New Roman" w:cs="Times New Roman"/>
        </w:rPr>
        <w:t xml:space="preserve"> Ш. А. </w:t>
      </w:r>
      <w:proofErr w:type="spellStart"/>
      <w:r w:rsidRPr="00FB445A">
        <w:rPr>
          <w:rFonts w:ascii="Times New Roman" w:hAnsi="Times New Roman" w:cs="Times New Roman"/>
        </w:rPr>
        <w:t>Размышления</w:t>
      </w:r>
      <w:proofErr w:type="spellEnd"/>
      <w:r w:rsidRPr="00FB445A">
        <w:rPr>
          <w:rFonts w:ascii="Times New Roman" w:hAnsi="Times New Roman" w:cs="Times New Roman"/>
        </w:rPr>
        <w:t xml:space="preserve"> о </w:t>
      </w:r>
      <w:proofErr w:type="spellStart"/>
      <w:r w:rsidRPr="00FB445A">
        <w:rPr>
          <w:rFonts w:ascii="Times New Roman" w:hAnsi="Times New Roman" w:cs="Times New Roman"/>
        </w:rPr>
        <w:t>гуманной</w:t>
      </w:r>
      <w:proofErr w:type="spellEnd"/>
      <w:r w:rsidRPr="00FB445A">
        <w:rPr>
          <w:rFonts w:ascii="Times New Roman" w:hAnsi="Times New Roman" w:cs="Times New Roman"/>
        </w:rPr>
        <w:t xml:space="preserve"> </w:t>
      </w:r>
      <w:proofErr w:type="spellStart"/>
      <w:r w:rsidRPr="00FB445A">
        <w:rPr>
          <w:rFonts w:ascii="Times New Roman" w:hAnsi="Times New Roman" w:cs="Times New Roman"/>
        </w:rPr>
        <w:t>педагогике</w:t>
      </w:r>
      <w:proofErr w:type="spellEnd"/>
      <w:r w:rsidRPr="00FB445A">
        <w:rPr>
          <w:rFonts w:ascii="Times New Roman" w:hAnsi="Times New Roman" w:cs="Times New Roman"/>
        </w:rPr>
        <w:t xml:space="preserve">. М. : </w:t>
      </w:r>
      <w:proofErr w:type="spellStart"/>
      <w:r w:rsidRPr="00FB445A">
        <w:rPr>
          <w:rFonts w:ascii="Times New Roman" w:hAnsi="Times New Roman" w:cs="Times New Roman"/>
        </w:rPr>
        <w:t>Издат</w:t>
      </w:r>
      <w:proofErr w:type="spellEnd"/>
      <w:r w:rsidRPr="00FB445A">
        <w:rPr>
          <w:rFonts w:ascii="Times New Roman" w:hAnsi="Times New Roman" w:cs="Times New Roman"/>
        </w:rPr>
        <w:t>.</w:t>
      </w:r>
    </w:p>
    <w:p w14:paraId="6AD403C8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spellStart"/>
      <w:r w:rsidRPr="00FB445A">
        <w:rPr>
          <w:rFonts w:ascii="Times New Roman" w:hAnsi="Times New Roman" w:cs="Times New Roman"/>
        </w:rPr>
        <w:t>дом</w:t>
      </w:r>
      <w:proofErr w:type="spellEnd"/>
      <w:r w:rsidRPr="00FB445A">
        <w:rPr>
          <w:rFonts w:ascii="Times New Roman" w:hAnsi="Times New Roman" w:cs="Times New Roman"/>
        </w:rPr>
        <w:t xml:space="preserve"> </w:t>
      </w:r>
      <w:proofErr w:type="spellStart"/>
      <w:r w:rsidRPr="00FB445A">
        <w:rPr>
          <w:rFonts w:ascii="Times New Roman" w:hAnsi="Times New Roman" w:cs="Times New Roman"/>
        </w:rPr>
        <w:t>Шалвы</w:t>
      </w:r>
      <w:proofErr w:type="spellEnd"/>
      <w:r w:rsidRPr="00FB445A">
        <w:rPr>
          <w:rFonts w:ascii="Times New Roman" w:hAnsi="Times New Roman" w:cs="Times New Roman"/>
        </w:rPr>
        <w:t xml:space="preserve"> </w:t>
      </w:r>
      <w:proofErr w:type="spellStart"/>
      <w:r w:rsidRPr="00FB445A">
        <w:rPr>
          <w:rFonts w:ascii="Times New Roman" w:hAnsi="Times New Roman" w:cs="Times New Roman"/>
        </w:rPr>
        <w:t>Амонашвили</w:t>
      </w:r>
      <w:proofErr w:type="spellEnd"/>
      <w:r w:rsidRPr="00FB445A">
        <w:rPr>
          <w:rFonts w:ascii="Times New Roman" w:hAnsi="Times New Roman" w:cs="Times New Roman"/>
        </w:rPr>
        <w:t>, 1996. С. 47–48.</w:t>
      </w:r>
    </w:p>
    <w:p w14:paraId="62A2096A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 xml:space="preserve">2. </w:t>
      </w:r>
      <w:proofErr w:type="spellStart"/>
      <w:r w:rsidRPr="00FB445A">
        <w:rPr>
          <w:rFonts w:ascii="Times New Roman" w:hAnsi="Times New Roman" w:cs="Times New Roman"/>
        </w:rPr>
        <w:t>Кравчинська</w:t>
      </w:r>
      <w:proofErr w:type="spellEnd"/>
      <w:r w:rsidRPr="00FB445A">
        <w:rPr>
          <w:rFonts w:ascii="Times New Roman" w:hAnsi="Times New Roman" w:cs="Times New Roman"/>
        </w:rPr>
        <w:t xml:space="preserve"> Т. С. Педагогіка партнерства: основні ідеї, принципи та</w:t>
      </w:r>
    </w:p>
    <w:p w14:paraId="7D5007CA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сутність. Підготовка керівних та педагогічних кадрів до реалізації Концепції</w:t>
      </w:r>
    </w:p>
    <w:p w14:paraId="0247B9E3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 xml:space="preserve">Нової української школи: </w:t>
      </w:r>
      <w:proofErr w:type="spellStart"/>
      <w:r w:rsidRPr="00FB445A">
        <w:rPr>
          <w:rFonts w:ascii="Times New Roman" w:hAnsi="Times New Roman" w:cs="Times New Roman"/>
        </w:rPr>
        <w:t>Зб</w:t>
      </w:r>
      <w:proofErr w:type="spellEnd"/>
      <w:r w:rsidRPr="00FB445A">
        <w:rPr>
          <w:rFonts w:ascii="Times New Roman" w:hAnsi="Times New Roman" w:cs="Times New Roman"/>
        </w:rPr>
        <w:t>. статей Всеукраїнської науково-практичної</w:t>
      </w:r>
    </w:p>
    <w:p w14:paraId="14B2E35A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Інтернет-конференції, 6 квітня 2017 р. Харків: Харківська академія неперервної</w:t>
      </w:r>
    </w:p>
    <w:p w14:paraId="2DC8BBC8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 xml:space="preserve">освіти, 2017. С. 85–88, URL: http://confhano.at.ua/load/zbirniki/elektronnij_zbirnik_ </w:t>
      </w:r>
      <w:proofErr w:type="spellStart"/>
      <w:r w:rsidRPr="00FB445A">
        <w:rPr>
          <w:rFonts w:ascii="Times New Roman" w:hAnsi="Times New Roman" w:cs="Times New Roman"/>
        </w:rPr>
        <w:t>materialiv</w:t>
      </w:r>
      <w:proofErr w:type="spellEnd"/>
      <w:r w:rsidRPr="00FB445A">
        <w:rPr>
          <w:rFonts w:ascii="Times New Roman" w:hAnsi="Times New Roman" w:cs="Times New Roman"/>
        </w:rPr>
        <w:t>/4-1-0-680 (дата звернення:</w:t>
      </w:r>
    </w:p>
    <w:p w14:paraId="08D8A819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>03.09.2021).</w:t>
      </w:r>
    </w:p>
    <w:p w14:paraId="7AB582A6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FB445A">
        <w:rPr>
          <w:rFonts w:ascii="Times New Roman" w:hAnsi="Times New Roman" w:cs="Times New Roman"/>
        </w:rPr>
        <w:t xml:space="preserve">3. </w:t>
      </w:r>
      <w:proofErr w:type="spellStart"/>
      <w:r w:rsidRPr="00FB445A">
        <w:rPr>
          <w:rFonts w:ascii="Times New Roman" w:hAnsi="Times New Roman" w:cs="Times New Roman"/>
        </w:rPr>
        <w:t>Лысенкова</w:t>
      </w:r>
      <w:proofErr w:type="spellEnd"/>
      <w:r w:rsidRPr="00FB445A">
        <w:rPr>
          <w:rFonts w:ascii="Times New Roman" w:hAnsi="Times New Roman" w:cs="Times New Roman"/>
        </w:rPr>
        <w:t xml:space="preserve"> С. Н., Шаталов В. Ф., Волков И. П., </w:t>
      </w:r>
      <w:proofErr w:type="spellStart"/>
      <w:r w:rsidRPr="00FB445A">
        <w:rPr>
          <w:rFonts w:ascii="Times New Roman" w:hAnsi="Times New Roman" w:cs="Times New Roman"/>
        </w:rPr>
        <w:t>Караковский</w:t>
      </w:r>
      <w:proofErr w:type="spellEnd"/>
      <w:r w:rsidRPr="00FB445A">
        <w:rPr>
          <w:rFonts w:ascii="Times New Roman" w:hAnsi="Times New Roman" w:cs="Times New Roman"/>
        </w:rPr>
        <w:t xml:space="preserve"> В. А. и </w:t>
      </w:r>
      <w:proofErr w:type="spellStart"/>
      <w:r w:rsidRPr="00FB445A">
        <w:rPr>
          <w:rFonts w:ascii="Times New Roman" w:hAnsi="Times New Roman" w:cs="Times New Roman"/>
        </w:rPr>
        <w:t>др</w:t>
      </w:r>
      <w:proofErr w:type="spellEnd"/>
      <w:r w:rsidRPr="00FB445A">
        <w:rPr>
          <w:rFonts w:ascii="Times New Roman" w:hAnsi="Times New Roman" w:cs="Times New Roman"/>
        </w:rPr>
        <w:t>.</w:t>
      </w:r>
    </w:p>
    <w:p w14:paraId="206203A8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spellStart"/>
      <w:r w:rsidRPr="00FB445A">
        <w:rPr>
          <w:rFonts w:ascii="Times New Roman" w:hAnsi="Times New Roman" w:cs="Times New Roman"/>
        </w:rPr>
        <w:t>Педагогика</w:t>
      </w:r>
      <w:proofErr w:type="spellEnd"/>
      <w:r w:rsidRPr="00FB445A">
        <w:rPr>
          <w:rFonts w:ascii="Times New Roman" w:hAnsi="Times New Roman" w:cs="Times New Roman"/>
        </w:rPr>
        <w:t xml:space="preserve"> </w:t>
      </w:r>
      <w:proofErr w:type="spellStart"/>
      <w:r w:rsidRPr="00FB445A">
        <w:rPr>
          <w:rFonts w:ascii="Times New Roman" w:hAnsi="Times New Roman" w:cs="Times New Roman"/>
        </w:rPr>
        <w:t>сотрудничества</w:t>
      </w:r>
      <w:proofErr w:type="spellEnd"/>
      <w:r w:rsidRPr="00FB445A">
        <w:rPr>
          <w:rFonts w:ascii="Times New Roman" w:hAnsi="Times New Roman" w:cs="Times New Roman"/>
        </w:rPr>
        <w:t xml:space="preserve"> (</w:t>
      </w:r>
      <w:proofErr w:type="spellStart"/>
      <w:r w:rsidRPr="00FB445A">
        <w:rPr>
          <w:rFonts w:ascii="Times New Roman" w:hAnsi="Times New Roman" w:cs="Times New Roman"/>
        </w:rPr>
        <w:t>Отчет</w:t>
      </w:r>
      <w:proofErr w:type="spellEnd"/>
      <w:r w:rsidRPr="00FB445A">
        <w:rPr>
          <w:rFonts w:ascii="Times New Roman" w:hAnsi="Times New Roman" w:cs="Times New Roman"/>
        </w:rPr>
        <w:t xml:space="preserve"> о </w:t>
      </w:r>
      <w:proofErr w:type="spellStart"/>
      <w:r w:rsidRPr="00FB445A">
        <w:rPr>
          <w:rFonts w:ascii="Times New Roman" w:hAnsi="Times New Roman" w:cs="Times New Roman"/>
        </w:rPr>
        <w:t>встрече</w:t>
      </w:r>
      <w:proofErr w:type="spellEnd"/>
      <w:r w:rsidRPr="00FB445A">
        <w:rPr>
          <w:rFonts w:ascii="Times New Roman" w:hAnsi="Times New Roman" w:cs="Times New Roman"/>
        </w:rPr>
        <w:t xml:space="preserve"> </w:t>
      </w:r>
      <w:proofErr w:type="spellStart"/>
      <w:r w:rsidRPr="00FB445A">
        <w:rPr>
          <w:rFonts w:ascii="Times New Roman" w:hAnsi="Times New Roman" w:cs="Times New Roman"/>
        </w:rPr>
        <w:t>учителей-экспериментаторов</w:t>
      </w:r>
      <w:proofErr w:type="spellEnd"/>
      <w:r w:rsidRPr="00FB445A">
        <w:rPr>
          <w:rFonts w:ascii="Times New Roman" w:hAnsi="Times New Roman" w:cs="Times New Roman"/>
        </w:rPr>
        <w:t>).</w:t>
      </w:r>
    </w:p>
    <w:p w14:paraId="45A69DFD" w14:textId="6B33067E" w:rsidR="00690349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spellStart"/>
      <w:r w:rsidRPr="00FB445A">
        <w:rPr>
          <w:rFonts w:ascii="Times New Roman" w:hAnsi="Times New Roman" w:cs="Times New Roman"/>
        </w:rPr>
        <w:t>Учительская</w:t>
      </w:r>
      <w:proofErr w:type="spellEnd"/>
      <w:r w:rsidRPr="00FB445A">
        <w:rPr>
          <w:rFonts w:ascii="Times New Roman" w:hAnsi="Times New Roman" w:cs="Times New Roman"/>
        </w:rPr>
        <w:t xml:space="preserve"> газета. 1986. 18 </w:t>
      </w:r>
      <w:proofErr w:type="spellStart"/>
      <w:r w:rsidRPr="00FB445A">
        <w:rPr>
          <w:rFonts w:ascii="Times New Roman" w:hAnsi="Times New Roman" w:cs="Times New Roman"/>
        </w:rPr>
        <w:t>октября</w:t>
      </w:r>
      <w:proofErr w:type="spellEnd"/>
      <w:r w:rsidRPr="00FB445A">
        <w:rPr>
          <w:rFonts w:ascii="Times New Roman" w:hAnsi="Times New Roman" w:cs="Times New Roman"/>
        </w:rPr>
        <w:t>. С. 2–6</w:t>
      </w:r>
    </w:p>
    <w:p w14:paraId="1F8CEE09" w14:textId="77777777" w:rsidR="00FB445A" w:rsidRPr="00FB445A" w:rsidRDefault="00FB445A" w:rsidP="00FB445A">
      <w:pPr>
        <w:spacing w:after="0"/>
        <w:ind w:firstLine="709"/>
        <w:jc w:val="both"/>
        <w:rPr>
          <w:rFonts w:ascii="Times New Roman" w:hAnsi="Times New Roman" w:cs="Times New Roman"/>
        </w:rPr>
      </w:pPr>
    </w:p>
    <w:sectPr w:rsidR="00FB445A" w:rsidRPr="00FB44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86B"/>
    <w:rsid w:val="0007586B"/>
    <w:rsid w:val="00690349"/>
    <w:rsid w:val="00FB4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0B6EC"/>
  <w15:chartTrackingRefBased/>
  <w15:docId w15:val="{5C0DB610-BA31-4614-A2AB-981954D8E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3470</Words>
  <Characters>1978</Characters>
  <Application>Microsoft Office Word</Application>
  <DocSecurity>0</DocSecurity>
  <Lines>16</Lines>
  <Paragraphs>10</Paragraphs>
  <ScaleCrop>false</ScaleCrop>
  <Company/>
  <LinksUpToDate>false</LinksUpToDate>
  <CharactersWithSpaces>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Tanya Kravchyna</dc:creator>
  <cp:keywords/>
  <dc:description/>
  <cp:lastModifiedBy>Tanya Kravchyna</cp:lastModifiedBy>
  <cp:revision>2</cp:revision>
  <dcterms:created xsi:type="dcterms:W3CDTF">2023-09-14T20:09:00Z</dcterms:created>
  <dcterms:modified xsi:type="dcterms:W3CDTF">2023-09-14T20:11:00Z</dcterms:modified>
</cp:coreProperties>
</file>