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charts/chart6.xml" ContentType="application/vnd.openxmlformats-officedocument.drawingml.chart+xml"/>
  <Override PartName="/word/charts/chart7.xml" ContentType="application/vnd.openxmlformats-officedocument.drawingml.chart+xml"/>
  <Override PartName="/word/charts/chart8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0F21" w:rsidRPr="009F41C6" w:rsidRDefault="00050F21" w:rsidP="00050F21">
      <w:pPr>
        <w:widowControl w:val="0"/>
        <w:jc w:val="left"/>
        <w:rPr>
          <w:rFonts w:cs="Times New Roman"/>
          <w:szCs w:val="24"/>
        </w:rPr>
      </w:pPr>
      <w:r w:rsidRPr="009F41C6">
        <w:rPr>
          <w:rFonts w:cs="Times New Roman"/>
          <w:szCs w:val="24"/>
          <w:lang w:val="ru-RU"/>
        </w:rPr>
        <w:t xml:space="preserve">УДК </w:t>
      </w:r>
      <w:r w:rsidRPr="009F41C6">
        <w:rPr>
          <w:szCs w:val="24"/>
        </w:rPr>
        <w:t>32.019.51</w:t>
      </w:r>
      <w:r w:rsidRPr="009F41C6">
        <w:rPr>
          <w:rFonts w:cs="Times New Roman"/>
          <w:szCs w:val="24"/>
        </w:rPr>
        <w:t xml:space="preserve"> </w:t>
      </w:r>
    </w:p>
    <w:p w:rsidR="00521245" w:rsidRDefault="00050F21" w:rsidP="00050F21">
      <w:pPr>
        <w:pStyle w:val="1"/>
        <w:keepNext w:val="0"/>
        <w:keepLines w:val="0"/>
        <w:widowControl w:val="0"/>
        <w:numPr>
          <w:ilvl w:val="0"/>
          <w:numId w:val="0"/>
        </w:numPr>
        <w:ind w:left="432"/>
        <w:jc w:val="right"/>
        <w:rPr>
          <w:rFonts w:cs="Times New Roman"/>
          <w:caps w:val="0"/>
          <w:szCs w:val="24"/>
        </w:rPr>
      </w:pPr>
      <w:r w:rsidRPr="00054606">
        <w:rPr>
          <w:rFonts w:cs="Times New Roman"/>
          <w:caps w:val="0"/>
          <w:szCs w:val="24"/>
        </w:rPr>
        <w:t>Олена Бондаренко</w:t>
      </w:r>
    </w:p>
    <w:p w:rsidR="0081192D" w:rsidRPr="00704D99" w:rsidRDefault="0081192D" w:rsidP="0081192D">
      <w:pPr>
        <w:widowControl w:val="0"/>
        <w:ind w:firstLine="567"/>
        <w:rPr>
          <w:rFonts w:eastAsia="Calibri" w:cs="Times New Roman"/>
          <w:i/>
          <w:szCs w:val="20"/>
          <w:lang w:eastAsia="uk-UA"/>
        </w:rPr>
      </w:pPr>
      <w:r w:rsidRPr="00704D99">
        <w:rPr>
          <w:rFonts w:eastAsia="Calibri" w:cs="Times New Roman"/>
          <w:b/>
          <w:i/>
          <w:szCs w:val="20"/>
          <w:lang w:eastAsia="uk-UA"/>
        </w:rPr>
        <w:t>Бондаренко О</w:t>
      </w:r>
      <w:r w:rsidRPr="00704D99">
        <w:rPr>
          <w:rFonts w:eastAsia="Calibri" w:cs="Times New Roman"/>
          <w:b/>
          <w:i/>
          <w:szCs w:val="20"/>
          <w:lang w:val="ru-RU" w:eastAsia="uk-UA"/>
        </w:rPr>
        <w:t>.</w:t>
      </w:r>
      <w:r w:rsidRPr="00704D99">
        <w:rPr>
          <w:rFonts w:eastAsia="Calibri" w:cs="Times New Roman"/>
          <w:b/>
          <w:i/>
          <w:szCs w:val="20"/>
          <w:lang w:eastAsia="uk-UA"/>
        </w:rPr>
        <w:t>І</w:t>
      </w:r>
      <w:r w:rsidRPr="00704D99">
        <w:rPr>
          <w:rFonts w:eastAsia="Calibri" w:cs="Times New Roman"/>
          <w:b/>
          <w:i/>
          <w:szCs w:val="20"/>
          <w:lang w:val="ru-RU" w:eastAsia="uk-UA"/>
        </w:rPr>
        <w:t>.</w:t>
      </w:r>
      <w:r w:rsidRPr="00704D99">
        <w:rPr>
          <w:rFonts w:eastAsia="Calibri" w:cs="Times New Roman"/>
          <w:i/>
          <w:szCs w:val="20"/>
          <w:lang w:eastAsia="uk-UA"/>
        </w:rPr>
        <w:t>, доцент, кандидат психологічних наук, доцент кафедри міжнародної інформації та країнознавства Хмельницького національного університету</w:t>
      </w:r>
      <w:r w:rsidRPr="00704D99">
        <w:rPr>
          <w:rFonts w:eastAsia="Calibri" w:cs="Times New Roman"/>
          <w:i/>
          <w:szCs w:val="20"/>
          <w:lang w:val="ru-RU" w:eastAsia="uk-UA"/>
        </w:rPr>
        <w:t xml:space="preserve"> </w:t>
      </w:r>
      <w:bookmarkStart w:id="0" w:name="OLE_LINK50"/>
      <w:bookmarkStart w:id="1" w:name="OLE_LINK51"/>
      <w:r w:rsidRPr="00704D99">
        <w:rPr>
          <w:rFonts w:eastAsia="Calibri" w:cs="Times New Roman"/>
          <w:i/>
          <w:szCs w:val="20"/>
          <w:lang w:eastAsia="uk-UA"/>
        </w:rPr>
        <w:t>(Україна, Хмел</w:t>
      </w:r>
      <w:r w:rsidRPr="00704D99">
        <w:rPr>
          <w:rFonts w:eastAsia="Calibri" w:cs="Times New Roman"/>
          <w:i/>
          <w:szCs w:val="20"/>
          <w:lang w:eastAsia="uk-UA"/>
        </w:rPr>
        <w:t>ь</w:t>
      </w:r>
      <w:r w:rsidRPr="00704D99">
        <w:rPr>
          <w:rFonts w:eastAsia="Calibri" w:cs="Times New Roman"/>
          <w:i/>
          <w:szCs w:val="20"/>
          <w:lang w:eastAsia="uk-UA"/>
        </w:rPr>
        <w:t>ницький), elenaivbond@gmail.com</w:t>
      </w:r>
    </w:p>
    <w:bookmarkEnd w:id="0"/>
    <w:bookmarkEnd w:id="1"/>
    <w:p w:rsidR="0081192D" w:rsidRPr="00C41A49" w:rsidRDefault="0081192D" w:rsidP="0081192D">
      <w:pPr>
        <w:widowControl w:val="0"/>
        <w:ind w:firstLine="567"/>
        <w:rPr>
          <w:i/>
          <w:lang w:val="en-US"/>
        </w:rPr>
      </w:pPr>
      <w:proofErr w:type="spellStart"/>
      <w:r w:rsidRPr="00C41A49">
        <w:rPr>
          <w:b/>
          <w:i/>
          <w:lang w:val="en-US"/>
        </w:rPr>
        <w:t>Bondarenko</w:t>
      </w:r>
      <w:proofErr w:type="spellEnd"/>
      <w:r w:rsidRPr="00C41A49">
        <w:rPr>
          <w:b/>
          <w:i/>
          <w:lang w:val="en-US"/>
        </w:rPr>
        <w:t xml:space="preserve"> O.I.</w:t>
      </w:r>
      <w:r w:rsidRPr="00C41A49">
        <w:rPr>
          <w:i/>
          <w:lang w:val="en-US"/>
        </w:rPr>
        <w:t>, Ph.D., Assoc. Prof. at the Department of international information and r</w:t>
      </w:r>
      <w:r w:rsidRPr="00C41A49">
        <w:rPr>
          <w:i/>
          <w:lang w:val="en-US"/>
        </w:rPr>
        <w:t>e</w:t>
      </w:r>
      <w:r w:rsidRPr="00C41A49">
        <w:rPr>
          <w:i/>
          <w:lang w:val="en-US"/>
        </w:rPr>
        <w:t xml:space="preserve">gional geography of </w:t>
      </w:r>
      <w:proofErr w:type="spellStart"/>
      <w:r w:rsidRPr="00C41A49">
        <w:rPr>
          <w:i/>
          <w:lang w:val="en-US"/>
        </w:rPr>
        <w:t>Khmelnytsky</w:t>
      </w:r>
      <w:proofErr w:type="spellEnd"/>
      <w:r w:rsidRPr="00C41A49">
        <w:rPr>
          <w:i/>
          <w:lang w:val="en-US"/>
        </w:rPr>
        <w:t xml:space="preserve"> National University </w:t>
      </w:r>
      <w:r w:rsidRPr="00C41A49">
        <w:rPr>
          <w:i/>
        </w:rPr>
        <w:t>(</w:t>
      </w:r>
      <w:proofErr w:type="spellStart"/>
      <w:r w:rsidRPr="00C41A49">
        <w:rPr>
          <w:i/>
        </w:rPr>
        <w:t>Ukraine</w:t>
      </w:r>
      <w:proofErr w:type="spellEnd"/>
      <w:r w:rsidRPr="00C41A49">
        <w:rPr>
          <w:i/>
        </w:rPr>
        <w:t xml:space="preserve">, </w:t>
      </w:r>
      <w:proofErr w:type="spellStart"/>
      <w:r w:rsidRPr="00C41A49">
        <w:rPr>
          <w:i/>
        </w:rPr>
        <w:t>Khmelnytskyi</w:t>
      </w:r>
      <w:proofErr w:type="spellEnd"/>
      <w:r w:rsidRPr="00C41A49">
        <w:rPr>
          <w:i/>
        </w:rPr>
        <w:t xml:space="preserve">), </w:t>
      </w:r>
      <w:proofErr w:type="spellStart"/>
      <w:r w:rsidRPr="00C41A49">
        <w:rPr>
          <w:i/>
        </w:rPr>
        <w:t>elenaivbond</w:t>
      </w:r>
      <w:proofErr w:type="spellEnd"/>
      <w:r w:rsidRPr="00C41A49">
        <w:rPr>
          <w:i/>
          <w:szCs w:val="24"/>
          <w:lang w:val="en-US" w:eastAsia="ru-RU"/>
        </w:rPr>
        <w:t>@gmail.com</w:t>
      </w:r>
    </w:p>
    <w:p w:rsidR="00050F21" w:rsidRPr="0081192D" w:rsidRDefault="00050F21" w:rsidP="00050F21">
      <w:pPr>
        <w:rPr>
          <w:lang w:val="en-US"/>
        </w:rPr>
      </w:pPr>
    </w:p>
    <w:p w:rsidR="004C71E9" w:rsidRDefault="004C71E9" w:rsidP="004C71E9">
      <w:pPr>
        <w:pStyle w:val="1"/>
        <w:keepNext w:val="0"/>
        <w:keepLines w:val="0"/>
        <w:widowControl w:val="0"/>
        <w:numPr>
          <w:ilvl w:val="0"/>
          <w:numId w:val="0"/>
        </w:numPr>
        <w:ind w:left="432"/>
        <w:jc w:val="both"/>
        <w:rPr>
          <w:sz w:val="28"/>
          <w:szCs w:val="28"/>
        </w:rPr>
      </w:pPr>
      <w:r w:rsidRPr="00005641">
        <w:rPr>
          <w:sz w:val="28"/>
          <w:szCs w:val="28"/>
        </w:rPr>
        <w:t>А</w:t>
      </w:r>
      <w:r w:rsidRPr="00005641">
        <w:rPr>
          <w:caps w:val="0"/>
          <w:sz w:val="28"/>
          <w:szCs w:val="28"/>
        </w:rPr>
        <w:t xml:space="preserve">наліз </w:t>
      </w:r>
      <w:r w:rsidRPr="00050F21">
        <w:rPr>
          <w:caps w:val="0"/>
          <w:sz w:val="28"/>
          <w:szCs w:val="28"/>
        </w:rPr>
        <w:t xml:space="preserve">економічної </w:t>
      </w:r>
      <w:r w:rsidRPr="00005641">
        <w:rPr>
          <w:caps w:val="0"/>
          <w:sz w:val="28"/>
          <w:szCs w:val="28"/>
        </w:rPr>
        <w:t xml:space="preserve">складової дезінтеграційної регіоналізації в </w:t>
      </w:r>
      <w:r w:rsidRPr="00005641">
        <w:rPr>
          <w:sz w:val="28"/>
          <w:szCs w:val="28"/>
        </w:rPr>
        <w:t>ЄС</w:t>
      </w:r>
    </w:p>
    <w:p w:rsidR="004C5FD6" w:rsidRPr="004C5FD6" w:rsidRDefault="004C5FD6" w:rsidP="004C5FD6"/>
    <w:p w:rsidR="00CC79B7" w:rsidRPr="005545C3" w:rsidRDefault="00CC79B7" w:rsidP="00CC79B7">
      <w:pPr>
        <w:widowControl w:val="0"/>
        <w:outlineLvl w:val="0"/>
        <w:rPr>
          <w:szCs w:val="24"/>
        </w:rPr>
      </w:pPr>
      <w:r w:rsidRPr="005545C3">
        <w:rPr>
          <w:rFonts w:eastAsiaTheme="majorEastAsia" w:cs="Times New Roman"/>
          <w:b/>
          <w:szCs w:val="24"/>
        </w:rPr>
        <w:t xml:space="preserve">Бондаренко О.І. </w:t>
      </w:r>
      <w:r w:rsidRPr="005545C3">
        <w:rPr>
          <w:rFonts w:eastAsiaTheme="majorEastAsia" w:cs="Times New Roman"/>
          <w:b/>
          <w:caps/>
          <w:szCs w:val="24"/>
        </w:rPr>
        <w:t>А</w:t>
      </w:r>
      <w:r w:rsidRPr="005545C3">
        <w:rPr>
          <w:rFonts w:eastAsiaTheme="majorEastAsia" w:cs="Times New Roman"/>
          <w:b/>
          <w:szCs w:val="24"/>
        </w:rPr>
        <w:t xml:space="preserve">наліз економічної складової дезінтеграційної регіоналізації в </w:t>
      </w:r>
      <w:r w:rsidRPr="005545C3">
        <w:rPr>
          <w:rFonts w:eastAsiaTheme="majorEastAsia" w:cs="Times New Roman"/>
          <w:b/>
          <w:caps/>
          <w:szCs w:val="24"/>
        </w:rPr>
        <w:t xml:space="preserve">ЄС. </w:t>
      </w:r>
      <w:r w:rsidRPr="005545C3">
        <w:rPr>
          <w:rFonts w:cs="Times New Roman"/>
          <w:szCs w:val="24"/>
        </w:rPr>
        <w:t>Метою дослідження є аналіз економічної складової дезінтеграційної регіоналізації в кр</w:t>
      </w:r>
      <w:r w:rsidRPr="005545C3">
        <w:rPr>
          <w:rFonts w:cs="Times New Roman"/>
          <w:szCs w:val="24"/>
        </w:rPr>
        <w:t>а</w:t>
      </w:r>
      <w:r w:rsidRPr="005545C3">
        <w:rPr>
          <w:rFonts w:cs="Times New Roman"/>
          <w:szCs w:val="24"/>
        </w:rPr>
        <w:t xml:space="preserve">їнах Іспанії, Італії та Бельгії. Для вирішення поставленої мети були використані </w:t>
      </w:r>
      <w:r w:rsidRPr="005545C3">
        <w:rPr>
          <w:rFonts w:eastAsia="Times New Roman" w:cs="Times New Roman"/>
          <w:szCs w:val="24"/>
          <w:lang w:eastAsia="ru-RU"/>
        </w:rPr>
        <w:t>наступні м</w:t>
      </w:r>
      <w:r w:rsidRPr="005545C3">
        <w:rPr>
          <w:rFonts w:eastAsia="Times New Roman" w:cs="Times New Roman"/>
          <w:szCs w:val="24"/>
          <w:lang w:eastAsia="ru-RU"/>
        </w:rPr>
        <w:t>е</w:t>
      </w:r>
      <w:r w:rsidRPr="005545C3">
        <w:rPr>
          <w:rFonts w:eastAsia="Times New Roman" w:cs="Times New Roman"/>
          <w:szCs w:val="24"/>
          <w:lang w:eastAsia="ru-RU"/>
        </w:rPr>
        <w:t>тоди дослідження: інформаційно-пошуковий, статистичний, порівняльний, системний аналіз. Вихідними даними для аналізу економічної складової дезінтеграційної регіоналізації в обр</w:t>
      </w:r>
      <w:r w:rsidRPr="005545C3">
        <w:rPr>
          <w:rFonts w:eastAsia="Times New Roman" w:cs="Times New Roman"/>
          <w:szCs w:val="24"/>
          <w:lang w:eastAsia="ru-RU"/>
        </w:rPr>
        <w:t>а</w:t>
      </w:r>
      <w:r w:rsidRPr="005545C3">
        <w:rPr>
          <w:rFonts w:eastAsia="Times New Roman" w:cs="Times New Roman"/>
          <w:szCs w:val="24"/>
          <w:lang w:eastAsia="ru-RU"/>
        </w:rPr>
        <w:t xml:space="preserve">них країнах були такі показники: </w:t>
      </w:r>
      <w:r w:rsidRPr="005545C3">
        <w:rPr>
          <w:rFonts w:cs="Times New Roman"/>
          <w:szCs w:val="24"/>
        </w:rPr>
        <w:t>ВВП в окремих регіонах країн ЄС, ВВП на душу населення в окремих регіонах країн ЄС, частка регіонів у ВВП Італії, Іспанії та Бельгії, ВВП на душу населення країн та регіонів у % до середнього по ЄС28, частка економічно активного нас</w:t>
      </w:r>
      <w:r w:rsidRPr="005545C3">
        <w:rPr>
          <w:rFonts w:cs="Times New Roman"/>
          <w:szCs w:val="24"/>
        </w:rPr>
        <w:t>е</w:t>
      </w:r>
      <w:r w:rsidRPr="005545C3">
        <w:rPr>
          <w:rFonts w:cs="Times New Roman"/>
          <w:szCs w:val="24"/>
        </w:rPr>
        <w:t>лення серед громадян віком 15 – 74 років у вибраних країнах ЄС, частка економічно акти</w:t>
      </w:r>
      <w:r w:rsidRPr="005545C3">
        <w:rPr>
          <w:rFonts w:cs="Times New Roman"/>
          <w:szCs w:val="24"/>
        </w:rPr>
        <w:t>в</w:t>
      </w:r>
      <w:r w:rsidRPr="005545C3">
        <w:rPr>
          <w:rFonts w:cs="Times New Roman"/>
          <w:szCs w:val="24"/>
        </w:rPr>
        <w:t>ного населення серед громадян віком 25 – 34 років у вибраних країнах ЄС, чисті доходи д</w:t>
      </w:r>
      <w:r w:rsidRPr="005545C3">
        <w:rPr>
          <w:rFonts w:cs="Times New Roman"/>
          <w:szCs w:val="24"/>
        </w:rPr>
        <w:t>о</w:t>
      </w:r>
      <w:r w:rsidRPr="005545C3">
        <w:rPr>
          <w:rFonts w:cs="Times New Roman"/>
          <w:szCs w:val="24"/>
        </w:rPr>
        <w:t>могосподарств Бельгії, Італії та Іспанії у розрізі регіонів, надходження податків за автоно</w:t>
      </w:r>
      <w:r w:rsidRPr="005545C3">
        <w:rPr>
          <w:rFonts w:cs="Times New Roman"/>
          <w:szCs w:val="24"/>
        </w:rPr>
        <w:t>м</w:t>
      </w:r>
      <w:r w:rsidRPr="005545C3">
        <w:rPr>
          <w:rFonts w:cs="Times New Roman"/>
          <w:szCs w:val="24"/>
        </w:rPr>
        <w:t>ними регіонами (спільнот</w:t>
      </w:r>
      <w:r>
        <w:rPr>
          <w:rFonts w:cs="Times New Roman"/>
          <w:szCs w:val="24"/>
        </w:rPr>
        <w:t xml:space="preserve">ами) Іспанії, Італії, Бельгії. </w:t>
      </w:r>
      <w:r w:rsidRPr="005545C3">
        <w:rPr>
          <w:rFonts w:eastAsia="Times New Roman" w:cs="Times New Roman"/>
          <w:szCs w:val="24"/>
          <w:shd w:val="clear" w:color="auto" w:fill="FFFFFF"/>
        </w:rPr>
        <w:t xml:space="preserve">У статті </w:t>
      </w:r>
      <w:r w:rsidRPr="005545C3">
        <w:rPr>
          <w:rFonts w:cs="Times New Roman"/>
          <w:szCs w:val="24"/>
        </w:rPr>
        <w:t xml:space="preserve">проаналізовано сучасний стан економічної складової дезінтеграційної регіоналізації в країнах ЄС – Італії, Іспанії, Бельгії. Встановлено, що в Італії, Бельгії та Іспанії спостерігається суттєва розбіжність між </w:t>
      </w:r>
      <w:r>
        <w:rPr>
          <w:rFonts w:cs="Times New Roman"/>
          <w:szCs w:val="24"/>
        </w:rPr>
        <w:t xml:space="preserve">всіма </w:t>
      </w:r>
      <w:r w:rsidRPr="005545C3">
        <w:rPr>
          <w:rFonts w:cs="Times New Roman"/>
          <w:szCs w:val="24"/>
        </w:rPr>
        <w:t>р</w:t>
      </w:r>
      <w:r w:rsidRPr="005545C3">
        <w:rPr>
          <w:rFonts w:cs="Times New Roman"/>
          <w:szCs w:val="24"/>
        </w:rPr>
        <w:t>е</w:t>
      </w:r>
      <w:r w:rsidRPr="005545C3">
        <w:rPr>
          <w:rFonts w:cs="Times New Roman"/>
          <w:szCs w:val="24"/>
        </w:rPr>
        <w:t>гіонами за рівнем ВВП, рівнем ВВП на душу населення і тими регіонами, де населення сх</w:t>
      </w:r>
      <w:r w:rsidRPr="005545C3">
        <w:rPr>
          <w:rFonts w:cs="Times New Roman"/>
          <w:szCs w:val="24"/>
        </w:rPr>
        <w:t>и</w:t>
      </w:r>
      <w:r w:rsidRPr="005545C3">
        <w:rPr>
          <w:rFonts w:cs="Times New Roman"/>
          <w:szCs w:val="24"/>
        </w:rPr>
        <w:t>льне до дезінтеграційної регіоналізації. Встановлено, що різниця у доходах домогосподарств у Бельгії не є великою і тому, не може бути джерелом розвитку дезінтеграційної регіоналіз</w:t>
      </w:r>
      <w:r w:rsidRPr="005545C3">
        <w:rPr>
          <w:rFonts w:cs="Times New Roman"/>
          <w:szCs w:val="24"/>
        </w:rPr>
        <w:t>а</w:t>
      </w:r>
      <w:r w:rsidRPr="005545C3">
        <w:rPr>
          <w:rFonts w:cs="Times New Roman"/>
          <w:szCs w:val="24"/>
        </w:rPr>
        <w:t>ції, на противагу Іспанії та Італії, де ця розбіжність велика, і тому використовується право-радикальними політичними силами та популістами як аргумент стосовно можливого відд</w:t>
      </w:r>
      <w:r w:rsidRPr="005545C3">
        <w:rPr>
          <w:rFonts w:cs="Times New Roman"/>
          <w:szCs w:val="24"/>
        </w:rPr>
        <w:t>і</w:t>
      </w:r>
      <w:r w:rsidRPr="005545C3">
        <w:rPr>
          <w:rFonts w:cs="Times New Roman"/>
          <w:szCs w:val="24"/>
        </w:rPr>
        <w:t>лення від країни. Проведений аналіз економічної складової дезінтеграційної регіоналізації дозволяє зробити висновок, що основним економічним фактором цього явища виступає нер</w:t>
      </w:r>
      <w:r w:rsidRPr="005545C3">
        <w:rPr>
          <w:rFonts w:cs="Times New Roman"/>
          <w:szCs w:val="24"/>
        </w:rPr>
        <w:t>і</w:t>
      </w:r>
      <w:r w:rsidRPr="005545C3">
        <w:rPr>
          <w:rFonts w:cs="Times New Roman"/>
          <w:szCs w:val="24"/>
        </w:rPr>
        <w:t>вномірність розвитку регіонів і небажання більш багатих регіонів «утримувати» більш бідні. Подальший аналіз дезінтеграційної регіоналізації в країнах ЄС передбачає аналіз соціальної та політичної складової.</w:t>
      </w:r>
      <w:r>
        <w:rPr>
          <w:rFonts w:cs="Times New Roman"/>
          <w:szCs w:val="24"/>
        </w:rPr>
        <w:t xml:space="preserve"> </w:t>
      </w:r>
      <w:r w:rsidRPr="005545C3">
        <w:rPr>
          <w:szCs w:val="24"/>
        </w:rPr>
        <w:t>Вивчення досвіду країн ЄС у вирішенні кризових питань, досл</w:t>
      </w:r>
      <w:r w:rsidRPr="005545C3">
        <w:rPr>
          <w:szCs w:val="24"/>
        </w:rPr>
        <w:t>і</w:t>
      </w:r>
      <w:r w:rsidRPr="005545C3">
        <w:rPr>
          <w:szCs w:val="24"/>
        </w:rPr>
        <w:lastRenderedPageBreak/>
        <w:t xml:space="preserve">дження причин, складових та наслідків дезінтеграційної регіоналізації, можуть допомогти Україні у вирішенні власних </w:t>
      </w:r>
      <w:r>
        <w:rPr>
          <w:szCs w:val="24"/>
        </w:rPr>
        <w:t xml:space="preserve">територіальних </w:t>
      </w:r>
      <w:r w:rsidRPr="005545C3">
        <w:rPr>
          <w:szCs w:val="24"/>
        </w:rPr>
        <w:t>проблем.</w:t>
      </w:r>
    </w:p>
    <w:p w:rsidR="001A448C" w:rsidRPr="00050F21" w:rsidRDefault="00BE11AE" w:rsidP="00BE11AE">
      <w:pPr>
        <w:spacing w:after="200" w:line="276" w:lineRule="auto"/>
        <w:jc w:val="left"/>
      </w:pPr>
      <w:r w:rsidRPr="00BE11AE">
        <w:rPr>
          <w:b/>
        </w:rPr>
        <w:t>Ключові слова:</w:t>
      </w:r>
      <w:r>
        <w:t xml:space="preserve"> регіоналізація сепаратизм, ВВП, </w:t>
      </w:r>
      <w:proofErr w:type="spellStart"/>
      <w:r>
        <w:t>ВВП</w:t>
      </w:r>
      <w:proofErr w:type="spellEnd"/>
      <w:r>
        <w:t xml:space="preserve"> на душу населення, податки.</w:t>
      </w:r>
    </w:p>
    <w:p w:rsidR="00810B50" w:rsidRDefault="00810B50" w:rsidP="00521245">
      <w:pPr>
        <w:rPr>
          <w:rFonts w:eastAsia="Times New Roman"/>
          <w:b/>
          <w:szCs w:val="24"/>
          <w:shd w:val="clear" w:color="auto" w:fill="FFFFFF"/>
        </w:rPr>
      </w:pPr>
    </w:p>
    <w:p w:rsidR="00CC79B7" w:rsidRPr="005C2956" w:rsidRDefault="00CC79B7" w:rsidP="00CC79B7">
      <w:pPr>
        <w:rPr>
          <w:lang w:val="en-US"/>
        </w:rPr>
      </w:pPr>
      <w:proofErr w:type="spellStart"/>
      <w:r w:rsidRPr="00FD3777">
        <w:rPr>
          <w:b/>
          <w:lang w:val="en-US"/>
        </w:rPr>
        <w:t>Bondarenko</w:t>
      </w:r>
      <w:proofErr w:type="spellEnd"/>
      <w:r w:rsidRPr="00FD3777">
        <w:rPr>
          <w:b/>
          <w:lang w:val="en-US"/>
        </w:rPr>
        <w:t xml:space="preserve"> </w:t>
      </w:r>
      <w:proofErr w:type="spellStart"/>
      <w:r w:rsidRPr="00FD3777">
        <w:rPr>
          <w:b/>
          <w:lang w:val="en-US"/>
        </w:rPr>
        <w:t>Olena</w:t>
      </w:r>
      <w:proofErr w:type="spellEnd"/>
      <w:r w:rsidRPr="009F41C6">
        <w:rPr>
          <w:lang w:val="en-US"/>
        </w:rPr>
        <w:t xml:space="preserve">. </w:t>
      </w:r>
      <w:proofErr w:type="gramStart"/>
      <w:r w:rsidRPr="00767221">
        <w:rPr>
          <w:b/>
          <w:lang w:val="en-US"/>
        </w:rPr>
        <w:t xml:space="preserve">The Analysis of the Economic Component of </w:t>
      </w:r>
      <w:proofErr w:type="spellStart"/>
      <w:r w:rsidRPr="00767221">
        <w:rPr>
          <w:b/>
          <w:lang w:val="en-US"/>
        </w:rPr>
        <w:t>Disintegrational</w:t>
      </w:r>
      <w:proofErr w:type="spellEnd"/>
      <w:r w:rsidRPr="00767221">
        <w:rPr>
          <w:b/>
          <w:lang w:val="en-US"/>
        </w:rPr>
        <w:t xml:space="preserve"> R</w:t>
      </w:r>
      <w:r w:rsidRPr="00767221">
        <w:rPr>
          <w:b/>
          <w:lang w:val="en-US"/>
        </w:rPr>
        <w:t>e</w:t>
      </w:r>
      <w:r w:rsidRPr="00767221">
        <w:rPr>
          <w:b/>
          <w:lang w:val="en-US"/>
        </w:rPr>
        <w:t>gionalization in the EU.</w:t>
      </w:r>
      <w:proofErr w:type="gramEnd"/>
      <w:r w:rsidRPr="00767221">
        <w:rPr>
          <w:b/>
          <w:lang w:val="en-US"/>
        </w:rPr>
        <w:t xml:space="preserve"> </w:t>
      </w:r>
      <w:r w:rsidRPr="005C2956">
        <w:rPr>
          <w:lang w:val="en-US"/>
        </w:rPr>
        <w:t xml:space="preserve">The purpose of the study is the analysis of economic component of </w:t>
      </w:r>
      <w:proofErr w:type="spellStart"/>
      <w:r w:rsidRPr="005C2956">
        <w:rPr>
          <w:lang w:val="en-US"/>
        </w:rPr>
        <w:t>disi</w:t>
      </w:r>
      <w:r w:rsidRPr="005C2956">
        <w:rPr>
          <w:lang w:val="en-US"/>
        </w:rPr>
        <w:t>n</w:t>
      </w:r>
      <w:r w:rsidRPr="005C2956">
        <w:rPr>
          <w:lang w:val="en-US"/>
        </w:rPr>
        <w:t>tegrational</w:t>
      </w:r>
      <w:proofErr w:type="spellEnd"/>
      <w:r w:rsidRPr="005C2956">
        <w:rPr>
          <w:lang w:val="en-US"/>
        </w:rPr>
        <w:t xml:space="preserve"> regionalization in Italy, Spain and Belgium. The following research methods were used to reach the set purpose: information retrieval, statistical, comparative, system analysis. The bas</w:t>
      </w:r>
      <w:r w:rsidRPr="005C2956">
        <w:rPr>
          <w:lang w:val="en-US"/>
        </w:rPr>
        <w:t>e</w:t>
      </w:r>
      <w:r w:rsidRPr="005C2956">
        <w:rPr>
          <w:lang w:val="en-US"/>
        </w:rPr>
        <w:t xml:space="preserve">line data for the analysis of economic component of </w:t>
      </w:r>
      <w:proofErr w:type="spellStart"/>
      <w:r w:rsidRPr="005C2956">
        <w:rPr>
          <w:lang w:val="en-US"/>
        </w:rPr>
        <w:t>disintegrational</w:t>
      </w:r>
      <w:proofErr w:type="spellEnd"/>
      <w:r w:rsidRPr="005C2956">
        <w:rPr>
          <w:lang w:val="en-US"/>
        </w:rPr>
        <w:t xml:space="preserve"> regionalization in selected countries were such measures: GDP in some regions of EU countries; GDP per capita in  some r</w:t>
      </w:r>
      <w:r w:rsidRPr="005C2956">
        <w:rPr>
          <w:lang w:val="en-US"/>
        </w:rPr>
        <w:t>e</w:t>
      </w:r>
      <w:r w:rsidRPr="005C2956">
        <w:rPr>
          <w:lang w:val="en-US"/>
        </w:rPr>
        <w:t>gions of EU countries; the share of regions in the GDP of Italy, Spain and Belgium; GDP per capita of countries and regions in percentage to average in the EU (28); the proportion of economically active population among citizens aged 15-74 in selected EU countries; the proportion of econom</w:t>
      </w:r>
      <w:r w:rsidRPr="005C2956">
        <w:rPr>
          <w:lang w:val="en-US"/>
        </w:rPr>
        <w:t>i</w:t>
      </w:r>
      <w:r w:rsidRPr="005C2956">
        <w:rPr>
          <w:lang w:val="en-US"/>
        </w:rPr>
        <w:t>cally active population among citizens aged 25 to 34 in selected EU countries; net incomes of households by regions in Belgium, Italy and Spain; tax revenues from autonomous regions (co</w:t>
      </w:r>
      <w:r w:rsidRPr="005C2956">
        <w:rPr>
          <w:lang w:val="en-US"/>
        </w:rPr>
        <w:t>m</w:t>
      </w:r>
      <w:r w:rsidRPr="005C2956">
        <w:rPr>
          <w:lang w:val="en-US"/>
        </w:rPr>
        <w:t xml:space="preserve">munities) of Spain, Italy and Belgium. The analysis of the economic component of </w:t>
      </w:r>
      <w:proofErr w:type="spellStart"/>
      <w:r w:rsidRPr="005C2956">
        <w:rPr>
          <w:lang w:val="en-US"/>
        </w:rPr>
        <w:t>disintegrational</w:t>
      </w:r>
      <w:proofErr w:type="spellEnd"/>
      <w:r w:rsidRPr="005C2956">
        <w:rPr>
          <w:lang w:val="en-US"/>
        </w:rPr>
        <w:t xml:space="preserve"> regionalization allows </w:t>
      </w:r>
      <w:proofErr w:type="gramStart"/>
      <w:r w:rsidRPr="005C2956">
        <w:rPr>
          <w:lang w:val="en-US"/>
        </w:rPr>
        <w:t>to conclude</w:t>
      </w:r>
      <w:proofErr w:type="gramEnd"/>
      <w:r w:rsidRPr="005C2956">
        <w:rPr>
          <w:lang w:val="en-US"/>
        </w:rPr>
        <w:t xml:space="preserve"> that the main economic factor of this phenomenon is the uneven development of regions and the reluctance of more affluent regions to "keep" poorer regions. The further study of the </w:t>
      </w:r>
      <w:proofErr w:type="spellStart"/>
      <w:r w:rsidRPr="005C2956">
        <w:rPr>
          <w:lang w:val="en-US"/>
        </w:rPr>
        <w:t>disintegrational</w:t>
      </w:r>
      <w:proofErr w:type="spellEnd"/>
      <w:r w:rsidRPr="005C2956">
        <w:rPr>
          <w:lang w:val="en-US"/>
        </w:rPr>
        <w:t xml:space="preserve"> regionalization in EU countries envisages the </w:t>
      </w:r>
      <w:proofErr w:type="spellStart"/>
      <w:r w:rsidRPr="005C2956">
        <w:rPr>
          <w:lang w:val="en-US"/>
        </w:rPr>
        <w:t>analisys</w:t>
      </w:r>
      <w:proofErr w:type="spellEnd"/>
      <w:r w:rsidRPr="005C2956">
        <w:rPr>
          <w:lang w:val="en-US"/>
        </w:rPr>
        <w:t xml:space="preserve"> of social and political components. The research of the EU countries' experience in addressing critical issues, the study of causes, components and cons</w:t>
      </w:r>
      <w:r w:rsidRPr="005C2956">
        <w:rPr>
          <w:lang w:val="en-US"/>
        </w:rPr>
        <w:t>e</w:t>
      </w:r>
      <w:r w:rsidRPr="005C2956">
        <w:rPr>
          <w:lang w:val="en-US"/>
        </w:rPr>
        <w:t xml:space="preserve">quences of the </w:t>
      </w:r>
      <w:proofErr w:type="spellStart"/>
      <w:r w:rsidRPr="005C2956">
        <w:rPr>
          <w:lang w:val="en-US"/>
        </w:rPr>
        <w:t>disintegrational</w:t>
      </w:r>
      <w:proofErr w:type="spellEnd"/>
      <w:r w:rsidRPr="005C2956">
        <w:rPr>
          <w:lang w:val="en-US"/>
        </w:rPr>
        <w:t xml:space="preserve"> regionalization can help Ukraine to solve its own territorial problems. The Analysis of the Economic Component of </w:t>
      </w:r>
      <w:proofErr w:type="spellStart"/>
      <w:r w:rsidRPr="005C2956">
        <w:rPr>
          <w:lang w:val="en-US"/>
        </w:rPr>
        <w:t>Disint</w:t>
      </w:r>
      <w:r w:rsidRPr="005C2956">
        <w:rPr>
          <w:lang w:val="en-US"/>
        </w:rPr>
        <w:t>e</w:t>
      </w:r>
      <w:r w:rsidRPr="005C2956">
        <w:rPr>
          <w:lang w:val="en-US"/>
        </w:rPr>
        <w:t>grational</w:t>
      </w:r>
      <w:proofErr w:type="spellEnd"/>
      <w:r w:rsidRPr="005C2956">
        <w:rPr>
          <w:lang w:val="en-US"/>
        </w:rPr>
        <w:t xml:space="preserve"> Regionalization in the EU In the article the economic component of </w:t>
      </w:r>
      <w:proofErr w:type="spellStart"/>
      <w:r w:rsidRPr="005C2956">
        <w:rPr>
          <w:lang w:val="en-US"/>
        </w:rPr>
        <w:t>disintegrational</w:t>
      </w:r>
      <w:proofErr w:type="spellEnd"/>
      <w:r w:rsidRPr="005C2956">
        <w:rPr>
          <w:lang w:val="en-US"/>
        </w:rPr>
        <w:t xml:space="preserve"> r</w:t>
      </w:r>
      <w:r w:rsidRPr="005C2956">
        <w:rPr>
          <w:lang w:val="en-US"/>
        </w:rPr>
        <w:t>e</w:t>
      </w:r>
      <w:r w:rsidRPr="005C2956">
        <w:rPr>
          <w:lang w:val="en-US"/>
        </w:rPr>
        <w:t xml:space="preserve">gionalization in EU countries (Italy, Spain and Belgium) at present time was analyzed. Regarding Italy, Spain and Belgium it was determined that there is a significant discrepancy between regions by the level of GDP, GDP per capita and those regions, where the population is inclined to </w:t>
      </w:r>
      <w:proofErr w:type="spellStart"/>
      <w:r w:rsidRPr="005C2956">
        <w:rPr>
          <w:lang w:val="en-US"/>
        </w:rPr>
        <w:t>disint</w:t>
      </w:r>
      <w:r w:rsidRPr="005C2956">
        <w:rPr>
          <w:lang w:val="en-US"/>
        </w:rPr>
        <w:t>e</w:t>
      </w:r>
      <w:r w:rsidRPr="005C2956">
        <w:rPr>
          <w:lang w:val="en-US"/>
        </w:rPr>
        <w:t>grational</w:t>
      </w:r>
      <w:proofErr w:type="spellEnd"/>
      <w:r w:rsidRPr="005C2956">
        <w:rPr>
          <w:lang w:val="en-US"/>
        </w:rPr>
        <w:t xml:space="preserve"> regionaliz</w:t>
      </w:r>
      <w:r w:rsidRPr="005C2956">
        <w:rPr>
          <w:lang w:val="en-US"/>
        </w:rPr>
        <w:t>a</w:t>
      </w:r>
      <w:r w:rsidRPr="005C2956">
        <w:rPr>
          <w:lang w:val="en-US"/>
        </w:rPr>
        <w:t xml:space="preserve">tion. The difference in household incomes in Belgium is small and therefore it </w:t>
      </w:r>
      <w:proofErr w:type="spellStart"/>
      <w:r w:rsidRPr="005C2956">
        <w:rPr>
          <w:lang w:val="en-US"/>
        </w:rPr>
        <w:t>can not</w:t>
      </w:r>
      <w:proofErr w:type="spellEnd"/>
      <w:r w:rsidRPr="005C2956">
        <w:rPr>
          <w:lang w:val="en-US"/>
        </w:rPr>
        <w:t xml:space="preserve"> be a source of </w:t>
      </w:r>
      <w:proofErr w:type="spellStart"/>
      <w:r w:rsidRPr="005C2956">
        <w:rPr>
          <w:lang w:val="en-US"/>
        </w:rPr>
        <w:t>disintegrational</w:t>
      </w:r>
      <w:proofErr w:type="spellEnd"/>
      <w:r w:rsidRPr="005C2956">
        <w:rPr>
          <w:lang w:val="en-US"/>
        </w:rPr>
        <w:t xml:space="preserve"> regionalization development. In Italy and Spain this diffe</w:t>
      </w:r>
      <w:r w:rsidRPr="005C2956">
        <w:rPr>
          <w:lang w:val="en-US"/>
        </w:rPr>
        <w:t>r</w:t>
      </w:r>
      <w:r w:rsidRPr="005C2956">
        <w:rPr>
          <w:lang w:val="en-US"/>
        </w:rPr>
        <w:t xml:space="preserve">ence on the contrary is big and thus it is used by right-wing radical political forces and populists as an argument in favor of possible separation. The analysis of the economic component of </w:t>
      </w:r>
      <w:proofErr w:type="spellStart"/>
      <w:r w:rsidRPr="005C2956">
        <w:rPr>
          <w:lang w:val="en-US"/>
        </w:rPr>
        <w:t>disintegr</w:t>
      </w:r>
      <w:r w:rsidRPr="005C2956">
        <w:rPr>
          <w:lang w:val="en-US"/>
        </w:rPr>
        <w:t>a</w:t>
      </w:r>
      <w:r w:rsidRPr="005C2956">
        <w:rPr>
          <w:lang w:val="en-US"/>
        </w:rPr>
        <w:t>tional</w:t>
      </w:r>
      <w:proofErr w:type="spellEnd"/>
      <w:r w:rsidRPr="005C2956">
        <w:rPr>
          <w:lang w:val="en-US"/>
        </w:rPr>
        <w:t xml:space="preserve"> regionalization allows </w:t>
      </w:r>
      <w:proofErr w:type="gramStart"/>
      <w:r w:rsidRPr="005C2956">
        <w:rPr>
          <w:lang w:val="en-US"/>
        </w:rPr>
        <w:t>to conclude</w:t>
      </w:r>
      <w:proofErr w:type="gramEnd"/>
      <w:r w:rsidRPr="005C2956">
        <w:rPr>
          <w:lang w:val="en-US"/>
        </w:rPr>
        <w:t xml:space="preserve"> that the main economic factor of this phenomenon is the uneven development of regions and the reluctance of more affluent regions to "keep" poorer r</w:t>
      </w:r>
      <w:r w:rsidRPr="005C2956">
        <w:rPr>
          <w:lang w:val="en-US"/>
        </w:rPr>
        <w:t>e</w:t>
      </w:r>
      <w:r w:rsidRPr="005C2956">
        <w:rPr>
          <w:lang w:val="en-US"/>
        </w:rPr>
        <w:t xml:space="preserve">gions. The further study of the </w:t>
      </w:r>
      <w:proofErr w:type="spellStart"/>
      <w:r w:rsidRPr="005C2956">
        <w:rPr>
          <w:lang w:val="en-US"/>
        </w:rPr>
        <w:t>disintegrational</w:t>
      </w:r>
      <w:proofErr w:type="spellEnd"/>
      <w:r w:rsidRPr="005C2956">
        <w:rPr>
          <w:lang w:val="en-US"/>
        </w:rPr>
        <w:t xml:space="preserve"> regionalization in EU countries envisages the </w:t>
      </w:r>
      <w:proofErr w:type="spellStart"/>
      <w:r w:rsidRPr="005C2956">
        <w:rPr>
          <w:lang w:val="en-US"/>
        </w:rPr>
        <w:t>an</w:t>
      </w:r>
      <w:r w:rsidRPr="005C2956">
        <w:rPr>
          <w:lang w:val="en-US"/>
        </w:rPr>
        <w:t>a</w:t>
      </w:r>
      <w:r w:rsidRPr="005C2956">
        <w:rPr>
          <w:lang w:val="en-US"/>
        </w:rPr>
        <w:t>lisys</w:t>
      </w:r>
      <w:proofErr w:type="spellEnd"/>
      <w:r w:rsidRPr="005C2956">
        <w:rPr>
          <w:lang w:val="en-US"/>
        </w:rPr>
        <w:t xml:space="preserve"> of social and polit</w:t>
      </w:r>
      <w:r w:rsidRPr="005C2956">
        <w:rPr>
          <w:lang w:val="en-US"/>
        </w:rPr>
        <w:t>i</w:t>
      </w:r>
      <w:r w:rsidRPr="005C2956">
        <w:rPr>
          <w:lang w:val="en-US"/>
        </w:rPr>
        <w:t xml:space="preserve">cal components. The research of the EU countries' experience in addressing </w:t>
      </w:r>
      <w:r w:rsidRPr="005C2956">
        <w:rPr>
          <w:lang w:val="en-US"/>
        </w:rPr>
        <w:lastRenderedPageBreak/>
        <w:t xml:space="preserve">critical issues, the study of causes, components and consequences of the </w:t>
      </w:r>
      <w:proofErr w:type="spellStart"/>
      <w:r w:rsidRPr="005C2956">
        <w:rPr>
          <w:lang w:val="en-US"/>
        </w:rPr>
        <w:t>disintegrational</w:t>
      </w:r>
      <w:proofErr w:type="spellEnd"/>
      <w:r w:rsidRPr="005C2956">
        <w:rPr>
          <w:lang w:val="en-US"/>
        </w:rPr>
        <w:t xml:space="preserve"> regional</w:t>
      </w:r>
      <w:r w:rsidRPr="005C2956">
        <w:rPr>
          <w:lang w:val="en-US"/>
        </w:rPr>
        <w:t>i</w:t>
      </w:r>
      <w:r w:rsidRPr="005C2956">
        <w:rPr>
          <w:lang w:val="en-US"/>
        </w:rPr>
        <w:t>zation can help Ukraine to solve its own territorial problems.</w:t>
      </w:r>
    </w:p>
    <w:p w:rsidR="00CC79B7" w:rsidRPr="00F6664D" w:rsidRDefault="00CC79B7" w:rsidP="00CC79B7">
      <w:pPr>
        <w:rPr>
          <w:lang w:val="en-US"/>
        </w:rPr>
      </w:pPr>
      <w:r w:rsidRPr="009F41C6">
        <w:rPr>
          <w:b/>
          <w:lang w:val="en-US"/>
        </w:rPr>
        <w:t>Key words:</w:t>
      </w:r>
      <w:r w:rsidRPr="00FD3777">
        <w:rPr>
          <w:lang w:val="en-US"/>
        </w:rPr>
        <w:t xml:space="preserve">  regionalization, separatism, GDP, GDP per capita, taxes</w:t>
      </w:r>
      <w:r w:rsidRPr="00F6664D">
        <w:rPr>
          <w:lang w:val="en-US"/>
        </w:rPr>
        <w:t>.</w:t>
      </w:r>
    </w:p>
    <w:p w:rsidR="00CC79B7" w:rsidRPr="00810B50" w:rsidRDefault="00CC79B7" w:rsidP="00521245">
      <w:pPr>
        <w:rPr>
          <w:rFonts w:eastAsia="Times New Roman"/>
          <w:b/>
          <w:szCs w:val="24"/>
          <w:shd w:val="clear" w:color="auto" w:fill="FFFFFF"/>
        </w:rPr>
      </w:pPr>
    </w:p>
    <w:p w:rsidR="001A448C" w:rsidRPr="00FE27A7" w:rsidRDefault="00050F21" w:rsidP="00521245">
      <w:pPr>
        <w:rPr>
          <w:sz w:val="28"/>
          <w:szCs w:val="28"/>
        </w:rPr>
      </w:pPr>
      <w:r w:rsidRPr="00FD05A3">
        <w:rPr>
          <w:rFonts w:eastAsia="Times New Roman"/>
          <w:b/>
          <w:sz w:val="28"/>
          <w:szCs w:val="28"/>
          <w:shd w:val="clear" w:color="auto" w:fill="FFFFFF"/>
        </w:rPr>
        <w:t>Постановка наукової проблеми та її значення.</w:t>
      </w:r>
      <w:r>
        <w:rPr>
          <w:rFonts w:eastAsia="Times New Roman"/>
          <w:b/>
          <w:sz w:val="28"/>
          <w:szCs w:val="28"/>
          <w:shd w:val="clear" w:color="auto" w:fill="FFFFFF"/>
        </w:rPr>
        <w:t xml:space="preserve"> </w:t>
      </w:r>
      <w:r w:rsidR="00562629" w:rsidRPr="00FE27A7">
        <w:rPr>
          <w:sz w:val="28"/>
          <w:szCs w:val="28"/>
        </w:rPr>
        <w:t>У сучасному світі сп</w:t>
      </w:r>
      <w:r w:rsidR="00562629" w:rsidRPr="00FE27A7">
        <w:rPr>
          <w:sz w:val="28"/>
          <w:szCs w:val="28"/>
        </w:rPr>
        <w:t>о</w:t>
      </w:r>
      <w:r w:rsidR="00562629" w:rsidRPr="00FE27A7">
        <w:rPr>
          <w:sz w:val="28"/>
          <w:szCs w:val="28"/>
        </w:rPr>
        <w:t>стеріга</w:t>
      </w:r>
      <w:r w:rsidR="00005641">
        <w:rPr>
          <w:sz w:val="28"/>
          <w:szCs w:val="28"/>
        </w:rPr>
        <w:t>ються</w:t>
      </w:r>
      <w:r w:rsidR="00562629" w:rsidRPr="00FE27A7">
        <w:rPr>
          <w:sz w:val="28"/>
          <w:szCs w:val="28"/>
        </w:rPr>
        <w:t xml:space="preserve"> дві різноспрямовані тенденції: </w:t>
      </w:r>
      <w:r w:rsidR="001A448C" w:rsidRPr="00FE27A7">
        <w:rPr>
          <w:sz w:val="28"/>
          <w:szCs w:val="28"/>
        </w:rPr>
        <w:t>з одного боку, це процеси глобал</w:t>
      </w:r>
      <w:r w:rsidR="001A448C" w:rsidRPr="00FE27A7">
        <w:rPr>
          <w:sz w:val="28"/>
          <w:szCs w:val="28"/>
        </w:rPr>
        <w:t>і</w:t>
      </w:r>
      <w:r w:rsidR="001A448C" w:rsidRPr="00FE27A7">
        <w:rPr>
          <w:sz w:val="28"/>
          <w:szCs w:val="28"/>
        </w:rPr>
        <w:t>зації</w:t>
      </w:r>
      <w:r w:rsidR="00562629" w:rsidRPr="00FE27A7">
        <w:rPr>
          <w:sz w:val="28"/>
          <w:szCs w:val="28"/>
        </w:rPr>
        <w:t>, які відбуваються</w:t>
      </w:r>
      <w:r w:rsidR="001A448C" w:rsidRPr="00FE27A7">
        <w:rPr>
          <w:sz w:val="28"/>
          <w:szCs w:val="28"/>
        </w:rPr>
        <w:t xml:space="preserve"> під впливом </w:t>
      </w:r>
      <w:r w:rsidR="00562629" w:rsidRPr="00FE27A7">
        <w:rPr>
          <w:sz w:val="28"/>
          <w:szCs w:val="28"/>
        </w:rPr>
        <w:t>інформаційно-комунікативних технологій</w:t>
      </w:r>
      <w:r w:rsidR="001A448C" w:rsidRPr="00FE27A7">
        <w:rPr>
          <w:sz w:val="28"/>
          <w:szCs w:val="28"/>
        </w:rPr>
        <w:t xml:space="preserve">, з іншого </w:t>
      </w:r>
      <w:r w:rsidR="003039A9">
        <w:rPr>
          <w:sz w:val="28"/>
          <w:szCs w:val="28"/>
        </w:rPr>
        <w:t>–</w:t>
      </w:r>
      <w:r w:rsidR="001A448C" w:rsidRPr="00FE27A7">
        <w:rPr>
          <w:sz w:val="28"/>
          <w:szCs w:val="28"/>
        </w:rPr>
        <w:t xml:space="preserve"> прагнення до культурно</w:t>
      </w:r>
      <w:r w:rsidR="00562629" w:rsidRPr="00FE27A7">
        <w:rPr>
          <w:sz w:val="28"/>
          <w:szCs w:val="28"/>
        </w:rPr>
        <w:t>ї</w:t>
      </w:r>
      <w:r w:rsidR="001A448C" w:rsidRPr="00FE27A7">
        <w:rPr>
          <w:sz w:val="28"/>
          <w:szCs w:val="28"/>
        </w:rPr>
        <w:t xml:space="preserve"> і національної своєрідності, прагнення збер</w:t>
      </w:r>
      <w:r w:rsidR="001A448C" w:rsidRPr="00FE27A7">
        <w:rPr>
          <w:sz w:val="28"/>
          <w:szCs w:val="28"/>
        </w:rPr>
        <w:t>е</w:t>
      </w:r>
      <w:r w:rsidR="001A448C" w:rsidRPr="00FE27A7">
        <w:rPr>
          <w:sz w:val="28"/>
          <w:szCs w:val="28"/>
        </w:rPr>
        <w:t>гти національну і регіональну ідентичність і навіть прагнення до сецесії. Пр</w:t>
      </w:r>
      <w:r w:rsidR="001A448C" w:rsidRPr="00FE27A7">
        <w:rPr>
          <w:sz w:val="28"/>
          <w:szCs w:val="28"/>
        </w:rPr>
        <w:t>о</w:t>
      </w:r>
      <w:r w:rsidR="001A448C" w:rsidRPr="00FE27A7">
        <w:rPr>
          <w:sz w:val="28"/>
          <w:szCs w:val="28"/>
        </w:rPr>
        <w:t>явом першої тенденції є приклади регіональної та всесвітньої інтеграції, на</w:t>
      </w:r>
      <w:r w:rsidR="001A448C" w:rsidRPr="00FE27A7">
        <w:rPr>
          <w:sz w:val="28"/>
          <w:szCs w:val="28"/>
        </w:rPr>
        <w:t>й</w:t>
      </w:r>
      <w:r w:rsidR="001A448C" w:rsidRPr="00FE27A7">
        <w:rPr>
          <w:sz w:val="28"/>
          <w:szCs w:val="28"/>
        </w:rPr>
        <w:t>більш інтенсивно проявляються в економічній і політичній сферах</w:t>
      </w:r>
      <w:r w:rsidR="00562629" w:rsidRPr="00FE27A7">
        <w:rPr>
          <w:sz w:val="28"/>
          <w:szCs w:val="28"/>
        </w:rPr>
        <w:t>. Це створе</w:t>
      </w:r>
      <w:r w:rsidR="00562629" w:rsidRPr="00FE27A7">
        <w:rPr>
          <w:sz w:val="28"/>
          <w:szCs w:val="28"/>
        </w:rPr>
        <w:t>н</w:t>
      </w:r>
      <w:r w:rsidR="00562629" w:rsidRPr="00FE27A7">
        <w:rPr>
          <w:sz w:val="28"/>
          <w:szCs w:val="28"/>
        </w:rPr>
        <w:t xml:space="preserve">ня об’єднань: </w:t>
      </w:r>
      <w:r w:rsidR="001A448C" w:rsidRPr="00FE27A7">
        <w:rPr>
          <w:sz w:val="28"/>
          <w:szCs w:val="28"/>
        </w:rPr>
        <w:t>НАФТА в Північній Америці, АТЕС,</w:t>
      </w:r>
      <w:r w:rsidR="00562629" w:rsidRPr="00FE27A7">
        <w:rPr>
          <w:sz w:val="28"/>
          <w:szCs w:val="28"/>
        </w:rPr>
        <w:t xml:space="preserve"> ЄС на європейському ко</w:t>
      </w:r>
      <w:r w:rsidR="00562629" w:rsidRPr="00FE27A7">
        <w:rPr>
          <w:sz w:val="28"/>
          <w:szCs w:val="28"/>
        </w:rPr>
        <w:t>н</w:t>
      </w:r>
      <w:r w:rsidR="00562629" w:rsidRPr="00FE27A7">
        <w:rPr>
          <w:sz w:val="28"/>
          <w:szCs w:val="28"/>
        </w:rPr>
        <w:t>тиненті</w:t>
      </w:r>
      <w:r w:rsidR="001A448C" w:rsidRPr="00FE27A7">
        <w:rPr>
          <w:sz w:val="28"/>
          <w:szCs w:val="28"/>
        </w:rPr>
        <w:t>.</w:t>
      </w:r>
      <w:r w:rsidR="00562629" w:rsidRPr="00FE27A7">
        <w:rPr>
          <w:sz w:val="28"/>
          <w:szCs w:val="28"/>
        </w:rPr>
        <w:t xml:space="preserve"> Друга тенденція представлена </w:t>
      </w:r>
      <w:r w:rsidR="001A448C" w:rsidRPr="00FE27A7">
        <w:rPr>
          <w:sz w:val="28"/>
          <w:szCs w:val="28"/>
        </w:rPr>
        <w:t>також широко на всіх континентах</w:t>
      </w:r>
      <w:r w:rsidR="00562629" w:rsidRPr="00FE27A7">
        <w:rPr>
          <w:sz w:val="28"/>
          <w:szCs w:val="28"/>
        </w:rPr>
        <w:t xml:space="preserve">: </w:t>
      </w:r>
      <w:proofErr w:type="spellStart"/>
      <w:r w:rsidR="001A448C" w:rsidRPr="00FE27A7">
        <w:rPr>
          <w:sz w:val="28"/>
          <w:szCs w:val="28"/>
        </w:rPr>
        <w:t>Кв</w:t>
      </w:r>
      <w:r w:rsidR="001A448C" w:rsidRPr="00FE27A7">
        <w:rPr>
          <w:sz w:val="28"/>
          <w:szCs w:val="28"/>
        </w:rPr>
        <w:t>е</w:t>
      </w:r>
      <w:r w:rsidR="001A448C" w:rsidRPr="00FE27A7">
        <w:rPr>
          <w:sz w:val="28"/>
          <w:szCs w:val="28"/>
        </w:rPr>
        <w:t>бек</w:t>
      </w:r>
      <w:proofErr w:type="spellEnd"/>
      <w:r w:rsidR="001A448C" w:rsidRPr="00FE27A7">
        <w:rPr>
          <w:sz w:val="28"/>
          <w:szCs w:val="28"/>
        </w:rPr>
        <w:t xml:space="preserve"> в Канаді, </w:t>
      </w:r>
      <w:proofErr w:type="spellStart"/>
      <w:r w:rsidR="001A448C" w:rsidRPr="00FE27A7">
        <w:rPr>
          <w:sz w:val="28"/>
          <w:szCs w:val="28"/>
        </w:rPr>
        <w:t>етнорелігійний</w:t>
      </w:r>
      <w:proofErr w:type="spellEnd"/>
      <w:r w:rsidR="001A448C" w:rsidRPr="00FE27A7">
        <w:rPr>
          <w:sz w:val="28"/>
          <w:szCs w:val="28"/>
        </w:rPr>
        <w:t xml:space="preserve"> сепаратизм в Індії, Індонезії, Китаї</w:t>
      </w:r>
      <w:r w:rsidR="00FE27A7">
        <w:rPr>
          <w:sz w:val="28"/>
          <w:szCs w:val="28"/>
        </w:rPr>
        <w:t>, тощо</w:t>
      </w:r>
      <w:r w:rsidR="001A448C" w:rsidRPr="00FE27A7">
        <w:rPr>
          <w:sz w:val="28"/>
          <w:szCs w:val="28"/>
        </w:rPr>
        <w:t>.</w:t>
      </w:r>
    </w:p>
    <w:p w:rsidR="00EB7CD5" w:rsidRPr="00005641" w:rsidRDefault="00EB7CD5" w:rsidP="00521245">
      <w:pPr>
        <w:rPr>
          <w:sz w:val="28"/>
          <w:szCs w:val="28"/>
        </w:rPr>
      </w:pPr>
      <w:r w:rsidRPr="00FE27A7">
        <w:rPr>
          <w:sz w:val="28"/>
          <w:szCs w:val="28"/>
        </w:rPr>
        <w:t xml:space="preserve">Процес інтеграції в Європі зробив цю частину світу більш згуртованою, який виділив Європу в особливий потужний економічний регіон. Однак навіть значний ривок об'єднаної Європи в економічному розвитку не змогли подолати основну причину сепаратистських тенденцій в благополучній Європі </w:t>
      </w:r>
      <w:r w:rsidR="003039A9">
        <w:rPr>
          <w:sz w:val="28"/>
          <w:szCs w:val="28"/>
        </w:rPr>
        <w:t>–</w:t>
      </w:r>
      <w:r w:rsidRPr="00005641">
        <w:rPr>
          <w:sz w:val="28"/>
          <w:szCs w:val="28"/>
        </w:rPr>
        <w:t xml:space="preserve"> нері</w:t>
      </w:r>
      <w:r w:rsidRPr="00005641">
        <w:rPr>
          <w:sz w:val="28"/>
          <w:szCs w:val="28"/>
        </w:rPr>
        <w:t>в</w:t>
      </w:r>
      <w:r w:rsidRPr="00005641">
        <w:rPr>
          <w:sz w:val="28"/>
          <w:szCs w:val="28"/>
        </w:rPr>
        <w:t xml:space="preserve">номірність соціально-економічного розвитку регіонів. Ця нерівність створює підґрунтя для утворення кола «багатих» провінцій, які не бажають «годувати» бідні регіони своїх країн </w:t>
      </w:r>
      <w:r w:rsidR="003039A9">
        <w:rPr>
          <w:sz w:val="28"/>
          <w:szCs w:val="28"/>
        </w:rPr>
        <w:t>–</w:t>
      </w:r>
      <w:r w:rsidR="00E14215" w:rsidRPr="00005641">
        <w:rPr>
          <w:sz w:val="28"/>
          <w:szCs w:val="28"/>
        </w:rPr>
        <w:t xml:space="preserve"> </w:t>
      </w:r>
      <w:r w:rsidRPr="00005641">
        <w:rPr>
          <w:sz w:val="28"/>
          <w:szCs w:val="28"/>
        </w:rPr>
        <w:t xml:space="preserve">Каталонія і </w:t>
      </w:r>
      <w:r w:rsidR="00E14215" w:rsidRPr="00005641">
        <w:rPr>
          <w:sz w:val="28"/>
          <w:szCs w:val="28"/>
        </w:rPr>
        <w:t>К</w:t>
      </w:r>
      <w:r w:rsidRPr="00005641">
        <w:rPr>
          <w:sz w:val="28"/>
          <w:szCs w:val="28"/>
        </w:rPr>
        <w:t>раїна Басків в Іспанії, Шотландія в В</w:t>
      </w:r>
      <w:r w:rsidRPr="00005641">
        <w:rPr>
          <w:sz w:val="28"/>
          <w:szCs w:val="28"/>
        </w:rPr>
        <w:t>е</w:t>
      </w:r>
      <w:r w:rsidRPr="00005641">
        <w:rPr>
          <w:sz w:val="28"/>
          <w:szCs w:val="28"/>
        </w:rPr>
        <w:t xml:space="preserve">ликобританії, </w:t>
      </w:r>
      <w:proofErr w:type="spellStart"/>
      <w:r w:rsidR="00E14215" w:rsidRPr="00005641">
        <w:rPr>
          <w:sz w:val="28"/>
          <w:szCs w:val="28"/>
        </w:rPr>
        <w:t>П</w:t>
      </w:r>
      <w:r w:rsidR="00EC6C63">
        <w:rPr>
          <w:sz w:val="28"/>
          <w:szCs w:val="28"/>
        </w:rPr>
        <w:t>ада</w:t>
      </w:r>
      <w:r w:rsidRPr="00005641">
        <w:rPr>
          <w:sz w:val="28"/>
          <w:szCs w:val="28"/>
        </w:rPr>
        <w:t>н</w:t>
      </w:r>
      <w:r w:rsidR="00E14215" w:rsidRPr="00005641">
        <w:rPr>
          <w:sz w:val="28"/>
          <w:szCs w:val="28"/>
        </w:rPr>
        <w:t>і</w:t>
      </w:r>
      <w:r w:rsidRPr="00005641">
        <w:rPr>
          <w:sz w:val="28"/>
          <w:szCs w:val="28"/>
        </w:rPr>
        <w:t>я</w:t>
      </w:r>
      <w:proofErr w:type="spellEnd"/>
      <w:r w:rsidRPr="00005641">
        <w:rPr>
          <w:sz w:val="28"/>
          <w:szCs w:val="28"/>
        </w:rPr>
        <w:t xml:space="preserve"> в</w:t>
      </w:r>
      <w:r w:rsidR="00E14215" w:rsidRPr="00005641">
        <w:rPr>
          <w:sz w:val="28"/>
          <w:szCs w:val="28"/>
        </w:rPr>
        <w:t xml:space="preserve"> Італії, Фландрія в Бельгії. З іншої</w:t>
      </w:r>
      <w:r w:rsidRPr="00005641">
        <w:rPr>
          <w:sz w:val="28"/>
          <w:szCs w:val="28"/>
        </w:rPr>
        <w:t xml:space="preserve"> </w:t>
      </w:r>
      <w:r w:rsidR="00E14215" w:rsidRPr="00005641">
        <w:rPr>
          <w:sz w:val="28"/>
          <w:szCs w:val="28"/>
        </w:rPr>
        <w:t>сторони</w:t>
      </w:r>
      <w:r w:rsidRPr="00005641">
        <w:rPr>
          <w:sz w:val="28"/>
          <w:szCs w:val="28"/>
        </w:rPr>
        <w:t xml:space="preserve"> </w:t>
      </w:r>
      <w:r w:rsidR="00E14215" w:rsidRPr="00005641">
        <w:rPr>
          <w:sz w:val="28"/>
          <w:szCs w:val="28"/>
        </w:rPr>
        <w:t>залишают</w:t>
      </w:r>
      <w:r w:rsidR="00E14215" w:rsidRPr="00005641">
        <w:rPr>
          <w:sz w:val="28"/>
          <w:szCs w:val="28"/>
        </w:rPr>
        <w:t>ь</w:t>
      </w:r>
      <w:r w:rsidR="00E14215" w:rsidRPr="00005641">
        <w:rPr>
          <w:sz w:val="28"/>
          <w:szCs w:val="28"/>
        </w:rPr>
        <w:t>ся</w:t>
      </w:r>
      <w:r w:rsidRPr="00005641">
        <w:rPr>
          <w:sz w:val="28"/>
          <w:szCs w:val="28"/>
        </w:rPr>
        <w:t xml:space="preserve"> депресивні регіони, які звинувачують «с</w:t>
      </w:r>
      <w:r w:rsidR="00E14215" w:rsidRPr="00005641">
        <w:rPr>
          <w:sz w:val="28"/>
          <w:szCs w:val="28"/>
        </w:rPr>
        <w:t xml:space="preserve">иті» райони у всіх своїх бідах - </w:t>
      </w:r>
      <w:r w:rsidRPr="00005641">
        <w:rPr>
          <w:sz w:val="28"/>
          <w:szCs w:val="28"/>
        </w:rPr>
        <w:t>Півні</w:t>
      </w:r>
      <w:r w:rsidRPr="00005641">
        <w:rPr>
          <w:sz w:val="28"/>
          <w:szCs w:val="28"/>
        </w:rPr>
        <w:t>ч</w:t>
      </w:r>
      <w:r w:rsidRPr="00005641">
        <w:rPr>
          <w:sz w:val="28"/>
          <w:szCs w:val="28"/>
        </w:rPr>
        <w:t xml:space="preserve">на Ірландія в Сполученому Королівстві, Корсика у Франції, </w:t>
      </w:r>
      <w:proofErr w:type="spellStart"/>
      <w:r w:rsidRPr="00005641">
        <w:rPr>
          <w:sz w:val="28"/>
          <w:szCs w:val="28"/>
        </w:rPr>
        <w:t>Галісія</w:t>
      </w:r>
      <w:proofErr w:type="spellEnd"/>
      <w:r w:rsidRPr="00005641">
        <w:rPr>
          <w:sz w:val="28"/>
          <w:szCs w:val="28"/>
        </w:rPr>
        <w:t xml:space="preserve"> в Іспанії.</w:t>
      </w:r>
    </w:p>
    <w:p w:rsidR="001F03BC" w:rsidRPr="00005641" w:rsidRDefault="00EB7CD5" w:rsidP="00521245">
      <w:pPr>
        <w:rPr>
          <w:sz w:val="28"/>
          <w:szCs w:val="28"/>
        </w:rPr>
      </w:pPr>
      <w:r w:rsidRPr="00FE27A7">
        <w:rPr>
          <w:sz w:val="28"/>
          <w:szCs w:val="28"/>
        </w:rPr>
        <w:t>В даний час ряд держав Європи стикається з активізацією діяльності рег</w:t>
      </w:r>
      <w:r w:rsidRPr="00FE27A7">
        <w:rPr>
          <w:sz w:val="28"/>
          <w:szCs w:val="28"/>
        </w:rPr>
        <w:t>і</w:t>
      </w:r>
      <w:r w:rsidRPr="00FE27A7">
        <w:rPr>
          <w:sz w:val="28"/>
          <w:szCs w:val="28"/>
        </w:rPr>
        <w:t xml:space="preserve">ональних сепаратистських організацій. </w:t>
      </w:r>
      <w:r w:rsidR="001F03BC" w:rsidRPr="00005641">
        <w:rPr>
          <w:sz w:val="28"/>
          <w:szCs w:val="28"/>
        </w:rPr>
        <w:t>До сепаратистських настроїв схиляют</w:t>
      </w:r>
      <w:r w:rsidR="001F03BC" w:rsidRPr="00005641">
        <w:rPr>
          <w:sz w:val="28"/>
          <w:szCs w:val="28"/>
        </w:rPr>
        <w:t>ь</w:t>
      </w:r>
      <w:r w:rsidR="001F03BC" w:rsidRPr="00005641">
        <w:rPr>
          <w:sz w:val="28"/>
          <w:szCs w:val="28"/>
        </w:rPr>
        <w:t>ся регіональні політичні та фінансово-економічні еліти, які не бачать майбу</w:t>
      </w:r>
      <w:r w:rsidR="001F03BC" w:rsidRPr="00005641">
        <w:rPr>
          <w:sz w:val="28"/>
          <w:szCs w:val="28"/>
        </w:rPr>
        <w:t>т</w:t>
      </w:r>
      <w:r w:rsidR="001F03BC" w:rsidRPr="00005641">
        <w:rPr>
          <w:sz w:val="28"/>
          <w:szCs w:val="28"/>
        </w:rPr>
        <w:t>нього своїх рідних провінцій у складі великих національних держав.</w:t>
      </w:r>
    </w:p>
    <w:p w:rsidR="001F03BC" w:rsidRPr="00005641" w:rsidRDefault="00601A2B" w:rsidP="00521245">
      <w:pPr>
        <w:widowControl w:val="0"/>
        <w:rPr>
          <w:sz w:val="28"/>
          <w:szCs w:val="28"/>
        </w:rPr>
      </w:pPr>
      <w:r w:rsidRPr="00005641">
        <w:rPr>
          <w:sz w:val="28"/>
          <w:szCs w:val="28"/>
        </w:rPr>
        <w:t>С</w:t>
      </w:r>
      <w:r w:rsidR="001F03BC" w:rsidRPr="00005641">
        <w:rPr>
          <w:sz w:val="28"/>
          <w:szCs w:val="28"/>
        </w:rPr>
        <w:t>учасні європейські сепаратисти не є націоналістами</w:t>
      </w:r>
      <w:r w:rsidRPr="00005641">
        <w:rPr>
          <w:sz w:val="28"/>
          <w:szCs w:val="28"/>
        </w:rPr>
        <w:t>, як то були баски, ірландці або корсиканці, ї</w:t>
      </w:r>
      <w:r w:rsidR="001F03BC" w:rsidRPr="00005641">
        <w:rPr>
          <w:sz w:val="28"/>
          <w:szCs w:val="28"/>
        </w:rPr>
        <w:t xml:space="preserve">х можна назвати </w:t>
      </w:r>
      <w:proofErr w:type="spellStart"/>
      <w:r w:rsidR="001F03BC" w:rsidRPr="00005641">
        <w:rPr>
          <w:sz w:val="28"/>
          <w:szCs w:val="28"/>
        </w:rPr>
        <w:t>регіоналістами</w:t>
      </w:r>
      <w:proofErr w:type="spellEnd"/>
      <w:r w:rsidR="001F03BC" w:rsidRPr="00005641">
        <w:rPr>
          <w:sz w:val="28"/>
          <w:szCs w:val="28"/>
        </w:rPr>
        <w:t xml:space="preserve">, оскільки в центрі їх уваги </w:t>
      </w:r>
      <w:r w:rsidR="003039A9">
        <w:rPr>
          <w:sz w:val="28"/>
          <w:szCs w:val="28"/>
        </w:rPr>
        <w:t>–</w:t>
      </w:r>
      <w:r w:rsidR="001F03BC" w:rsidRPr="00005641">
        <w:rPr>
          <w:sz w:val="28"/>
          <w:szCs w:val="28"/>
        </w:rPr>
        <w:t xml:space="preserve"> не стільки політичне і культурне самовизначення конкретної нації, ск</w:t>
      </w:r>
      <w:r w:rsidR="001F03BC" w:rsidRPr="00005641">
        <w:rPr>
          <w:sz w:val="28"/>
          <w:szCs w:val="28"/>
        </w:rPr>
        <w:t>і</w:t>
      </w:r>
      <w:r w:rsidR="001F03BC" w:rsidRPr="00005641">
        <w:rPr>
          <w:sz w:val="28"/>
          <w:szCs w:val="28"/>
        </w:rPr>
        <w:lastRenderedPageBreak/>
        <w:t>льки економічний розвиток власних регіонів.</w:t>
      </w:r>
      <w:r w:rsidRPr="00005641">
        <w:rPr>
          <w:sz w:val="28"/>
          <w:szCs w:val="28"/>
        </w:rPr>
        <w:t xml:space="preserve"> Н</w:t>
      </w:r>
      <w:r w:rsidR="001F03BC" w:rsidRPr="00005641">
        <w:rPr>
          <w:sz w:val="28"/>
          <w:szCs w:val="28"/>
        </w:rPr>
        <w:t xml:space="preserve">а думку </w:t>
      </w:r>
      <w:proofErr w:type="spellStart"/>
      <w:r w:rsidR="001F03BC" w:rsidRPr="00005641">
        <w:rPr>
          <w:sz w:val="28"/>
          <w:szCs w:val="28"/>
        </w:rPr>
        <w:t>регіоналістів</w:t>
      </w:r>
      <w:proofErr w:type="spellEnd"/>
      <w:r w:rsidR="001F03BC" w:rsidRPr="00005641">
        <w:rPr>
          <w:sz w:val="28"/>
          <w:szCs w:val="28"/>
        </w:rPr>
        <w:t>, поки рег</w:t>
      </w:r>
      <w:r w:rsidR="001F03BC" w:rsidRPr="00005641">
        <w:rPr>
          <w:sz w:val="28"/>
          <w:szCs w:val="28"/>
        </w:rPr>
        <w:t>і</w:t>
      </w:r>
      <w:r w:rsidR="001F03BC" w:rsidRPr="00005641">
        <w:rPr>
          <w:sz w:val="28"/>
          <w:szCs w:val="28"/>
        </w:rPr>
        <w:t xml:space="preserve">они входять до складу великих національних держав і «годують» інші </w:t>
      </w:r>
      <w:r w:rsidR="001456EF" w:rsidRPr="00005641">
        <w:rPr>
          <w:sz w:val="28"/>
          <w:szCs w:val="28"/>
        </w:rPr>
        <w:t>економ</w:t>
      </w:r>
      <w:r w:rsidR="001456EF" w:rsidRPr="00005641">
        <w:rPr>
          <w:sz w:val="28"/>
          <w:szCs w:val="28"/>
        </w:rPr>
        <w:t>і</w:t>
      </w:r>
      <w:r w:rsidR="001456EF" w:rsidRPr="00005641">
        <w:rPr>
          <w:sz w:val="28"/>
          <w:szCs w:val="28"/>
        </w:rPr>
        <w:t xml:space="preserve">чно </w:t>
      </w:r>
      <w:r w:rsidR="001F03BC" w:rsidRPr="00005641">
        <w:rPr>
          <w:sz w:val="28"/>
          <w:szCs w:val="28"/>
        </w:rPr>
        <w:t>відсталі</w:t>
      </w:r>
      <w:r w:rsidR="001456EF" w:rsidRPr="00005641">
        <w:rPr>
          <w:sz w:val="28"/>
          <w:szCs w:val="28"/>
        </w:rPr>
        <w:t xml:space="preserve"> області, їх територія зазнає збитків</w:t>
      </w:r>
      <w:r w:rsidR="001F03BC" w:rsidRPr="00005641">
        <w:rPr>
          <w:sz w:val="28"/>
          <w:szCs w:val="28"/>
        </w:rPr>
        <w:t xml:space="preserve">. </w:t>
      </w:r>
      <w:r w:rsidR="001456EF" w:rsidRPr="00005641">
        <w:rPr>
          <w:sz w:val="28"/>
          <w:szCs w:val="28"/>
        </w:rPr>
        <w:t>Таким чином, на зміну наці</w:t>
      </w:r>
      <w:r w:rsidR="001456EF" w:rsidRPr="00005641">
        <w:rPr>
          <w:sz w:val="28"/>
          <w:szCs w:val="28"/>
        </w:rPr>
        <w:t>о</w:t>
      </w:r>
      <w:r w:rsidR="001456EF" w:rsidRPr="00005641">
        <w:rPr>
          <w:sz w:val="28"/>
          <w:szCs w:val="28"/>
        </w:rPr>
        <w:t xml:space="preserve">налізму приходить регіоналізм. Форма боротьби теж змінилася </w:t>
      </w:r>
      <w:r w:rsidR="003039A9">
        <w:rPr>
          <w:sz w:val="28"/>
          <w:szCs w:val="28"/>
        </w:rPr>
        <w:t>–</w:t>
      </w:r>
      <w:r w:rsidR="001F03BC" w:rsidRPr="00005641">
        <w:rPr>
          <w:sz w:val="28"/>
          <w:szCs w:val="28"/>
        </w:rPr>
        <w:t xml:space="preserve"> на зміну збройної боротьби </w:t>
      </w:r>
      <w:r w:rsidR="001456EF" w:rsidRPr="00005641">
        <w:rPr>
          <w:sz w:val="28"/>
          <w:szCs w:val="28"/>
        </w:rPr>
        <w:t xml:space="preserve">прийшли </w:t>
      </w:r>
      <w:r w:rsidR="001F03BC" w:rsidRPr="00005641">
        <w:rPr>
          <w:sz w:val="28"/>
          <w:szCs w:val="28"/>
        </w:rPr>
        <w:t>парламентські дебати і всенародні референдуми.</w:t>
      </w:r>
    </w:p>
    <w:p w:rsidR="001F03BC" w:rsidRPr="00005641" w:rsidRDefault="00CD512D" w:rsidP="00054C8F">
      <w:pPr>
        <w:widowControl w:val="0"/>
        <w:autoSpaceDE w:val="0"/>
        <w:autoSpaceDN w:val="0"/>
        <w:rPr>
          <w:sz w:val="28"/>
          <w:szCs w:val="28"/>
        </w:rPr>
      </w:pPr>
      <w:r w:rsidRPr="00CD512D">
        <w:rPr>
          <w:rFonts w:eastAsia="Bookman Old Style" w:cs="Bookman Old Style"/>
          <w:bCs/>
          <w:color w:val="000000"/>
          <w:sz w:val="28"/>
          <w:szCs w:val="28"/>
        </w:rPr>
        <w:t xml:space="preserve">Питання, які розкривають сутність процесів інтеграції та регіонального розвитку, посідають чільне місце в наукових дослідженнях як вітчизняних, так і зарубіжних учених. Серед них варто відзначити праці вітчизняних науковців, зокрема О. Білоруса І. </w:t>
      </w:r>
      <w:proofErr w:type="spellStart"/>
      <w:r w:rsidRPr="00CD512D">
        <w:rPr>
          <w:rFonts w:eastAsia="Bookman Old Style" w:cs="Bookman Old Style"/>
          <w:bCs/>
          <w:color w:val="000000"/>
          <w:sz w:val="28"/>
          <w:szCs w:val="28"/>
        </w:rPr>
        <w:t>Бураковського</w:t>
      </w:r>
      <w:proofErr w:type="spellEnd"/>
      <w:r w:rsidRPr="00CD512D">
        <w:rPr>
          <w:rFonts w:eastAsia="Bookman Old Style" w:cs="Bookman Old Style"/>
          <w:bCs/>
          <w:color w:val="000000"/>
          <w:sz w:val="28"/>
          <w:szCs w:val="28"/>
        </w:rPr>
        <w:t xml:space="preserve">, А. </w:t>
      </w:r>
      <w:proofErr w:type="spellStart"/>
      <w:r w:rsidRPr="00CD512D">
        <w:rPr>
          <w:rFonts w:eastAsia="Bookman Old Style" w:cs="Bookman Old Style"/>
          <w:bCs/>
          <w:color w:val="000000"/>
          <w:sz w:val="28"/>
          <w:szCs w:val="28"/>
        </w:rPr>
        <w:t>Гальчинського</w:t>
      </w:r>
      <w:proofErr w:type="spellEnd"/>
      <w:r w:rsidRPr="00CD512D">
        <w:rPr>
          <w:rFonts w:eastAsia="Bookman Old Style" w:cs="Bookman Old Style"/>
          <w:bCs/>
          <w:color w:val="000000"/>
          <w:sz w:val="28"/>
          <w:szCs w:val="28"/>
        </w:rPr>
        <w:t xml:space="preserve">, Б. Губського, Д. Лук’яненка, В. </w:t>
      </w:r>
      <w:proofErr w:type="spellStart"/>
      <w:r w:rsidRPr="00CD512D">
        <w:rPr>
          <w:rFonts w:eastAsia="Bookman Old Style" w:cs="Bookman Old Style"/>
          <w:bCs/>
          <w:color w:val="000000"/>
          <w:sz w:val="28"/>
          <w:szCs w:val="28"/>
        </w:rPr>
        <w:t>Новицького</w:t>
      </w:r>
      <w:proofErr w:type="spellEnd"/>
      <w:r w:rsidRPr="00CD512D">
        <w:rPr>
          <w:rFonts w:eastAsia="Bookman Old Style" w:cs="Bookman Old Style"/>
          <w:bCs/>
          <w:color w:val="000000"/>
          <w:sz w:val="28"/>
          <w:szCs w:val="28"/>
        </w:rPr>
        <w:t xml:space="preserve">, Ю. Пахомова, В. </w:t>
      </w:r>
      <w:proofErr w:type="spellStart"/>
      <w:r w:rsidRPr="00CD512D">
        <w:rPr>
          <w:rFonts w:eastAsia="Bookman Old Style" w:cs="Bookman Old Style"/>
          <w:bCs/>
          <w:color w:val="000000"/>
          <w:sz w:val="28"/>
          <w:szCs w:val="28"/>
        </w:rPr>
        <w:t>Рокочої</w:t>
      </w:r>
      <w:proofErr w:type="spellEnd"/>
      <w:r w:rsidRPr="00CD512D">
        <w:rPr>
          <w:rFonts w:eastAsia="Bookman Old Style" w:cs="Bookman Old Style"/>
          <w:bCs/>
          <w:color w:val="000000"/>
          <w:sz w:val="28"/>
          <w:szCs w:val="28"/>
        </w:rPr>
        <w:t xml:space="preserve">, І. </w:t>
      </w:r>
      <w:proofErr w:type="spellStart"/>
      <w:r w:rsidRPr="00CD512D">
        <w:rPr>
          <w:rFonts w:eastAsia="Bookman Old Style" w:cs="Bookman Old Style"/>
          <w:bCs/>
          <w:color w:val="000000"/>
          <w:sz w:val="28"/>
          <w:szCs w:val="28"/>
        </w:rPr>
        <w:t>Соколенка</w:t>
      </w:r>
      <w:proofErr w:type="spellEnd"/>
      <w:r w:rsidRPr="00CD512D">
        <w:rPr>
          <w:rFonts w:eastAsia="Bookman Old Style" w:cs="Bookman Old Style"/>
          <w:bCs/>
          <w:color w:val="000000"/>
          <w:sz w:val="28"/>
          <w:szCs w:val="28"/>
        </w:rPr>
        <w:t xml:space="preserve">, А. </w:t>
      </w:r>
      <w:proofErr w:type="spellStart"/>
      <w:r w:rsidRPr="00CD512D">
        <w:rPr>
          <w:rFonts w:eastAsia="Bookman Old Style" w:cs="Bookman Old Style"/>
          <w:bCs/>
          <w:color w:val="000000"/>
          <w:sz w:val="28"/>
          <w:szCs w:val="28"/>
        </w:rPr>
        <w:t>Філіпе</w:t>
      </w:r>
      <w:r w:rsidRPr="00CD512D">
        <w:rPr>
          <w:rFonts w:eastAsia="Bookman Old Style" w:cs="Bookman Old Style"/>
          <w:bCs/>
          <w:color w:val="000000"/>
          <w:sz w:val="28"/>
          <w:szCs w:val="28"/>
        </w:rPr>
        <w:t>н</w:t>
      </w:r>
      <w:r w:rsidRPr="00CD512D">
        <w:rPr>
          <w:rFonts w:eastAsia="Bookman Old Style" w:cs="Bookman Old Style"/>
          <w:bCs/>
          <w:color w:val="000000"/>
          <w:sz w:val="28"/>
          <w:szCs w:val="28"/>
        </w:rPr>
        <w:t>ка</w:t>
      </w:r>
      <w:proofErr w:type="spellEnd"/>
      <w:r w:rsidRPr="00CD512D">
        <w:rPr>
          <w:rFonts w:eastAsia="Bookman Old Style" w:cs="Bookman Old Style"/>
          <w:bCs/>
          <w:color w:val="000000"/>
          <w:sz w:val="28"/>
          <w:szCs w:val="28"/>
        </w:rPr>
        <w:t xml:space="preserve">, В. </w:t>
      </w:r>
      <w:proofErr w:type="spellStart"/>
      <w:r w:rsidRPr="00CD512D">
        <w:rPr>
          <w:rFonts w:eastAsia="Bookman Old Style" w:cs="Bookman Old Style"/>
          <w:bCs/>
          <w:color w:val="000000"/>
          <w:sz w:val="28"/>
          <w:szCs w:val="28"/>
        </w:rPr>
        <w:t>Чужикова</w:t>
      </w:r>
      <w:proofErr w:type="spellEnd"/>
      <w:r w:rsidRPr="00CD512D">
        <w:rPr>
          <w:rFonts w:eastAsia="Bookman Old Style" w:cs="Bookman Old Style"/>
          <w:bCs/>
          <w:color w:val="000000"/>
          <w:sz w:val="28"/>
          <w:szCs w:val="28"/>
        </w:rPr>
        <w:t xml:space="preserve"> та ін., а також зарубіжних – Б.</w:t>
      </w:r>
      <w:r w:rsidRPr="00CD512D">
        <w:rPr>
          <w:rFonts w:eastAsia="Times New Roman" w:cs="Times New Roman"/>
          <w:sz w:val="28"/>
          <w:szCs w:val="28"/>
          <w:lang w:eastAsia="ru-RU" w:bidi="ru-RU"/>
        </w:rPr>
        <w:t xml:space="preserve"> </w:t>
      </w:r>
      <w:proofErr w:type="spellStart"/>
      <w:r w:rsidRPr="00CD512D">
        <w:rPr>
          <w:rFonts w:eastAsia="Bookman Old Style" w:cs="Bookman Old Style"/>
          <w:bCs/>
          <w:color w:val="000000"/>
          <w:sz w:val="28"/>
          <w:szCs w:val="28"/>
        </w:rPr>
        <w:t>Баласса</w:t>
      </w:r>
      <w:proofErr w:type="spellEnd"/>
      <w:r w:rsidRPr="00CD512D">
        <w:rPr>
          <w:rFonts w:eastAsia="Bookman Old Style" w:cs="Bookman Old Style"/>
          <w:bCs/>
          <w:color w:val="000000"/>
          <w:sz w:val="28"/>
          <w:szCs w:val="28"/>
        </w:rPr>
        <w:t xml:space="preserve">, О. </w:t>
      </w:r>
      <w:proofErr w:type="spellStart"/>
      <w:r w:rsidRPr="00CD512D">
        <w:rPr>
          <w:rFonts w:eastAsia="Bookman Old Style" w:cs="Bookman Old Style"/>
          <w:bCs/>
          <w:color w:val="000000"/>
          <w:sz w:val="28"/>
          <w:szCs w:val="28"/>
        </w:rPr>
        <w:t>Бейя</w:t>
      </w:r>
      <w:proofErr w:type="spellEnd"/>
      <w:r w:rsidRPr="00CD512D">
        <w:rPr>
          <w:rFonts w:eastAsia="Bookman Old Style" w:cs="Bookman Old Style"/>
          <w:bCs/>
          <w:color w:val="000000"/>
          <w:sz w:val="28"/>
          <w:szCs w:val="28"/>
        </w:rPr>
        <w:t xml:space="preserve">, Ю. </w:t>
      </w:r>
      <w:proofErr w:type="spellStart"/>
      <w:r w:rsidRPr="00CD512D">
        <w:rPr>
          <w:rFonts w:eastAsia="Bookman Old Style" w:cs="Bookman Old Style"/>
          <w:bCs/>
          <w:color w:val="000000"/>
          <w:sz w:val="28"/>
          <w:szCs w:val="28"/>
        </w:rPr>
        <w:t>Борко</w:t>
      </w:r>
      <w:proofErr w:type="spellEnd"/>
      <w:r w:rsidRPr="00CD512D">
        <w:rPr>
          <w:rFonts w:eastAsia="Bookman Old Style" w:cs="Bookman Old Style"/>
          <w:bCs/>
          <w:color w:val="000000"/>
          <w:sz w:val="28"/>
          <w:szCs w:val="28"/>
        </w:rPr>
        <w:t xml:space="preserve">, Ю. </w:t>
      </w:r>
      <w:proofErr w:type="spellStart"/>
      <w:r w:rsidRPr="00CD512D">
        <w:rPr>
          <w:rFonts w:eastAsia="Bookman Old Style" w:cs="Bookman Old Style"/>
          <w:bCs/>
          <w:color w:val="000000"/>
          <w:sz w:val="28"/>
          <w:szCs w:val="28"/>
        </w:rPr>
        <w:t>Ваннона</w:t>
      </w:r>
      <w:proofErr w:type="spellEnd"/>
      <w:r w:rsidRPr="00CD512D">
        <w:rPr>
          <w:rFonts w:eastAsia="Bookman Old Style" w:cs="Bookman Old Style"/>
          <w:bCs/>
          <w:color w:val="000000"/>
          <w:sz w:val="28"/>
          <w:szCs w:val="28"/>
        </w:rPr>
        <w:t xml:space="preserve">, М. </w:t>
      </w:r>
      <w:proofErr w:type="spellStart"/>
      <w:r w:rsidRPr="00CD512D">
        <w:rPr>
          <w:rFonts w:eastAsia="Bookman Old Style" w:cs="Bookman Old Style"/>
          <w:bCs/>
          <w:color w:val="000000"/>
          <w:sz w:val="28"/>
          <w:szCs w:val="28"/>
        </w:rPr>
        <w:t>Згуровського</w:t>
      </w:r>
      <w:proofErr w:type="spellEnd"/>
      <w:r w:rsidRPr="00CD512D">
        <w:rPr>
          <w:rFonts w:eastAsia="Bookman Old Style" w:cs="Bookman Old Style"/>
          <w:bCs/>
          <w:color w:val="000000"/>
          <w:sz w:val="28"/>
          <w:szCs w:val="28"/>
        </w:rPr>
        <w:t xml:space="preserve">, М. Іванова, В. </w:t>
      </w:r>
      <w:proofErr w:type="spellStart"/>
      <w:r w:rsidRPr="00CD512D">
        <w:rPr>
          <w:rFonts w:eastAsia="Bookman Old Style" w:cs="Bookman Old Style"/>
          <w:bCs/>
          <w:color w:val="000000"/>
          <w:sz w:val="28"/>
          <w:szCs w:val="28"/>
        </w:rPr>
        <w:t>Іноземцева</w:t>
      </w:r>
      <w:proofErr w:type="spellEnd"/>
      <w:r w:rsidRPr="00CD512D">
        <w:rPr>
          <w:rFonts w:eastAsia="Bookman Old Style" w:cs="Bookman Old Style"/>
          <w:bCs/>
          <w:color w:val="000000"/>
          <w:sz w:val="28"/>
          <w:szCs w:val="28"/>
        </w:rPr>
        <w:t xml:space="preserve">, П. </w:t>
      </w:r>
      <w:proofErr w:type="spellStart"/>
      <w:r w:rsidRPr="00CD512D">
        <w:rPr>
          <w:rFonts w:eastAsia="Bookman Old Style" w:cs="Bookman Old Style"/>
          <w:bCs/>
          <w:color w:val="000000"/>
          <w:sz w:val="28"/>
          <w:szCs w:val="28"/>
        </w:rPr>
        <w:t>Кругмана</w:t>
      </w:r>
      <w:proofErr w:type="spellEnd"/>
      <w:r w:rsidRPr="00CD512D">
        <w:rPr>
          <w:rFonts w:eastAsia="Bookman Old Style" w:cs="Bookman Old Style"/>
          <w:bCs/>
          <w:color w:val="000000"/>
          <w:sz w:val="28"/>
          <w:szCs w:val="28"/>
        </w:rPr>
        <w:t>, М. Макс</w:t>
      </w:r>
      <w:r w:rsidRPr="00CD512D">
        <w:rPr>
          <w:rFonts w:eastAsia="Bookman Old Style" w:cs="Bookman Old Style"/>
          <w:bCs/>
          <w:color w:val="000000"/>
          <w:sz w:val="28"/>
          <w:szCs w:val="28"/>
        </w:rPr>
        <w:t>и</w:t>
      </w:r>
      <w:r w:rsidRPr="00CD512D">
        <w:rPr>
          <w:rFonts w:eastAsia="Bookman Old Style" w:cs="Bookman Old Style"/>
          <w:bCs/>
          <w:color w:val="000000"/>
          <w:sz w:val="28"/>
          <w:szCs w:val="28"/>
        </w:rPr>
        <w:t xml:space="preserve">мової, Г. </w:t>
      </w:r>
      <w:proofErr w:type="spellStart"/>
      <w:r w:rsidRPr="00CD512D">
        <w:rPr>
          <w:rFonts w:eastAsia="Bookman Old Style" w:cs="Bookman Old Style"/>
          <w:bCs/>
          <w:color w:val="000000"/>
          <w:sz w:val="28"/>
          <w:szCs w:val="28"/>
        </w:rPr>
        <w:t>Мюрдаля</w:t>
      </w:r>
      <w:proofErr w:type="spellEnd"/>
      <w:r w:rsidRPr="00CD512D">
        <w:rPr>
          <w:rFonts w:eastAsia="Bookman Old Style" w:cs="Bookman Old Style"/>
          <w:bCs/>
          <w:color w:val="000000"/>
          <w:sz w:val="28"/>
          <w:szCs w:val="28"/>
        </w:rPr>
        <w:t>, Дж. Най, Ю. Шишкова та ін</w:t>
      </w:r>
      <w:r w:rsidRPr="00CD512D">
        <w:rPr>
          <w:rFonts w:eastAsia="Times New Roman" w:cs="Times New Roman"/>
          <w:sz w:val="28"/>
          <w:szCs w:val="28"/>
          <w:lang w:eastAsia="ru-RU" w:bidi="ru-RU"/>
        </w:rPr>
        <w:t>.</w:t>
      </w:r>
      <w:r w:rsidRPr="00CD512D">
        <w:rPr>
          <w:rFonts w:eastAsia="Times New Roman" w:cs="Times New Roman"/>
          <w:sz w:val="28"/>
          <w:szCs w:val="28"/>
          <w:vertAlign w:val="superscript"/>
          <w:lang w:eastAsia="ru-RU" w:bidi="ru-RU"/>
        </w:rPr>
        <w:t xml:space="preserve"> </w:t>
      </w:r>
      <w:r w:rsidRPr="00CD512D">
        <w:rPr>
          <w:sz w:val="28"/>
          <w:szCs w:val="28"/>
        </w:rPr>
        <w:t>Проведений аналіз джерел і</w:t>
      </w:r>
      <w:r w:rsidRPr="00CD512D">
        <w:rPr>
          <w:sz w:val="28"/>
          <w:szCs w:val="28"/>
        </w:rPr>
        <w:t>н</w:t>
      </w:r>
      <w:r w:rsidRPr="00CD512D">
        <w:rPr>
          <w:sz w:val="28"/>
          <w:szCs w:val="28"/>
        </w:rPr>
        <w:t>формації показав, що найбільш виразно</w:t>
      </w:r>
      <w:r w:rsidR="00210752">
        <w:rPr>
          <w:sz w:val="28"/>
          <w:szCs w:val="28"/>
        </w:rPr>
        <w:t xml:space="preserve"> на сучасному етапі</w:t>
      </w:r>
      <w:r w:rsidRPr="00CD512D">
        <w:rPr>
          <w:sz w:val="28"/>
          <w:szCs w:val="28"/>
        </w:rPr>
        <w:t xml:space="preserve"> прояви дезінтегр</w:t>
      </w:r>
      <w:r w:rsidRPr="00CD512D">
        <w:rPr>
          <w:sz w:val="28"/>
          <w:szCs w:val="28"/>
        </w:rPr>
        <w:t>а</w:t>
      </w:r>
      <w:r w:rsidRPr="00CD512D">
        <w:rPr>
          <w:sz w:val="28"/>
          <w:szCs w:val="28"/>
        </w:rPr>
        <w:t>ційної регіоналізації мають місце в Іспанії, зокрема, в Каталонії та меншою м</w:t>
      </w:r>
      <w:r w:rsidRPr="00CD512D">
        <w:rPr>
          <w:sz w:val="28"/>
          <w:szCs w:val="28"/>
        </w:rPr>
        <w:t>і</w:t>
      </w:r>
      <w:r w:rsidRPr="00CD512D">
        <w:rPr>
          <w:sz w:val="28"/>
          <w:szCs w:val="28"/>
        </w:rPr>
        <w:t xml:space="preserve">рою в Країні </w:t>
      </w:r>
      <w:r w:rsidR="00210752">
        <w:rPr>
          <w:sz w:val="28"/>
          <w:szCs w:val="28"/>
        </w:rPr>
        <w:t>Б</w:t>
      </w:r>
      <w:r w:rsidRPr="00CD512D">
        <w:rPr>
          <w:sz w:val="28"/>
          <w:szCs w:val="28"/>
        </w:rPr>
        <w:t>асків. Помірковано дезінте</w:t>
      </w:r>
      <w:r w:rsidRPr="00CD512D">
        <w:rPr>
          <w:sz w:val="28"/>
          <w:szCs w:val="28"/>
        </w:rPr>
        <w:t>г</w:t>
      </w:r>
      <w:r w:rsidRPr="00CD512D">
        <w:rPr>
          <w:sz w:val="28"/>
          <w:szCs w:val="28"/>
        </w:rPr>
        <w:t xml:space="preserve">раційна регіоналізація проявляється у Бельгії, зокрема у Фландрії та Італії (Ломбардія та </w:t>
      </w:r>
      <w:proofErr w:type="spellStart"/>
      <w:r w:rsidRPr="00CD512D">
        <w:rPr>
          <w:sz w:val="28"/>
          <w:szCs w:val="28"/>
        </w:rPr>
        <w:t>Венето</w:t>
      </w:r>
      <w:proofErr w:type="spellEnd"/>
      <w:r w:rsidRPr="00CD512D">
        <w:rPr>
          <w:sz w:val="28"/>
          <w:szCs w:val="28"/>
        </w:rPr>
        <w:t xml:space="preserve">). </w:t>
      </w:r>
      <w:r w:rsidR="001456EF" w:rsidRPr="00CD512D">
        <w:rPr>
          <w:sz w:val="28"/>
          <w:szCs w:val="28"/>
        </w:rPr>
        <w:t xml:space="preserve">Тому </w:t>
      </w:r>
      <w:r w:rsidR="001456EF" w:rsidRPr="00CD512D">
        <w:rPr>
          <w:b/>
          <w:sz w:val="28"/>
          <w:szCs w:val="28"/>
        </w:rPr>
        <w:t>метою</w:t>
      </w:r>
      <w:r w:rsidR="001456EF" w:rsidRPr="00CD512D">
        <w:rPr>
          <w:sz w:val="28"/>
          <w:szCs w:val="28"/>
        </w:rPr>
        <w:t xml:space="preserve"> досл</w:t>
      </w:r>
      <w:r w:rsidR="001456EF" w:rsidRPr="00CD512D">
        <w:rPr>
          <w:sz w:val="28"/>
          <w:szCs w:val="28"/>
        </w:rPr>
        <w:t>і</w:t>
      </w:r>
      <w:r w:rsidR="001456EF" w:rsidRPr="00CD512D">
        <w:rPr>
          <w:sz w:val="28"/>
          <w:szCs w:val="28"/>
        </w:rPr>
        <w:t>дження є аналіз економічної</w:t>
      </w:r>
      <w:r w:rsidR="001456EF" w:rsidRPr="00005641">
        <w:rPr>
          <w:sz w:val="28"/>
          <w:szCs w:val="28"/>
        </w:rPr>
        <w:t xml:space="preserve"> склад</w:t>
      </w:r>
      <w:r w:rsidR="001456EF" w:rsidRPr="00005641">
        <w:rPr>
          <w:sz w:val="28"/>
          <w:szCs w:val="28"/>
        </w:rPr>
        <w:t>о</w:t>
      </w:r>
      <w:r w:rsidR="001456EF" w:rsidRPr="00005641">
        <w:rPr>
          <w:sz w:val="28"/>
          <w:szCs w:val="28"/>
        </w:rPr>
        <w:t xml:space="preserve">вої дезінтеграційної регіоналізації в країнах Іспанії, Італії та Бельгії. </w:t>
      </w:r>
      <w:r w:rsidR="001456EF" w:rsidRPr="00005641">
        <w:rPr>
          <w:b/>
          <w:sz w:val="28"/>
          <w:szCs w:val="28"/>
        </w:rPr>
        <w:t>А</w:t>
      </w:r>
      <w:r w:rsidR="001F03BC" w:rsidRPr="00005641">
        <w:rPr>
          <w:b/>
          <w:sz w:val="28"/>
          <w:szCs w:val="28"/>
        </w:rPr>
        <w:t>ктуальність роботи</w:t>
      </w:r>
      <w:r w:rsidR="001F03BC" w:rsidRPr="00005641">
        <w:rPr>
          <w:sz w:val="28"/>
          <w:szCs w:val="28"/>
        </w:rPr>
        <w:t xml:space="preserve"> пов’язана з тим, що Україна стикнулася з сепаратизмом, наслідком якого стали окупація Криму та </w:t>
      </w:r>
      <w:proofErr w:type="spellStart"/>
      <w:r w:rsidR="001F03BC" w:rsidRPr="00005641">
        <w:rPr>
          <w:sz w:val="28"/>
          <w:szCs w:val="28"/>
        </w:rPr>
        <w:t>самопр</w:t>
      </w:r>
      <w:r w:rsidR="001F03BC" w:rsidRPr="00005641">
        <w:rPr>
          <w:sz w:val="28"/>
          <w:szCs w:val="28"/>
        </w:rPr>
        <w:t>о</w:t>
      </w:r>
      <w:r w:rsidR="001F03BC" w:rsidRPr="00005641">
        <w:rPr>
          <w:sz w:val="28"/>
          <w:szCs w:val="28"/>
        </w:rPr>
        <w:t>голошення</w:t>
      </w:r>
      <w:proofErr w:type="spellEnd"/>
      <w:r w:rsidR="001F03BC" w:rsidRPr="00005641">
        <w:rPr>
          <w:sz w:val="28"/>
          <w:szCs w:val="28"/>
        </w:rPr>
        <w:t xml:space="preserve"> своєї незалежності окремими районами Луганської та Донецької о</w:t>
      </w:r>
      <w:r w:rsidR="001F03BC" w:rsidRPr="00005641">
        <w:rPr>
          <w:sz w:val="28"/>
          <w:szCs w:val="28"/>
        </w:rPr>
        <w:t>б</w:t>
      </w:r>
      <w:r w:rsidR="001F03BC" w:rsidRPr="00005641">
        <w:rPr>
          <w:sz w:val="28"/>
          <w:szCs w:val="28"/>
        </w:rPr>
        <w:t xml:space="preserve">ластей (ОРДЛО). Вивчення досвіду країн ЄС у вирішенні кризових питань, </w:t>
      </w:r>
      <w:r>
        <w:rPr>
          <w:sz w:val="28"/>
          <w:szCs w:val="28"/>
        </w:rPr>
        <w:t>д</w:t>
      </w:r>
      <w:r>
        <w:rPr>
          <w:sz w:val="28"/>
          <w:szCs w:val="28"/>
        </w:rPr>
        <w:t>о</w:t>
      </w:r>
      <w:r>
        <w:rPr>
          <w:sz w:val="28"/>
          <w:szCs w:val="28"/>
        </w:rPr>
        <w:t xml:space="preserve">слідження причин, </w:t>
      </w:r>
      <w:r w:rsidR="001F03BC" w:rsidRPr="00005641">
        <w:rPr>
          <w:sz w:val="28"/>
          <w:szCs w:val="28"/>
        </w:rPr>
        <w:t>складових</w:t>
      </w:r>
      <w:r>
        <w:rPr>
          <w:sz w:val="28"/>
          <w:szCs w:val="28"/>
        </w:rPr>
        <w:t xml:space="preserve"> та наслідків</w:t>
      </w:r>
      <w:r w:rsidR="001F03BC" w:rsidRPr="00005641">
        <w:rPr>
          <w:sz w:val="28"/>
          <w:szCs w:val="28"/>
        </w:rPr>
        <w:t xml:space="preserve"> дезінтеграційної регіоналізації, м</w:t>
      </w:r>
      <w:r w:rsidR="001F03BC" w:rsidRPr="00005641">
        <w:rPr>
          <w:sz w:val="28"/>
          <w:szCs w:val="28"/>
        </w:rPr>
        <w:t>о</w:t>
      </w:r>
      <w:r w:rsidR="001F03BC" w:rsidRPr="00005641">
        <w:rPr>
          <w:sz w:val="28"/>
          <w:szCs w:val="28"/>
        </w:rPr>
        <w:t>жуть допомогти Україні у вирішенні власних пробл</w:t>
      </w:r>
      <w:r>
        <w:rPr>
          <w:sz w:val="28"/>
          <w:szCs w:val="28"/>
        </w:rPr>
        <w:t>ем</w:t>
      </w:r>
      <w:r w:rsidR="001F03BC" w:rsidRPr="00005641">
        <w:rPr>
          <w:sz w:val="28"/>
          <w:szCs w:val="28"/>
        </w:rPr>
        <w:t>.</w:t>
      </w:r>
    </w:p>
    <w:p w:rsidR="00FA3CA6" w:rsidRDefault="00050F21" w:rsidP="00FA3CA6">
      <w:pPr>
        <w:widowControl w:val="0"/>
        <w:rPr>
          <w:sz w:val="28"/>
          <w:szCs w:val="28"/>
        </w:rPr>
      </w:pPr>
      <w:r>
        <w:rPr>
          <w:b/>
          <w:sz w:val="28"/>
          <w:szCs w:val="28"/>
          <w:lang w:bidi="uk-UA"/>
        </w:rPr>
        <w:t>Виклад основного матеріалу й обґрунтування результатів дослідже</w:t>
      </w:r>
      <w:r>
        <w:rPr>
          <w:b/>
          <w:sz w:val="28"/>
          <w:szCs w:val="28"/>
          <w:lang w:bidi="uk-UA"/>
        </w:rPr>
        <w:t>н</w:t>
      </w:r>
      <w:r>
        <w:rPr>
          <w:b/>
          <w:sz w:val="28"/>
          <w:szCs w:val="28"/>
          <w:lang w:bidi="uk-UA"/>
        </w:rPr>
        <w:t>ня</w:t>
      </w:r>
      <w:r w:rsidRPr="00FC3A21">
        <w:rPr>
          <w:b/>
          <w:sz w:val="28"/>
          <w:szCs w:val="28"/>
          <w:lang w:bidi="uk-UA"/>
        </w:rPr>
        <w:t>.</w:t>
      </w:r>
      <w:r>
        <w:rPr>
          <w:b/>
          <w:sz w:val="28"/>
          <w:szCs w:val="28"/>
          <w:lang w:bidi="uk-UA"/>
        </w:rPr>
        <w:t xml:space="preserve"> </w:t>
      </w:r>
      <w:r w:rsidR="00FA3CA6" w:rsidRPr="00050F21">
        <w:rPr>
          <w:sz w:val="28"/>
          <w:szCs w:val="28"/>
        </w:rPr>
        <w:t>Серед факторів, які слугують каталізаторами регіоналізму є економічний, політичний, історичний, фізико-географічний, релігійний та етнокультурний. Важливою складовою економічного фактору є нерівномірність розвитку регі</w:t>
      </w:r>
      <w:r w:rsidR="00FA3CA6" w:rsidRPr="00050F21">
        <w:rPr>
          <w:sz w:val="28"/>
          <w:szCs w:val="28"/>
        </w:rPr>
        <w:t>о</w:t>
      </w:r>
      <w:r w:rsidR="00FA3CA6" w:rsidRPr="00050F21">
        <w:rPr>
          <w:sz w:val="28"/>
          <w:szCs w:val="28"/>
        </w:rPr>
        <w:t>нів і, як наслідок, незадоволення населення різних регіонів розподілом матері</w:t>
      </w:r>
      <w:r w:rsidR="00FA3CA6" w:rsidRPr="00050F21">
        <w:rPr>
          <w:sz w:val="28"/>
          <w:szCs w:val="28"/>
        </w:rPr>
        <w:t>а</w:t>
      </w:r>
      <w:r w:rsidR="00FA3CA6" w:rsidRPr="00050F21">
        <w:rPr>
          <w:sz w:val="28"/>
          <w:szCs w:val="28"/>
        </w:rPr>
        <w:t xml:space="preserve">льних цінностей. Оцінкою нерівномірності розвитку окремих регіонів може </w:t>
      </w:r>
      <w:r w:rsidR="00FA3CA6" w:rsidRPr="00050F21">
        <w:rPr>
          <w:sz w:val="28"/>
          <w:szCs w:val="28"/>
        </w:rPr>
        <w:lastRenderedPageBreak/>
        <w:t>слугувати рівень</w:t>
      </w:r>
      <w:r w:rsidR="00BE11AE">
        <w:rPr>
          <w:sz w:val="28"/>
          <w:szCs w:val="28"/>
        </w:rPr>
        <w:t xml:space="preserve"> ВВП у розрізі регіонів (табл.</w:t>
      </w:r>
      <w:r w:rsidR="00FA3CA6" w:rsidRPr="00050F21">
        <w:rPr>
          <w:sz w:val="28"/>
          <w:szCs w:val="28"/>
        </w:rPr>
        <w:t>1)</w:t>
      </w:r>
      <w:r w:rsidR="00FA3CA6" w:rsidRPr="00BE11AE">
        <w:rPr>
          <w:sz w:val="28"/>
          <w:szCs w:val="28"/>
        </w:rPr>
        <w:t>.</w:t>
      </w:r>
    </w:p>
    <w:p w:rsidR="00050F21" w:rsidRPr="00BE11AE" w:rsidRDefault="00BE11AE" w:rsidP="00050F21">
      <w:pPr>
        <w:widowControl w:val="0"/>
        <w:jc w:val="right"/>
        <w:rPr>
          <w:b/>
          <w:i/>
          <w:sz w:val="28"/>
          <w:szCs w:val="28"/>
        </w:rPr>
      </w:pPr>
      <w:r w:rsidRPr="00BE11AE">
        <w:rPr>
          <w:b/>
          <w:i/>
          <w:sz w:val="28"/>
          <w:szCs w:val="28"/>
        </w:rPr>
        <w:t xml:space="preserve">Таблиця </w:t>
      </w:r>
      <w:r w:rsidR="00050F21" w:rsidRPr="00BE11AE">
        <w:rPr>
          <w:b/>
          <w:i/>
          <w:sz w:val="28"/>
          <w:szCs w:val="28"/>
        </w:rPr>
        <w:t>1</w:t>
      </w:r>
    </w:p>
    <w:p w:rsidR="00FA3CA6" w:rsidRPr="00210AC4" w:rsidRDefault="00FA3CA6" w:rsidP="00050F21">
      <w:pPr>
        <w:pStyle w:val="a8"/>
        <w:widowControl w:val="0"/>
        <w:jc w:val="center"/>
        <w:rPr>
          <w:b/>
          <w:sz w:val="28"/>
          <w:szCs w:val="28"/>
          <w:lang w:val="ru-RU"/>
        </w:rPr>
      </w:pPr>
      <w:r w:rsidRPr="00BE11AE">
        <w:rPr>
          <w:b/>
          <w:sz w:val="28"/>
          <w:szCs w:val="28"/>
        </w:rPr>
        <w:t xml:space="preserve">ВВП в окремих регіонах країн ЄС, млрд. євро </w:t>
      </w:r>
      <w:r w:rsidR="00210AC4" w:rsidRPr="00210AC4">
        <w:rPr>
          <w:b/>
          <w:sz w:val="28"/>
          <w:szCs w:val="28"/>
          <w:lang w:val="ru-RU"/>
        </w:rPr>
        <w:t xml:space="preserve"> [1]</w:t>
      </w:r>
    </w:p>
    <w:tbl>
      <w:tblPr>
        <w:tblStyle w:val="a9"/>
        <w:tblW w:w="4523" w:type="pct"/>
        <w:jc w:val="center"/>
        <w:tblInd w:w="1384" w:type="dxa"/>
        <w:tblLayout w:type="fixed"/>
        <w:tblLook w:val="04A0" w:firstRow="1" w:lastRow="0" w:firstColumn="1" w:lastColumn="0" w:noHBand="0" w:noVBand="1"/>
      </w:tblPr>
      <w:tblGrid>
        <w:gridCol w:w="4678"/>
        <w:gridCol w:w="1538"/>
        <w:gridCol w:w="1360"/>
        <w:gridCol w:w="1337"/>
      </w:tblGrid>
      <w:tr w:rsidR="00FA3CA6" w:rsidRPr="00054C8F" w:rsidTr="00050F21">
        <w:trPr>
          <w:trHeight w:val="383"/>
          <w:jc w:val="center"/>
        </w:trPr>
        <w:tc>
          <w:tcPr>
            <w:tcW w:w="2624" w:type="pct"/>
            <w:noWrap/>
            <w:vAlign w:val="center"/>
            <w:hideMark/>
          </w:tcPr>
          <w:p w:rsidR="00FA3CA6" w:rsidRPr="00054C8F" w:rsidRDefault="00FA3CA6" w:rsidP="00050F21">
            <w:pPr>
              <w:pStyle w:val="a8"/>
              <w:widowControl w:val="0"/>
              <w:spacing w:line="240" w:lineRule="auto"/>
              <w:jc w:val="center"/>
              <w:rPr>
                <w:sz w:val="26"/>
                <w:szCs w:val="26"/>
                <w:lang w:val="ru-RU"/>
              </w:rPr>
            </w:pPr>
            <w:proofErr w:type="spellStart"/>
            <w:proofErr w:type="gramStart"/>
            <w:r w:rsidRPr="00054C8F">
              <w:rPr>
                <w:sz w:val="26"/>
                <w:szCs w:val="26"/>
                <w:lang w:val="ru-RU"/>
              </w:rPr>
              <w:t>Країна</w:t>
            </w:r>
            <w:proofErr w:type="spellEnd"/>
            <w:proofErr w:type="gramEnd"/>
            <w:r w:rsidRPr="00054C8F">
              <w:rPr>
                <w:sz w:val="26"/>
                <w:szCs w:val="26"/>
                <w:lang w:val="ru-RU"/>
              </w:rPr>
              <w:t xml:space="preserve"> / </w:t>
            </w:r>
            <w:proofErr w:type="spellStart"/>
            <w:r w:rsidRPr="00054C8F">
              <w:rPr>
                <w:sz w:val="26"/>
                <w:szCs w:val="26"/>
                <w:lang w:val="ru-RU"/>
              </w:rPr>
              <w:t>регіон</w:t>
            </w:r>
            <w:proofErr w:type="spellEnd"/>
          </w:p>
        </w:tc>
        <w:tc>
          <w:tcPr>
            <w:tcW w:w="863" w:type="pct"/>
            <w:noWrap/>
            <w:vAlign w:val="center"/>
            <w:hideMark/>
          </w:tcPr>
          <w:p w:rsidR="00FA3CA6" w:rsidRPr="00054C8F" w:rsidRDefault="00FA3CA6" w:rsidP="00050F21">
            <w:pPr>
              <w:pStyle w:val="a8"/>
              <w:widowControl w:val="0"/>
              <w:spacing w:line="240" w:lineRule="auto"/>
              <w:jc w:val="center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2005</w:t>
            </w:r>
          </w:p>
        </w:tc>
        <w:tc>
          <w:tcPr>
            <w:tcW w:w="763" w:type="pct"/>
            <w:noWrap/>
            <w:vAlign w:val="center"/>
            <w:hideMark/>
          </w:tcPr>
          <w:p w:rsidR="00FA3CA6" w:rsidRPr="00054C8F" w:rsidRDefault="00FA3CA6" w:rsidP="00050F21">
            <w:pPr>
              <w:pStyle w:val="a8"/>
              <w:widowControl w:val="0"/>
              <w:spacing w:line="240" w:lineRule="auto"/>
              <w:jc w:val="center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2010</w:t>
            </w:r>
          </w:p>
        </w:tc>
        <w:tc>
          <w:tcPr>
            <w:tcW w:w="750" w:type="pct"/>
            <w:noWrap/>
            <w:vAlign w:val="center"/>
            <w:hideMark/>
          </w:tcPr>
          <w:p w:rsidR="00FA3CA6" w:rsidRPr="00054C8F" w:rsidRDefault="00FA3CA6" w:rsidP="00050F21">
            <w:pPr>
              <w:pStyle w:val="a8"/>
              <w:widowControl w:val="0"/>
              <w:spacing w:line="240" w:lineRule="auto"/>
              <w:jc w:val="center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2015</w:t>
            </w:r>
          </w:p>
        </w:tc>
      </w:tr>
      <w:tr w:rsidR="00FA3CA6" w:rsidRPr="00054C8F" w:rsidTr="00050F21">
        <w:trPr>
          <w:trHeight w:val="307"/>
          <w:jc w:val="center"/>
        </w:trPr>
        <w:tc>
          <w:tcPr>
            <w:tcW w:w="2624" w:type="pct"/>
            <w:noWrap/>
            <w:hideMark/>
          </w:tcPr>
          <w:p w:rsidR="00FA3CA6" w:rsidRPr="00054C8F" w:rsidRDefault="00FA3CA6" w:rsidP="00050F21">
            <w:pPr>
              <w:pStyle w:val="a8"/>
              <w:widowControl w:val="0"/>
              <w:spacing w:line="240" w:lineRule="auto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Бельгія</w:t>
            </w:r>
          </w:p>
        </w:tc>
        <w:tc>
          <w:tcPr>
            <w:tcW w:w="863" w:type="pct"/>
            <w:noWrap/>
            <w:vAlign w:val="center"/>
            <w:hideMark/>
          </w:tcPr>
          <w:p w:rsidR="00FA3CA6" w:rsidRPr="00054C8F" w:rsidRDefault="00FA3CA6" w:rsidP="00050F21">
            <w:pPr>
              <w:pStyle w:val="a8"/>
              <w:widowControl w:val="0"/>
              <w:spacing w:line="240" w:lineRule="auto"/>
              <w:jc w:val="center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311,481</w:t>
            </w:r>
          </w:p>
        </w:tc>
        <w:tc>
          <w:tcPr>
            <w:tcW w:w="763" w:type="pct"/>
            <w:noWrap/>
            <w:vAlign w:val="center"/>
            <w:hideMark/>
          </w:tcPr>
          <w:p w:rsidR="00FA3CA6" w:rsidRPr="00054C8F" w:rsidRDefault="00FA3CA6" w:rsidP="00050F21">
            <w:pPr>
              <w:pStyle w:val="a8"/>
              <w:widowControl w:val="0"/>
              <w:spacing w:line="240" w:lineRule="auto"/>
              <w:jc w:val="center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365,101</w:t>
            </w:r>
          </w:p>
        </w:tc>
        <w:tc>
          <w:tcPr>
            <w:tcW w:w="750" w:type="pct"/>
            <w:noWrap/>
            <w:vAlign w:val="center"/>
            <w:hideMark/>
          </w:tcPr>
          <w:p w:rsidR="00FA3CA6" w:rsidRPr="00054C8F" w:rsidRDefault="00FA3CA6" w:rsidP="00050F21">
            <w:pPr>
              <w:pStyle w:val="a8"/>
              <w:widowControl w:val="0"/>
              <w:spacing w:line="240" w:lineRule="auto"/>
              <w:jc w:val="center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410,351</w:t>
            </w:r>
          </w:p>
        </w:tc>
      </w:tr>
      <w:tr w:rsidR="00FA3CA6" w:rsidRPr="00054C8F" w:rsidTr="00050F21">
        <w:trPr>
          <w:trHeight w:val="238"/>
          <w:jc w:val="center"/>
        </w:trPr>
        <w:tc>
          <w:tcPr>
            <w:tcW w:w="2624" w:type="pct"/>
            <w:noWrap/>
            <w:hideMark/>
          </w:tcPr>
          <w:p w:rsidR="00FA3CA6" w:rsidRPr="00054C8F" w:rsidRDefault="00FA3CA6" w:rsidP="00050F21">
            <w:pPr>
              <w:pStyle w:val="a8"/>
              <w:widowControl w:val="0"/>
              <w:numPr>
                <w:ilvl w:val="0"/>
                <w:numId w:val="6"/>
              </w:numPr>
              <w:spacing w:line="240" w:lineRule="auto"/>
              <w:ind w:left="1026" w:firstLine="0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Фландрія</w:t>
            </w:r>
          </w:p>
        </w:tc>
        <w:tc>
          <w:tcPr>
            <w:tcW w:w="863" w:type="pct"/>
            <w:noWrap/>
            <w:vAlign w:val="center"/>
            <w:hideMark/>
          </w:tcPr>
          <w:p w:rsidR="00FA3CA6" w:rsidRPr="00054C8F" w:rsidRDefault="00FA3CA6" w:rsidP="00050F21">
            <w:pPr>
              <w:pStyle w:val="a8"/>
              <w:widowControl w:val="0"/>
              <w:spacing w:line="240" w:lineRule="auto"/>
              <w:jc w:val="center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178,574</w:t>
            </w:r>
          </w:p>
        </w:tc>
        <w:tc>
          <w:tcPr>
            <w:tcW w:w="763" w:type="pct"/>
            <w:noWrap/>
            <w:vAlign w:val="center"/>
            <w:hideMark/>
          </w:tcPr>
          <w:p w:rsidR="00FA3CA6" w:rsidRPr="00054C8F" w:rsidRDefault="00FA3CA6" w:rsidP="00050F21">
            <w:pPr>
              <w:pStyle w:val="a8"/>
              <w:widowControl w:val="0"/>
              <w:spacing w:line="240" w:lineRule="auto"/>
              <w:jc w:val="center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210,004</w:t>
            </w:r>
          </w:p>
        </w:tc>
        <w:tc>
          <w:tcPr>
            <w:tcW w:w="750" w:type="pct"/>
            <w:noWrap/>
            <w:vAlign w:val="center"/>
            <w:hideMark/>
          </w:tcPr>
          <w:p w:rsidR="00FA3CA6" w:rsidRPr="00054C8F" w:rsidRDefault="00FA3CA6" w:rsidP="00050F21">
            <w:pPr>
              <w:pStyle w:val="a8"/>
              <w:widowControl w:val="0"/>
              <w:spacing w:line="240" w:lineRule="auto"/>
              <w:jc w:val="center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240,628</w:t>
            </w:r>
          </w:p>
        </w:tc>
      </w:tr>
      <w:tr w:rsidR="00FA3CA6" w:rsidRPr="00054C8F" w:rsidTr="00050F21">
        <w:trPr>
          <w:trHeight w:val="228"/>
          <w:jc w:val="center"/>
        </w:trPr>
        <w:tc>
          <w:tcPr>
            <w:tcW w:w="2624" w:type="pct"/>
            <w:noWrap/>
            <w:hideMark/>
          </w:tcPr>
          <w:p w:rsidR="00FA3CA6" w:rsidRPr="00054C8F" w:rsidRDefault="00FA3CA6" w:rsidP="00050F21">
            <w:pPr>
              <w:pStyle w:val="a8"/>
              <w:widowControl w:val="0"/>
              <w:numPr>
                <w:ilvl w:val="0"/>
                <w:numId w:val="6"/>
              </w:numPr>
              <w:spacing w:line="240" w:lineRule="auto"/>
              <w:ind w:left="1026" w:firstLine="0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Валлонія</w:t>
            </w:r>
          </w:p>
        </w:tc>
        <w:tc>
          <w:tcPr>
            <w:tcW w:w="863" w:type="pct"/>
            <w:noWrap/>
            <w:vAlign w:val="center"/>
            <w:hideMark/>
          </w:tcPr>
          <w:p w:rsidR="00FA3CA6" w:rsidRPr="00054C8F" w:rsidRDefault="00FA3CA6" w:rsidP="00050F21">
            <w:pPr>
              <w:pStyle w:val="a8"/>
              <w:widowControl w:val="0"/>
              <w:spacing w:line="240" w:lineRule="auto"/>
              <w:jc w:val="center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73,305</w:t>
            </w:r>
          </w:p>
        </w:tc>
        <w:tc>
          <w:tcPr>
            <w:tcW w:w="763" w:type="pct"/>
            <w:noWrap/>
            <w:vAlign w:val="center"/>
            <w:hideMark/>
          </w:tcPr>
          <w:p w:rsidR="00FA3CA6" w:rsidRPr="00054C8F" w:rsidRDefault="00FA3CA6" w:rsidP="00050F21">
            <w:pPr>
              <w:pStyle w:val="a8"/>
              <w:widowControl w:val="0"/>
              <w:spacing w:line="240" w:lineRule="auto"/>
              <w:jc w:val="center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87,161</w:t>
            </w:r>
          </w:p>
        </w:tc>
        <w:tc>
          <w:tcPr>
            <w:tcW w:w="750" w:type="pct"/>
            <w:noWrap/>
            <w:vAlign w:val="center"/>
            <w:hideMark/>
          </w:tcPr>
          <w:p w:rsidR="00FA3CA6" w:rsidRPr="00054C8F" w:rsidRDefault="00FA3CA6" w:rsidP="00050F21">
            <w:pPr>
              <w:pStyle w:val="a8"/>
              <w:widowControl w:val="0"/>
              <w:spacing w:line="240" w:lineRule="auto"/>
              <w:jc w:val="center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94,853</w:t>
            </w:r>
          </w:p>
        </w:tc>
      </w:tr>
      <w:tr w:rsidR="00FA3CA6" w:rsidRPr="00054C8F" w:rsidTr="00050F21">
        <w:trPr>
          <w:trHeight w:val="374"/>
          <w:jc w:val="center"/>
        </w:trPr>
        <w:tc>
          <w:tcPr>
            <w:tcW w:w="2624" w:type="pct"/>
            <w:noWrap/>
            <w:hideMark/>
          </w:tcPr>
          <w:p w:rsidR="00FA3CA6" w:rsidRPr="00054C8F" w:rsidRDefault="00FA3CA6" w:rsidP="00050F21">
            <w:pPr>
              <w:pStyle w:val="a8"/>
              <w:widowControl w:val="0"/>
              <w:numPr>
                <w:ilvl w:val="0"/>
                <w:numId w:val="6"/>
              </w:numPr>
              <w:spacing w:line="240" w:lineRule="auto"/>
              <w:ind w:left="1026" w:firstLine="0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Брюссель</w:t>
            </w:r>
          </w:p>
        </w:tc>
        <w:tc>
          <w:tcPr>
            <w:tcW w:w="863" w:type="pct"/>
            <w:noWrap/>
            <w:vAlign w:val="center"/>
            <w:hideMark/>
          </w:tcPr>
          <w:p w:rsidR="00FA3CA6" w:rsidRPr="00054C8F" w:rsidRDefault="00FA3CA6" w:rsidP="00050F21">
            <w:pPr>
              <w:pStyle w:val="a8"/>
              <w:widowControl w:val="0"/>
              <w:spacing w:line="240" w:lineRule="auto"/>
              <w:jc w:val="center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59,602</w:t>
            </w:r>
          </w:p>
        </w:tc>
        <w:tc>
          <w:tcPr>
            <w:tcW w:w="763" w:type="pct"/>
            <w:noWrap/>
            <w:vAlign w:val="center"/>
            <w:hideMark/>
          </w:tcPr>
          <w:p w:rsidR="00FA3CA6" w:rsidRPr="00054C8F" w:rsidRDefault="00FA3CA6" w:rsidP="00050F21">
            <w:pPr>
              <w:pStyle w:val="a8"/>
              <w:widowControl w:val="0"/>
              <w:spacing w:line="240" w:lineRule="auto"/>
              <w:jc w:val="center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67,936</w:t>
            </w:r>
          </w:p>
        </w:tc>
        <w:tc>
          <w:tcPr>
            <w:tcW w:w="750" w:type="pct"/>
            <w:noWrap/>
            <w:vAlign w:val="center"/>
            <w:hideMark/>
          </w:tcPr>
          <w:p w:rsidR="00FA3CA6" w:rsidRPr="00054C8F" w:rsidRDefault="00FA3CA6" w:rsidP="00050F21">
            <w:pPr>
              <w:pStyle w:val="a8"/>
              <w:widowControl w:val="0"/>
              <w:spacing w:line="240" w:lineRule="auto"/>
              <w:jc w:val="center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74,87</w:t>
            </w:r>
          </w:p>
        </w:tc>
      </w:tr>
      <w:tr w:rsidR="00FA3CA6" w:rsidRPr="00054C8F" w:rsidTr="00050F21">
        <w:trPr>
          <w:trHeight w:val="279"/>
          <w:jc w:val="center"/>
        </w:trPr>
        <w:tc>
          <w:tcPr>
            <w:tcW w:w="2624" w:type="pct"/>
            <w:noWrap/>
            <w:hideMark/>
          </w:tcPr>
          <w:p w:rsidR="00FA3CA6" w:rsidRPr="00054C8F" w:rsidRDefault="00FA3CA6" w:rsidP="00050F21">
            <w:pPr>
              <w:pStyle w:val="a8"/>
              <w:widowControl w:val="0"/>
              <w:spacing w:line="240" w:lineRule="auto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Іспанія</w:t>
            </w:r>
          </w:p>
        </w:tc>
        <w:tc>
          <w:tcPr>
            <w:tcW w:w="863" w:type="pct"/>
            <w:noWrap/>
            <w:vAlign w:val="center"/>
            <w:hideMark/>
          </w:tcPr>
          <w:p w:rsidR="00FA3CA6" w:rsidRPr="00054C8F" w:rsidRDefault="00FA3CA6" w:rsidP="00050F21">
            <w:pPr>
              <w:pStyle w:val="a8"/>
              <w:widowControl w:val="0"/>
              <w:spacing w:line="240" w:lineRule="auto"/>
              <w:jc w:val="center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930,566</w:t>
            </w:r>
          </w:p>
        </w:tc>
        <w:tc>
          <w:tcPr>
            <w:tcW w:w="763" w:type="pct"/>
            <w:noWrap/>
            <w:vAlign w:val="center"/>
            <w:hideMark/>
          </w:tcPr>
          <w:p w:rsidR="00FA3CA6" w:rsidRPr="00054C8F" w:rsidRDefault="00FA3CA6" w:rsidP="00050F21">
            <w:pPr>
              <w:pStyle w:val="a8"/>
              <w:widowControl w:val="0"/>
              <w:spacing w:line="240" w:lineRule="auto"/>
              <w:jc w:val="center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1080,91</w:t>
            </w:r>
          </w:p>
        </w:tc>
        <w:tc>
          <w:tcPr>
            <w:tcW w:w="750" w:type="pct"/>
            <w:noWrap/>
            <w:vAlign w:val="center"/>
            <w:hideMark/>
          </w:tcPr>
          <w:p w:rsidR="00FA3CA6" w:rsidRPr="00054C8F" w:rsidRDefault="00FA3CA6" w:rsidP="00050F21">
            <w:pPr>
              <w:pStyle w:val="a8"/>
              <w:widowControl w:val="0"/>
              <w:spacing w:line="240" w:lineRule="auto"/>
              <w:jc w:val="center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1075,64</w:t>
            </w:r>
          </w:p>
        </w:tc>
      </w:tr>
      <w:tr w:rsidR="00FA3CA6" w:rsidRPr="00054C8F" w:rsidTr="00050F21">
        <w:trPr>
          <w:trHeight w:val="270"/>
          <w:jc w:val="center"/>
        </w:trPr>
        <w:tc>
          <w:tcPr>
            <w:tcW w:w="2624" w:type="pct"/>
            <w:noWrap/>
            <w:hideMark/>
          </w:tcPr>
          <w:p w:rsidR="00FA3CA6" w:rsidRPr="00054C8F" w:rsidRDefault="00FA3CA6" w:rsidP="00050F21">
            <w:pPr>
              <w:pStyle w:val="a8"/>
              <w:widowControl w:val="0"/>
              <w:numPr>
                <w:ilvl w:val="0"/>
                <w:numId w:val="6"/>
              </w:numPr>
              <w:spacing w:line="240" w:lineRule="auto"/>
              <w:ind w:left="1026" w:firstLine="0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Країна Басків</w:t>
            </w:r>
          </w:p>
        </w:tc>
        <w:tc>
          <w:tcPr>
            <w:tcW w:w="863" w:type="pct"/>
            <w:noWrap/>
            <w:vAlign w:val="center"/>
            <w:hideMark/>
          </w:tcPr>
          <w:p w:rsidR="00FA3CA6" w:rsidRPr="00054C8F" w:rsidRDefault="00FA3CA6" w:rsidP="00050F21">
            <w:pPr>
              <w:pStyle w:val="a8"/>
              <w:widowControl w:val="0"/>
              <w:spacing w:line="240" w:lineRule="auto"/>
              <w:jc w:val="center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56,212</w:t>
            </w:r>
          </w:p>
        </w:tc>
        <w:tc>
          <w:tcPr>
            <w:tcW w:w="763" w:type="pct"/>
            <w:noWrap/>
            <w:vAlign w:val="center"/>
            <w:hideMark/>
          </w:tcPr>
          <w:p w:rsidR="00FA3CA6" w:rsidRPr="00054C8F" w:rsidRDefault="00FA3CA6" w:rsidP="00050F21">
            <w:pPr>
              <w:pStyle w:val="a8"/>
              <w:widowControl w:val="0"/>
              <w:spacing w:line="240" w:lineRule="auto"/>
              <w:jc w:val="center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65,681</w:t>
            </w:r>
          </w:p>
        </w:tc>
        <w:tc>
          <w:tcPr>
            <w:tcW w:w="750" w:type="pct"/>
            <w:noWrap/>
            <w:vAlign w:val="center"/>
            <w:hideMark/>
          </w:tcPr>
          <w:p w:rsidR="00FA3CA6" w:rsidRPr="00054C8F" w:rsidRDefault="00FA3CA6" w:rsidP="00050F21">
            <w:pPr>
              <w:pStyle w:val="a8"/>
              <w:widowControl w:val="0"/>
              <w:spacing w:line="240" w:lineRule="auto"/>
              <w:jc w:val="center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66,553</w:t>
            </w:r>
          </w:p>
        </w:tc>
      </w:tr>
      <w:tr w:rsidR="00FA3CA6" w:rsidRPr="00054C8F" w:rsidTr="00050F21">
        <w:trPr>
          <w:trHeight w:val="259"/>
          <w:jc w:val="center"/>
        </w:trPr>
        <w:tc>
          <w:tcPr>
            <w:tcW w:w="2624" w:type="pct"/>
            <w:noWrap/>
            <w:hideMark/>
          </w:tcPr>
          <w:p w:rsidR="00FA3CA6" w:rsidRPr="00054C8F" w:rsidRDefault="00FA3CA6" w:rsidP="00050F21">
            <w:pPr>
              <w:pStyle w:val="a8"/>
              <w:widowControl w:val="0"/>
              <w:numPr>
                <w:ilvl w:val="0"/>
                <w:numId w:val="6"/>
              </w:numPr>
              <w:spacing w:line="240" w:lineRule="auto"/>
              <w:ind w:left="1026" w:firstLine="0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Каталонія</w:t>
            </w:r>
          </w:p>
        </w:tc>
        <w:tc>
          <w:tcPr>
            <w:tcW w:w="863" w:type="pct"/>
            <w:noWrap/>
            <w:vAlign w:val="center"/>
            <w:hideMark/>
          </w:tcPr>
          <w:p w:rsidR="00FA3CA6" w:rsidRPr="00054C8F" w:rsidRDefault="00FA3CA6" w:rsidP="00050F21">
            <w:pPr>
              <w:pStyle w:val="a8"/>
              <w:widowControl w:val="0"/>
              <w:spacing w:line="240" w:lineRule="auto"/>
              <w:jc w:val="center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175,032</w:t>
            </w:r>
          </w:p>
        </w:tc>
        <w:tc>
          <w:tcPr>
            <w:tcW w:w="763" w:type="pct"/>
            <w:noWrap/>
            <w:vAlign w:val="center"/>
            <w:hideMark/>
          </w:tcPr>
          <w:p w:rsidR="00FA3CA6" w:rsidRPr="00054C8F" w:rsidRDefault="00FA3CA6" w:rsidP="00050F21">
            <w:pPr>
              <w:pStyle w:val="a8"/>
              <w:widowControl w:val="0"/>
              <w:spacing w:line="240" w:lineRule="auto"/>
              <w:jc w:val="center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203,324</w:t>
            </w:r>
          </w:p>
        </w:tc>
        <w:tc>
          <w:tcPr>
            <w:tcW w:w="750" w:type="pct"/>
            <w:noWrap/>
            <w:vAlign w:val="center"/>
            <w:hideMark/>
          </w:tcPr>
          <w:p w:rsidR="00FA3CA6" w:rsidRPr="00054C8F" w:rsidRDefault="00FA3CA6" w:rsidP="00050F21">
            <w:pPr>
              <w:pStyle w:val="a8"/>
              <w:widowControl w:val="0"/>
              <w:spacing w:line="240" w:lineRule="auto"/>
              <w:jc w:val="center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204,189</w:t>
            </w:r>
          </w:p>
        </w:tc>
      </w:tr>
      <w:tr w:rsidR="00FA3CA6" w:rsidRPr="00054C8F" w:rsidTr="00050F21">
        <w:trPr>
          <w:trHeight w:val="264"/>
          <w:jc w:val="center"/>
        </w:trPr>
        <w:tc>
          <w:tcPr>
            <w:tcW w:w="2624" w:type="pct"/>
            <w:noWrap/>
            <w:hideMark/>
          </w:tcPr>
          <w:p w:rsidR="00FA3CA6" w:rsidRPr="00054C8F" w:rsidRDefault="00FA3CA6" w:rsidP="00050F21">
            <w:pPr>
              <w:pStyle w:val="a8"/>
              <w:widowControl w:val="0"/>
              <w:numPr>
                <w:ilvl w:val="0"/>
                <w:numId w:val="6"/>
              </w:numPr>
              <w:spacing w:line="240" w:lineRule="auto"/>
              <w:ind w:left="1026" w:firstLine="0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Решта, 12 регіонів Іспанії</w:t>
            </w:r>
          </w:p>
        </w:tc>
        <w:tc>
          <w:tcPr>
            <w:tcW w:w="863" w:type="pct"/>
            <w:noWrap/>
            <w:vAlign w:val="center"/>
            <w:hideMark/>
          </w:tcPr>
          <w:p w:rsidR="00FA3CA6" w:rsidRPr="00054C8F" w:rsidRDefault="00FA3CA6" w:rsidP="00050F21">
            <w:pPr>
              <w:pStyle w:val="a8"/>
              <w:widowControl w:val="0"/>
              <w:spacing w:line="240" w:lineRule="auto"/>
              <w:jc w:val="center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699,322</w:t>
            </w:r>
          </w:p>
        </w:tc>
        <w:tc>
          <w:tcPr>
            <w:tcW w:w="763" w:type="pct"/>
            <w:noWrap/>
            <w:vAlign w:val="center"/>
            <w:hideMark/>
          </w:tcPr>
          <w:p w:rsidR="00FA3CA6" w:rsidRPr="00054C8F" w:rsidRDefault="00FA3CA6" w:rsidP="00050F21">
            <w:pPr>
              <w:pStyle w:val="a8"/>
              <w:widowControl w:val="0"/>
              <w:spacing w:line="240" w:lineRule="auto"/>
              <w:jc w:val="center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811,908</w:t>
            </w:r>
          </w:p>
        </w:tc>
        <w:tc>
          <w:tcPr>
            <w:tcW w:w="750" w:type="pct"/>
            <w:noWrap/>
            <w:vAlign w:val="center"/>
            <w:hideMark/>
          </w:tcPr>
          <w:p w:rsidR="00FA3CA6" w:rsidRPr="00054C8F" w:rsidRDefault="00FA3CA6" w:rsidP="00050F21">
            <w:pPr>
              <w:pStyle w:val="a8"/>
              <w:widowControl w:val="0"/>
              <w:spacing w:line="240" w:lineRule="auto"/>
              <w:jc w:val="center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804,897</w:t>
            </w:r>
          </w:p>
        </w:tc>
      </w:tr>
      <w:tr w:rsidR="00FA3CA6" w:rsidRPr="00054C8F" w:rsidTr="00050F21">
        <w:trPr>
          <w:trHeight w:val="253"/>
          <w:jc w:val="center"/>
        </w:trPr>
        <w:tc>
          <w:tcPr>
            <w:tcW w:w="2624" w:type="pct"/>
            <w:noWrap/>
            <w:hideMark/>
          </w:tcPr>
          <w:p w:rsidR="00FA3CA6" w:rsidRPr="00054C8F" w:rsidRDefault="00FA3CA6" w:rsidP="00050F21">
            <w:pPr>
              <w:pStyle w:val="a8"/>
              <w:widowControl w:val="0"/>
              <w:spacing w:line="240" w:lineRule="auto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Італія</w:t>
            </w:r>
          </w:p>
        </w:tc>
        <w:tc>
          <w:tcPr>
            <w:tcW w:w="863" w:type="pct"/>
            <w:noWrap/>
            <w:vAlign w:val="center"/>
            <w:hideMark/>
          </w:tcPr>
          <w:p w:rsidR="00FA3CA6" w:rsidRPr="00054C8F" w:rsidRDefault="00FA3CA6" w:rsidP="00050F21">
            <w:pPr>
              <w:pStyle w:val="a8"/>
              <w:widowControl w:val="0"/>
              <w:spacing w:line="240" w:lineRule="auto"/>
              <w:jc w:val="center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1489,73</w:t>
            </w:r>
          </w:p>
        </w:tc>
        <w:tc>
          <w:tcPr>
            <w:tcW w:w="763" w:type="pct"/>
            <w:noWrap/>
            <w:vAlign w:val="center"/>
            <w:hideMark/>
          </w:tcPr>
          <w:p w:rsidR="00FA3CA6" w:rsidRPr="00054C8F" w:rsidRDefault="00FA3CA6" w:rsidP="00050F21">
            <w:pPr>
              <w:pStyle w:val="a8"/>
              <w:widowControl w:val="0"/>
              <w:spacing w:line="240" w:lineRule="auto"/>
              <w:jc w:val="center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1604,52</w:t>
            </w:r>
          </w:p>
        </w:tc>
        <w:tc>
          <w:tcPr>
            <w:tcW w:w="750" w:type="pct"/>
            <w:noWrap/>
            <w:vAlign w:val="center"/>
            <w:hideMark/>
          </w:tcPr>
          <w:p w:rsidR="00FA3CA6" w:rsidRPr="00054C8F" w:rsidRDefault="00FA3CA6" w:rsidP="00050F21">
            <w:pPr>
              <w:pStyle w:val="a8"/>
              <w:widowControl w:val="0"/>
              <w:spacing w:line="240" w:lineRule="auto"/>
              <w:jc w:val="center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1645,44</w:t>
            </w:r>
          </w:p>
        </w:tc>
      </w:tr>
      <w:tr w:rsidR="00FA3CA6" w:rsidRPr="00054C8F" w:rsidTr="00050F21">
        <w:trPr>
          <w:trHeight w:val="258"/>
          <w:jc w:val="center"/>
        </w:trPr>
        <w:tc>
          <w:tcPr>
            <w:tcW w:w="2624" w:type="pct"/>
            <w:noWrap/>
            <w:hideMark/>
          </w:tcPr>
          <w:p w:rsidR="00FA3CA6" w:rsidRPr="00054C8F" w:rsidRDefault="00FA3CA6" w:rsidP="00050F21">
            <w:pPr>
              <w:pStyle w:val="a8"/>
              <w:widowControl w:val="0"/>
              <w:numPr>
                <w:ilvl w:val="0"/>
                <w:numId w:val="6"/>
              </w:numPr>
              <w:spacing w:line="240" w:lineRule="auto"/>
              <w:ind w:left="1026" w:firstLine="0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Ломбардія</w:t>
            </w:r>
          </w:p>
        </w:tc>
        <w:tc>
          <w:tcPr>
            <w:tcW w:w="863" w:type="pct"/>
            <w:noWrap/>
            <w:vAlign w:val="center"/>
            <w:hideMark/>
          </w:tcPr>
          <w:p w:rsidR="00FA3CA6" w:rsidRPr="00054C8F" w:rsidRDefault="00FA3CA6" w:rsidP="00050F21">
            <w:pPr>
              <w:pStyle w:val="a8"/>
              <w:widowControl w:val="0"/>
              <w:spacing w:line="240" w:lineRule="auto"/>
              <w:jc w:val="center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310,195</w:t>
            </w:r>
          </w:p>
        </w:tc>
        <w:tc>
          <w:tcPr>
            <w:tcW w:w="763" w:type="pct"/>
            <w:noWrap/>
            <w:vAlign w:val="center"/>
            <w:hideMark/>
          </w:tcPr>
          <w:p w:rsidR="00FA3CA6" w:rsidRPr="00054C8F" w:rsidRDefault="00FA3CA6" w:rsidP="00050F21">
            <w:pPr>
              <w:pStyle w:val="a8"/>
              <w:widowControl w:val="0"/>
              <w:spacing w:line="240" w:lineRule="auto"/>
              <w:jc w:val="center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345,569</w:t>
            </w:r>
          </w:p>
        </w:tc>
        <w:tc>
          <w:tcPr>
            <w:tcW w:w="750" w:type="pct"/>
            <w:noWrap/>
            <w:vAlign w:val="center"/>
            <w:hideMark/>
          </w:tcPr>
          <w:p w:rsidR="00FA3CA6" w:rsidRPr="00054C8F" w:rsidRDefault="00FA3CA6" w:rsidP="00050F21">
            <w:pPr>
              <w:pStyle w:val="a8"/>
              <w:widowControl w:val="0"/>
              <w:spacing w:line="240" w:lineRule="auto"/>
              <w:jc w:val="center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357,2</w:t>
            </w:r>
          </w:p>
        </w:tc>
      </w:tr>
      <w:tr w:rsidR="00FA3CA6" w:rsidRPr="00054C8F" w:rsidTr="00050F21">
        <w:trPr>
          <w:trHeight w:val="261"/>
          <w:jc w:val="center"/>
        </w:trPr>
        <w:tc>
          <w:tcPr>
            <w:tcW w:w="2624" w:type="pct"/>
            <w:noWrap/>
            <w:hideMark/>
          </w:tcPr>
          <w:p w:rsidR="00FA3CA6" w:rsidRPr="00054C8F" w:rsidRDefault="00FA3CA6" w:rsidP="00050F21">
            <w:pPr>
              <w:pStyle w:val="a8"/>
              <w:widowControl w:val="0"/>
              <w:numPr>
                <w:ilvl w:val="0"/>
                <w:numId w:val="6"/>
              </w:numPr>
              <w:spacing w:line="240" w:lineRule="auto"/>
              <w:ind w:left="1026" w:firstLine="0"/>
              <w:rPr>
                <w:sz w:val="26"/>
                <w:szCs w:val="26"/>
              </w:rPr>
            </w:pPr>
            <w:proofErr w:type="spellStart"/>
            <w:r w:rsidRPr="00054C8F">
              <w:rPr>
                <w:sz w:val="26"/>
                <w:szCs w:val="26"/>
              </w:rPr>
              <w:t>Венето</w:t>
            </w:r>
            <w:proofErr w:type="spellEnd"/>
          </w:p>
        </w:tc>
        <w:tc>
          <w:tcPr>
            <w:tcW w:w="863" w:type="pct"/>
            <w:noWrap/>
            <w:vAlign w:val="center"/>
            <w:hideMark/>
          </w:tcPr>
          <w:p w:rsidR="00FA3CA6" w:rsidRPr="00054C8F" w:rsidRDefault="00FA3CA6" w:rsidP="00050F21">
            <w:pPr>
              <w:pStyle w:val="a8"/>
              <w:widowControl w:val="0"/>
              <w:spacing w:line="240" w:lineRule="auto"/>
              <w:jc w:val="center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136,174</w:t>
            </w:r>
          </w:p>
        </w:tc>
        <w:tc>
          <w:tcPr>
            <w:tcW w:w="763" w:type="pct"/>
            <w:noWrap/>
            <w:vAlign w:val="center"/>
            <w:hideMark/>
          </w:tcPr>
          <w:p w:rsidR="00FA3CA6" w:rsidRPr="00054C8F" w:rsidRDefault="00FA3CA6" w:rsidP="00050F21">
            <w:pPr>
              <w:pStyle w:val="a8"/>
              <w:widowControl w:val="0"/>
              <w:spacing w:line="240" w:lineRule="auto"/>
              <w:jc w:val="center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144,738</w:t>
            </w:r>
          </w:p>
        </w:tc>
        <w:tc>
          <w:tcPr>
            <w:tcW w:w="750" w:type="pct"/>
            <w:noWrap/>
            <w:vAlign w:val="center"/>
            <w:hideMark/>
          </w:tcPr>
          <w:p w:rsidR="00FA3CA6" w:rsidRPr="00054C8F" w:rsidRDefault="00FA3CA6" w:rsidP="00050F21">
            <w:pPr>
              <w:pStyle w:val="a8"/>
              <w:widowControl w:val="0"/>
              <w:spacing w:line="240" w:lineRule="auto"/>
              <w:jc w:val="center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151,634</w:t>
            </w:r>
          </w:p>
        </w:tc>
      </w:tr>
      <w:tr w:rsidR="00FA3CA6" w:rsidRPr="00054C8F" w:rsidTr="00050F21">
        <w:trPr>
          <w:trHeight w:val="394"/>
          <w:jc w:val="center"/>
        </w:trPr>
        <w:tc>
          <w:tcPr>
            <w:tcW w:w="2624" w:type="pct"/>
            <w:noWrap/>
            <w:hideMark/>
          </w:tcPr>
          <w:p w:rsidR="00FA3CA6" w:rsidRPr="00054C8F" w:rsidRDefault="00FA3CA6" w:rsidP="00050F21">
            <w:pPr>
              <w:pStyle w:val="a8"/>
              <w:widowControl w:val="0"/>
              <w:numPr>
                <w:ilvl w:val="0"/>
                <w:numId w:val="6"/>
              </w:numPr>
              <w:spacing w:line="240" w:lineRule="auto"/>
              <w:ind w:left="1026" w:firstLine="0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Решта, 12 регіонів Італії</w:t>
            </w:r>
          </w:p>
        </w:tc>
        <w:tc>
          <w:tcPr>
            <w:tcW w:w="863" w:type="pct"/>
            <w:noWrap/>
            <w:vAlign w:val="center"/>
            <w:hideMark/>
          </w:tcPr>
          <w:p w:rsidR="00FA3CA6" w:rsidRPr="00054C8F" w:rsidRDefault="00FA3CA6" w:rsidP="00050F21">
            <w:pPr>
              <w:pStyle w:val="a8"/>
              <w:widowControl w:val="0"/>
              <w:spacing w:line="240" w:lineRule="auto"/>
              <w:jc w:val="center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1043,36</w:t>
            </w:r>
          </w:p>
        </w:tc>
        <w:tc>
          <w:tcPr>
            <w:tcW w:w="763" w:type="pct"/>
            <w:noWrap/>
            <w:vAlign w:val="center"/>
            <w:hideMark/>
          </w:tcPr>
          <w:p w:rsidR="00FA3CA6" w:rsidRPr="00054C8F" w:rsidRDefault="00FA3CA6" w:rsidP="00050F21">
            <w:pPr>
              <w:pStyle w:val="a8"/>
              <w:widowControl w:val="0"/>
              <w:spacing w:line="240" w:lineRule="auto"/>
              <w:jc w:val="center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1114,21</w:t>
            </w:r>
          </w:p>
        </w:tc>
        <w:tc>
          <w:tcPr>
            <w:tcW w:w="750" w:type="pct"/>
            <w:noWrap/>
            <w:vAlign w:val="center"/>
            <w:hideMark/>
          </w:tcPr>
          <w:p w:rsidR="00FA3CA6" w:rsidRPr="00054C8F" w:rsidRDefault="00FA3CA6" w:rsidP="00050F21">
            <w:pPr>
              <w:pStyle w:val="a8"/>
              <w:widowControl w:val="0"/>
              <w:spacing w:line="240" w:lineRule="auto"/>
              <w:jc w:val="center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1136,61</w:t>
            </w:r>
          </w:p>
        </w:tc>
      </w:tr>
    </w:tbl>
    <w:p w:rsidR="00FA3CA6" w:rsidRPr="00054C8F" w:rsidRDefault="00FA3CA6" w:rsidP="00FA3CA6">
      <w:pPr>
        <w:pStyle w:val="a8"/>
        <w:widowControl w:val="0"/>
        <w:rPr>
          <w:sz w:val="16"/>
          <w:szCs w:val="16"/>
        </w:rPr>
      </w:pPr>
    </w:p>
    <w:p w:rsidR="00FA3CA6" w:rsidRPr="00050F21" w:rsidRDefault="00FA3CA6" w:rsidP="00FA3CA6">
      <w:pPr>
        <w:widowControl w:val="0"/>
        <w:rPr>
          <w:sz w:val="28"/>
          <w:szCs w:val="28"/>
        </w:rPr>
      </w:pPr>
      <w:r w:rsidRPr="00050F21">
        <w:rPr>
          <w:sz w:val="28"/>
          <w:szCs w:val="28"/>
        </w:rPr>
        <w:t>Анал</w:t>
      </w:r>
      <w:r w:rsidR="00BE11AE">
        <w:rPr>
          <w:sz w:val="28"/>
          <w:szCs w:val="28"/>
        </w:rPr>
        <w:t xml:space="preserve">ізуючи представлені у таблиці </w:t>
      </w:r>
      <w:r w:rsidRPr="00050F21">
        <w:rPr>
          <w:sz w:val="28"/>
          <w:szCs w:val="28"/>
        </w:rPr>
        <w:t>1 показники, можна зробити висн</w:t>
      </w:r>
      <w:r w:rsidRPr="00050F21">
        <w:rPr>
          <w:sz w:val="28"/>
          <w:szCs w:val="28"/>
        </w:rPr>
        <w:t>о</w:t>
      </w:r>
      <w:r w:rsidRPr="00050F21">
        <w:rPr>
          <w:sz w:val="28"/>
          <w:szCs w:val="28"/>
        </w:rPr>
        <w:t xml:space="preserve">вок, що серед регіонів країн спостерігається суттєва розбіжність за рівнем ВВП. Так, у 2015 р. внесок у ВВП Бельгії з боку Фландрії (Фламандський регіон) складав 58,6%, що практично у 2,5 рази вищий </w:t>
      </w:r>
      <w:r w:rsidR="00BE11AE">
        <w:rPr>
          <w:sz w:val="28"/>
          <w:szCs w:val="28"/>
        </w:rPr>
        <w:t>за внесок Валлонії (див. рис.</w:t>
      </w:r>
      <w:r w:rsidRPr="00050F21">
        <w:rPr>
          <w:sz w:val="28"/>
          <w:szCs w:val="28"/>
        </w:rPr>
        <w:t>1). З</w:t>
      </w:r>
      <w:r w:rsidR="00BE11AE">
        <w:rPr>
          <w:sz w:val="28"/>
          <w:szCs w:val="28"/>
        </w:rPr>
        <w:t>начення,</w:t>
      </w:r>
      <w:r w:rsidR="00210AC4">
        <w:rPr>
          <w:sz w:val="28"/>
          <w:szCs w:val="28"/>
        </w:rPr>
        <w:t xml:space="preserve"> представлені на рис.</w:t>
      </w:r>
      <w:r w:rsidRPr="00050F21">
        <w:rPr>
          <w:sz w:val="28"/>
          <w:szCs w:val="28"/>
        </w:rPr>
        <w:t>1 обчислено за да</w:t>
      </w:r>
      <w:r w:rsidR="00BE11AE">
        <w:rPr>
          <w:sz w:val="28"/>
          <w:szCs w:val="28"/>
        </w:rPr>
        <w:t>ними табл.</w:t>
      </w:r>
      <w:r w:rsidRPr="00050F21">
        <w:rPr>
          <w:sz w:val="28"/>
          <w:szCs w:val="28"/>
        </w:rPr>
        <w:t>1. Частка ВВП Ло</w:t>
      </w:r>
      <w:r w:rsidRPr="00050F21">
        <w:rPr>
          <w:sz w:val="28"/>
          <w:szCs w:val="28"/>
        </w:rPr>
        <w:t>м</w:t>
      </w:r>
      <w:r w:rsidRPr="00050F21">
        <w:rPr>
          <w:sz w:val="28"/>
          <w:szCs w:val="28"/>
        </w:rPr>
        <w:t>бардії та Каталонії у ВВП Італії та Іспанії, відповідно, складала у 2015 р. майже 20% від ВВП всієї країни.</w:t>
      </w:r>
    </w:p>
    <w:p w:rsidR="00FA3CA6" w:rsidRPr="00054C8F" w:rsidRDefault="00FA3CA6" w:rsidP="00FA3CA6">
      <w:pPr>
        <w:pStyle w:val="a8"/>
        <w:widowControl w:val="0"/>
        <w:jc w:val="center"/>
        <w:rPr>
          <w:sz w:val="20"/>
          <w:szCs w:val="20"/>
        </w:rPr>
      </w:pPr>
      <w:r w:rsidRPr="00050F21">
        <w:rPr>
          <w:noProof/>
          <w:sz w:val="28"/>
          <w:szCs w:val="28"/>
          <w:lang w:val="ru-RU" w:eastAsia="ru-RU"/>
        </w:rPr>
        <w:drawing>
          <wp:inline distT="0" distB="0" distL="0" distR="0" wp14:anchorId="4144AA2D" wp14:editId="024146C9">
            <wp:extent cx="4572000" cy="2634018"/>
            <wp:effectExtent l="0" t="0" r="0" b="0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FA3CA6" w:rsidRPr="00BE11AE" w:rsidRDefault="00BE11AE" w:rsidP="00BE11AE">
      <w:pPr>
        <w:pStyle w:val="a8"/>
        <w:widowControl w:val="0"/>
        <w:jc w:val="center"/>
        <w:rPr>
          <w:b/>
          <w:sz w:val="28"/>
          <w:szCs w:val="28"/>
        </w:rPr>
      </w:pPr>
      <w:bookmarkStart w:id="2" w:name="OLE_LINK3"/>
      <w:bookmarkStart w:id="3" w:name="OLE_LINK4"/>
      <w:r w:rsidRPr="00BE11AE">
        <w:rPr>
          <w:b/>
          <w:i/>
          <w:sz w:val="28"/>
          <w:szCs w:val="28"/>
        </w:rPr>
        <w:t xml:space="preserve">Рис. </w:t>
      </w:r>
      <w:r w:rsidR="00FA3CA6" w:rsidRPr="00BE11AE">
        <w:rPr>
          <w:b/>
          <w:i/>
          <w:sz w:val="28"/>
          <w:szCs w:val="28"/>
        </w:rPr>
        <w:t>1</w:t>
      </w:r>
      <w:r w:rsidRPr="00BE11AE">
        <w:rPr>
          <w:b/>
          <w:i/>
          <w:sz w:val="28"/>
          <w:szCs w:val="28"/>
        </w:rPr>
        <w:t>.</w:t>
      </w:r>
      <w:r w:rsidR="00FA3CA6" w:rsidRPr="00BE11AE">
        <w:rPr>
          <w:b/>
          <w:sz w:val="28"/>
          <w:szCs w:val="28"/>
        </w:rPr>
        <w:t xml:space="preserve"> Частка регіонів у ВВП Італії, Іспанії та Бельгії у 2015 р.</w:t>
      </w:r>
    </w:p>
    <w:bookmarkEnd w:id="2"/>
    <w:bookmarkEnd w:id="3"/>
    <w:p w:rsidR="00FA3CA6" w:rsidRPr="00050F21" w:rsidRDefault="00FA3CA6" w:rsidP="00FA3CA6">
      <w:pPr>
        <w:widowControl w:val="0"/>
        <w:rPr>
          <w:sz w:val="28"/>
          <w:szCs w:val="28"/>
        </w:rPr>
      </w:pPr>
      <w:r w:rsidRPr="00050F21">
        <w:rPr>
          <w:sz w:val="28"/>
          <w:szCs w:val="28"/>
        </w:rPr>
        <w:t xml:space="preserve">Темпи розвитку ВВП за різними регіонами також суттєво розрізняються. </w:t>
      </w:r>
      <w:r w:rsidRPr="00050F21">
        <w:rPr>
          <w:sz w:val="28"/>
          <w:szCs w:val="28"/>
        </w:rPr>
        <w:lastRenderedPageBreak/>
        <w:t xml:space="preserve">Так, за період з 2010 по 2015 рр. ВВП Фландрії зросло на 14,6%, а Валлонії на 8,8%, в Італії ВВП Ломбардії зріз за 5 років на 3,4%, а </w:t>
      </w:r>
      <w:proofErr w:type="spellStart"/>
      <w:r w:rsidRPr="00050F21">
        <w:rPr>
          <w:sz w:val="28"/>
          <w:szCs w:val="28"/>
        </w:rPr>
        <w:t>Венето</w:t>
      </w:r>
      <w:proofErr w:type="spellEnd"/>
      <w:r w:rsidRPr="00050F21">
        <w:rPr>
          <w:sz w:val="28"/>
          <w:szCs w:val="28"/>
        </w:rPr>
        <w:t xml:space="preserve"> – на 4,8%. Більш складна ситуація у розвитку регіонів спостерігалась у зазначений період в Ісп</w:t>
      </w:r>
      <w:r w:rsidRPr="00050F21">
        <w:rPr>
          <w:sz w:val="28"/>
          <w:szCs w:val="28"/>
        </w:rPr>
        <w:t>а</w:t>
      </w:r>
      <w:r w:rsidRPr="00050F21">
        <w:rPr>
          <w:sz w:val="28"/>
          <w:szCs w:val="28"/>
        </w:rPr>
        <w:t>нії: якщо ВВП Країни Басків у 2015 р. зріс на 1,3% у порівнянні з 2010 р., Кат</w:t>
      </w:r>
      <w:r w:rsidRPr="00050F21">
        <w:rPr>
          <w:sz w:val="28"/>
          <w:szCs w:val="28"/>
        </w:rPr>
        <w:t>а</w:t>
      </w:r>
      <w:r w:rsidRPr="00050F21">
        <w:rPr>
          <w:sz w:val="28"/>
          <w:szCs w:val="28"/>
        </w:rPr>
        <w:t>лонії на 0,4%, то у решти 12 регіонів Іспанії ВВП навпаки, зменшився на 0,9%.</w:t>
      </w:r>
    </w:p>
    <w:p w:rsidR="00FA3CA6" w:rsidRPr="00050F21" w:rsidRDefault="00FA3CA6" w:rsidP="00FA3CA6">
      <w:pPr>
        <w:widowControl w:val="0"/>
        <w:rPr>
          <w:sz w:val="28"/>
          <w:szCs w:val="28"/>
        </w:rPr>
      </w:pPr>
      <w:r w:rsidRPr="00050F21">
        <w:rPr>
          <w:sz w:val="28"/>
          <w:szCs w:val="28"/>
        </w:rPr>
        <w:t>Слід зауважити, що ВВП країни та регіону в цілому не повною мірою можуть дати якісне порівняння їх між собою, оскільки не враховують кількість населення, що проживає у кожному з регіонів. Аналізуючи рівень ВВП на душу населення в розглядуваних ре</w:t>
      </w:r>
      <w:r w:rsidR="00BE11AE">
        <w:rPr>
          <w:sz w:val="28"/>
          <w:szCs w:val="28"/>
        </w:rPr>
        <w:t>гіонах (табл.</w:t>
      </w:r>
      <w:r w:rsidRPr="00050F21">
        <w:rPr>
          <w:sz w:val="28"/>
          <w:szCs w:val="28"/>
        </w:rPr>
        <w:t>2) можна прийти до аналогічного в</w:t>
      </w:r>
      <w:r w:rsidRPr="00050F21">
        <w:rPr>
          <w:sz w:val="28"/>
          <w:szCs w:val="28"/>
        </w:rPr>
        <w:t>и</w:t>
      </w:r>
      <w:r w:rsidRPr="00050F21">
        <w:rPr>
          <w:sz w:val="28"/>
          <w:szCs w:val="28"/>
        </w:rPr>
        <w:t>сновку про нерівномірність розвитку регіонів.</w:t>
      </w:r>
    </w:p>
    <w:p w:rsidR="00FA3CA6" w:rsidRPr="00050F21" w:rsidRDefault="00FA3CA6" w:rsidP="00FA3CA6">
      <w:pPr>
        <w:widowControl w:val="0"/>
        <w:rPr>
          <w:sz w:val="28"/>
          <w:szCs w:val="28"/>
        </w:rPr>
      </w:pPr>
      <w:r w:rsidRPr="00050F21">
        <w:rPr>
          <w:sz w:val="28"/>
          <w:szCs w:val="28"/>
        </w:rPr>
        <w:t>Особливістю Брюсселя є те, що високі показники ВВП на душу населення пов’язані з тим, що тут знаходяться основні інституції ЄС і доходи євробюро</w:t>
      </w:r>
      <w:r w:rsidRPr="00050F21">
        <w:rPr>
          <w:sz w:val="28"/>
          <w:szCs w:val="28"/>
        </w:rPr>
        <w:t>к</w:t>
      </w:r>
      <w:r w:rsidRPr="00050F21">
        <w:rPr>
          <w:sz w:val="28"/>
          <w:szCs w:val="28"/>
        </w:rPr>
        <w:t>ратів не є типовими для пересічного громадянина країни. У Бельгії Фламандс</w:t>
      </w:r>
      <w:r w:rsidRPr="00050F21">
        <w:rPr>
          <w:sz w:val="28"/>
          <w:szCs w:val="28"/>
        </w:rPr>
        <w:t>ь</w:t>
      </w:r>
      <w:r w:rsidRPr="00050F21">
        <w:rPr>
          <w:sz w:val="28"/>
          <w:szCs w:val="28"/>
        </w:rPr>
        <w:t>кий регіон у порівнянні з Валлонією має на 41% вищий ВВП на душу населе</w:t>
      </w:r>
      <w:r w:rsidRPr="00050F21">
        <w:rPr>
          <w:sz w:val="28"/>
          <w:szCs w:val="28"/>
        </w:rPr>
        <w:t>н</w:t>
      </w:r>
      <w:r w:rsidRPr="00050F21">
        <w:rPr>
          <w:sz w:val="28"/>
          <w:szCs w:val="28"/>
        </w:rPr>
        <w:t xml:space="preserve">ня. Для Іспанії і Італії рівень ВВП на душу населення в регіонах, де населення схильне до дезінтеграційної регіоналізації </w:t>
      </w:r>
      <w:r w:rsidR="003039A9">
        <w:rPr>
          <w:sz w:val="28"/>
          <w:szCs w:val="28"/>
        </w:rPr>
        <w:t>–</w:t>
      </w:r>
      <w:r w:rsidRPr="00050F21">
        <w:rPr>
          <w:sz w:val="28"/>
          <w:szCs w:val="28"/>
        </w:rPr>
        <w:t xml:space="preserve"> Країна Басків, Каталонія та Ломб</w:t>
      </w:r>
      <w:r w:rsidRPr="00050F21">
        <w:rPr>
          <w:sz w:val="28"/>
          <w:szCs w:val="28"/>
        </w:rPr>
        <w:t>а</w:t>
      </w:r>
      <w:r w:rsidRPr="00050F21">
        <w:rPr>
          <w:sz w:val="28"/>
          <w:szCs w:val="28"/>
        </w:rPr>
        <w:t xml:space="preserve">рдія, </w:t>
      </w:r>
      <w:proofErr w:type="spellStart"/>
      <w:r w:rsidRPr="00050F21">
        <w:rPr>
          <w:sz w:val="28"/>
          <w:szCs w:val="28"/>
        </w:rPr>
        <w:t>Венето</w:t>
      </w:r>
      <w:proofErr w:type="spellEnd"/>
      <w:r w:rsidRPr="00050F21">
        <w:rPr>
          <w:sz w:val="28"/>
          <w:szCs w:val="28"/>
        </w:rPr>
        <w:t>, є вищим за інші регіони країни.</w:t>
      </w:r>
    </w:p>
    <w:p w:rsidR="00FA3CA6" w:rsidRPr="00BE11AE" w:rsidRDefault="00050F21" w:rsidP="00050F21">
      <w:pPr>
        <w:pStyle w:val="a8"/>
        <w:widowControl w:val="0"/>
        <w:ind w:firstLine="709"/>
        <w:jc w:val="right"/>
        <w:rPr>
          <w:b/>
          <w:i/>
          <w:sz w:val="28"/>
          <w:szCs w:val="28"/>
        </w:rPr>
      </w:pPr>
      <w:r w:rsidRPr="00BE11AE">
        <w:rPr>
          <w:b/>
          <w:i/>
          <w:sz w:val="28"/>
          <w:szCs w:val="28"/>
        </w:rPr>
        <w:t>Таблиця 2</w:t>
      </w:r>
    </w:p>
    <w:p w:rsidR="00FA3CA6" w:rsidRPr="00210AC4" w:rsidRDefault="00FA3CA6" w:rsidP="00BE11AE">
      <w:pPr>
        <w:pStyle w:val="a8"/>
        <w:widowControl w:val="0"/>
        <w:jc w:val="center"/>
        <w:rPr>
          <w:b/>
          <w:sz w:val="28"/>
          <w:szCs w:val="28"/>
          <w:lang w:val="ru-RU"/>
        </w:rPr>
      </w:pPr>
      <w:r w:rsidRPr="00BE11AE">
        <w:rPr>
          <w:b/>
          <w:sz w:val="28"/>
          <w:szCs w:val="28"/>
        </w:rPr>
        <w:t xml:space="preserve">ВВП на душу населення в окремих регіонах країн ЄС </w:t>
      </w:r>
      <w:r w:rsidR="00210AC4" w:rsidRPr="00210AC4">
        <w:rPr>
          <w:b/>
          <w:sz w:val="28"/>
          <w:szCs w:val="28"/>
          <w:lang w:val="ru-RU"/>
        </w:rPr>
        <w:t xml:space="preserve"> [2]</w:t>
      </w:r>
    </w:p>
    <w:tbl>
      <w:tblPr>
        <w:tblStyle w:val="a9"/>
        <w:tblW w:w="5000" w:type="pct"/>
        <w:tblLayout w:type="fixed"/>
        <w:tblLook w:val="04A0" w:firstRow="1" w:lastRow="0" w:firstColumn="1" w:lastColumn="0" w:noHBand="0" w:noVBand="1"/>
      </w:tblPr>
      <w:tblGrid>
        <w:gridCol w:w="4629"/>
        <w:gridCol w:w="1344"/>
        <w:gridCol w:w="1048"/>
        <w:gridCol w:w="897"/>
        <w:gridCol w:w="1935"/>
      </w:tblGrid>
      <w:tr w:rsidR="00FA3CA6" w:rsidRPr="00054C8F" w:rsidTr="00FA3CA6">
        <w:trPr>
          <w:trHeight w:val="276"/>
          <w:tblHeader/>
        </w:trPr>
        <w:tc>
          <w:tcPr>
            <w:tcW w:w="2349" w:type="pct"/>
            <w:vMerge w:val="restart"/>
            <w:noWrap/>
            <w:vAlign w:val="center"/>
            <w:hideMark/>
          </w:tcPr>
          <w:p w:rsidR="00FA3CA6" w:rsidRPr="00054C8F" w:rsidRDefault="00FA3CA6" w:rsidP="00050F21">
            <w:pPr>
              <w:pStyle w:val="a8"/>
              <w:widowControl w:val="0"/>
              <w:spacing w:line="240" w:lineRule="auto"/>
              <w:jc w:val="center"/>
              <w:rPr>
                <w:sz w:val="26"/>
                <w:szCs w:val="26"/>
                <w:lang w:val="ru-RU"/>
              </w:rPr>
            </w:pPr>
            <w:r w:rsidRPr="00054C8F">
              <w:rPr>
                <w:sz w:val="26"/>
                <w:szCs w:val="26"/>
              </w:rPr>
              <w:t>Країна / регіон</w:t>
            </w:r>
          </w:p>
        </w:tc>
        <w:tc>
          <w:tcPr>
            <w:tcW w:w="1669" w:type="pct"/>
            <w:gridSpan w:val="3"/>
            <w:noWrap/>
            <w:vAlign w:val="center"/>
          </w:tcPr>
          <w:p w:rsidR="00FA3CA6" w:rsidRPr="00054C8F" w:rsidRDefault="00FA3CA6" w:rsidP="00050F21">
            <w:pPr>
              <w:pStyle w:val="a8"/>
              <w:widowControl w:val="0"/>
              <w:spacing w:line="240" w:lineRule="auto"/>
              <w:jc w:val="center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тис. євро</w:t>
            </w:r>
          </w:p>
        </w:tc>
        <w:tc>
          <w:tcPr>
            <w:tcW w:w="982" w:type="pct"/>
            <w:vAlign w:val="center"/>
          </w:tcPr>
          <w:p w:rsidR="00FA3CA6" w:rsidRPr="00054C8F" w:rsidRDefault="00FA3CA6" w:rsidP="00050F21">
            <w:pPr>
              <w:widowControl w:val="0"/>
              <w:spacing w:line="240" w:lineRule="auto"/>
              <w:ind w:firstLine="5"/>
              <w:jc w:val="center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% до ВВП на душу країни</w:t>
            </w:r>
          </w:p>
        </w:tc>
      </w:tr>
      <w:tr w:rsidR="00FA3CA6" w:rsidRPr="00054C8F" w:rsidTr="00FA3CA6">
        <w:trPr>
          <w:trHeight w:val="276"/>
          <w:tblHeader/>
        </w:trPr>
        <w:tc>
          <w:tcPr>
            <w:tcW w:w="2349" w:type="pct"/>
            <w:vMerge/>
            <w:noWrap/>
          </w:tcPr>
          <w:p w:rsidR="00FA3CA6" w:rsidRPr="00054C8F" w:rsidRDefault="00FA3CA6" w:rsidP="00050F21">
            <w:pPr>
              <w:pStyle w:val="a8"/>
              <w:widowControl w:val="0"/>
              <w:spacing w:line="240" w:lineRule="auto"/>
              <w:rPr>
                <w:sz w:val="26"/>
                <w:szCs w:val="26"/>
              </w:rPr>
            </w:pPr>
          </w:p>
        </w:tc>
        <w:tc>
          <w:tcPr>
            <w:tcW w:w="682" w:type="pct"/>
            <w:noWrap/>
            <w:vAlign w:val="center"/>
          </w:tcPr>
          <w:p w:rsidR="00FA3CA6" w:rsidRPr="00054C8F" w:rsidRDefault="00FA3CA6" w:rsidP="00050F21">
            <w:pPr>
              <w:pStyle w:val="a8"/>
              <w:widowControl w:val="0"/>
              <w:spacing w:line="240" w:lineRule="auto"/>
              <w:jc w:val="center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2005</w:t>
            </w:r>
          </w:p>
        </w:tc>
        <w:tc>
          <w:tcPr>
            <w:tcW w:w="532" w:type="pct"/>
            <w:noWrap/>
            <w:vAlign w:val="center"/>
          </w:tcPr>
          <w:p w:rsidR="00FA3CA6" w:rsidRPr="00054C8F" w:rsidRDefault="00FA3CA6" w:rsidP="00050F21">
            <w:pPr>
              <w:pStyle w:val="a8"/>
              <w:widowControl w:val="0"/>
              <w:spacing w:line="240" w:lineRule="auto"/>
              <w:jc w:val="center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2010</w:t>
            </w:r>
          </w:p>
        </w:tc>
        <w:tc>
          <w:tcPr>
            <w:tcW w:w="455" w:type="pct"/>
            <w:noWrap/>
            <w:vAlign w:val="center"/>
          </w:tcPr>
          <w:p w:rsidR="00FA3CA6" w:rsidRPr="00054C8F" w:rsidRDefault="00FA3CA6" w:rsidP="00050F21">
            <w:pPr>
              <w:pStyle w:val="a8"/>
              <w:widowControl w:val="0"/>
              <w:spacing w:line="240" w:lineRule="auto"/>
              <w:jc w:val="center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2015</w:t>
            </w:r>
          </w:p>
        </w:tc>
        <w:tc>
          <w:tcPr>
            <w:tcW w:w="982" w:type="pct"/>
            <w:vAlign w:val="center"/>
          </w:tcPr>
          <w:p w:rsidR="00FA3CA6" w:rsidRPr="00054C8F" w:rsidRDefault="00FA3CA6" w:rsidP="00050F21">
            <w:pPr>
              <w:widowControl w:val="0"/>
              <w:spacing w:line="240" w:lineRule="auto"/>
              <w:ind w:firstLine="5"/>
              <w:jc w:val="center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2015</w:t>
            </w:r>
          </w:p>
        </w:tc>
      </w:tr>
      <w:tr w:rsidR="00FA3CA6" w:rsidRPr="00054C8F" w:rsidTr="00050F21">
        <w:trPr>
          <w:trHeight w:val="363"/>
        </w:trPr>
        <w:tc>
          <w:tcPr>
            <w:tcW w:w="2349" w:type="pct"/>
            <w:vAlign w:val="center"/>
          </w:tcPr>
          <w:p w:rsidR="00FA3CA6" w:rsidRPr="00054C8F" w:rsidRDefault="00FA3CA6" w:rsidP="00050F21">
            <w:pPr>
              <w:pStyle w:val="a8"/>
              <w:widowControl w:val="0"/>
              <w:spacing w:line="240" w:lineRule="auto"/>
              <w:jc w:val="left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Бельгія</w:t>
            </w:r>
          </w:p>
        </w:tc>
        <w:tc>
          <w:tcPr>
            <w:tcW w:w="682" w:type="pct"/>
            <w:vAlign w:val="center"/>
          </w:tcPr>
          <w:p w:rsidR="00FA3CA6" w:rsidRPr="00054C8F" w:rsidRDefault="00FA3CA6" w:rsidP="00050F21">
            <w:pPr>
              <w:pStyle w:val="a8"/>
              <w:widowControl w:val="0"/>
              <w:spacing w:line="240" w:lineRule="auto"/>
              <w:jc w:val="center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29,7</w:t>
            </w:r>
          </w:p>
        </w:tc>
        <w:tc>
          <w:tcPr>
            <w:tcW w:w="532" w:type="pct"/>
            <w:vAlign w:val="center"/>
          </w:tcPr>
          <w:p w:rsidR="00FA3CA6" w:rsidRPr="00054C8F" w:rsidRDefault="00FA3CA6" w:rsidP="00050F21">
            <w:pPr>
              <w:pStyle w:val="a8"/>
              <w:widowControl w:val="0"/>
              <w:spacing w:line="240" w:lineRule="auto"/>
              <w:jc w:val="center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33,5</w:t>
            </w:r>
          </w:p>
        </w:tc>
        <w:tc>
          <w:tcPr>
            <w:tcW w:w="455" w:type="pct"/>
            <w:vAlign w:val="center"/>
          </w:tcPr>
          <w:p w:rsidR="00FA3CA6" w:rsidRPr="00054C8F" w:rsidRDefault="00FA3CA6" w:rsidP="00050F21">
            <w:pPr>
              <w:pStyle w:val="a8"/>
              <w:widowControl w:val="0"/>
              <w:spacing w:line="240" w:lineRule="auto"/>
              <w:jc w:val="center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36,6</w:t>
            </w:r>
          </w:p>
        </w:tc>
        <w:tc>
          <w:tcPr>
            <w:tcW w:w="982" w:type="pct"/>
            <w:vAlign w:val="center"/>
          </w:tcPr>
          <w:p w:rsidR="00FA3CA6" w:rsidRPr="00054C8F" w:rsidRDefault="00FA3CA6" w:rsidP="00050F21">
            <w:pPr>
              <w:widowControl w:val="0"/>
              <w:spacing w:line="240" w:lineRule="auto"/>
              <w:ind w:firstLine="0"/>
              <w:jc w:val="center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100,0%</w:t>
            </w:r>
          </w:p>
        </w:tc>
      </w:tr>
      <w:tr w:rsidR="00FA3CA6" w:rsidRPr="00054C8F" w:rsidTr="009F62C7">
        <w:trPr>
          <w:trHeight w:val="270"/>
        </w:trPr>
        <w:tc>
          <w:tcPr>
            <w:tcW w:w="2349" w:type="pct"/>
            <w:vAlign w:val="center"/>
          </w:tcPr>
          <w:p w:rsidR="00FA3CA6" w:rsidRPr="00054C8F" w:rsidRDefault="00FA3CA6" w:rsidP="00050F21">
            <w:pPr>
              <w:pStyle w:val="a8"/>
              <w:widowControl w:val="0"/>
              <w:spacing w:line="240" w:lineRule="auto"/>
              <w:ind w:hanging="120"/>
              <w:jc w:val="center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-  Фландрія</w:t>
            </w:r>
          </w:p>
        </w:tc>
        <w:tc>
          <w:tcPr>
            <w:tcW w:w="682" w:type="pct"/>
            <w:vAlign w:val="center"/>
          </w:tcPr>
          <w:p w:rsidR="00FA3CA6" w:rsidRPr="00054C8F" w:rsidRDefault="00FA3CA6" w:rsidP="00050F21">
            <w:pPr>
              <w:pStyle w:val="a8"/>
              <w:widowControl w:val="0"/>
              <w:spacing w:line="240" w:lineRule="auto"/>
              <w:jc w:val="center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29,5</w:t>
            </w:r>
          </w:p>
        </w:tc>
        <w:tc>
          <w:tcPr>
            <w:tcW w:w="532" w:type="pct"/>
            <w:vAlign w:val="center"/>
          </w:tcPr>
          <w:p w:rsidR="00FA3CA6" w:rsidRPr="00054C8F" w:rsidRDefault="00FA3CA6" w:rsidP="00050F21">
            <w:pPr>
              <w:pStyle w:val="a8"/>
              <w:widowControl w:val="0"/>
              <w:spacing w:line="240" w:lineRule="auto"/>
              <w:jc w:val="center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33,5</w:t>
            </w:r>
          </w:p>
        </w:tc>
        <w:tc>
          <w:tcPr>
            <w:tcW w:w="455" w:type="pct"/>
            <w:vAlign w:val="center"/>
          </w:tcPr>
          <w:p w:rsidR="00FA3CA6" w:rsidRPr="00054C8F" w:rsidRDefault="00FA3CA6" w:rsidP="00050F21">
            <w:pPr>
              <w:pStyle w:val="a8"/>
              <w:widowControl w:val="0"/>
              <w:spacing w:line="240" w:lineRule="auto"/>
              <w:jc w:val="center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37,3</w:t>
            </w:r>
          </w:p>
        </w:tc>
        <w:tc>
          <w:tcPr>
            <w:tcW w:w="982" w:type="pct"/>
            <w:vAlign w:val="center"/>
          </w:tcPr>
          <w:p w:rsidR="00FA3CA6" w:rsidRPr="00054C8F" w:rsidRDefault="00FA3CA6" w:rsidP="00050F21">
            <w:pPr>
              <w:widowControl w:val="0"/>
              <w:spacing w:line="240" w:lineRule="auto"/>
              <w:ind w:firstLine="0"/>
              <w:jc w:val="center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101,9%</w:t>
            </w:r>
          </w:p>
        </w:tc>
      </w:tr>
      <w:tr w:rsidR="00FA3CA6" w:rsidRPr="00054C8F" w:rsidTr="009F62C7">
        <w:trPr>
          <w:trHeight w:val="217"/>
        </w:trPr>
        <w:tc>
          <w:tcPr>
            <w:tcW w:w="2349" w:type="pct"/>
            <w:vAlign w:val="center"/>
          </w:tcPr>
          <w:p w:rsidR="00FA3CA6" w:rsidRPr="00054C8F" w:rsidRDefault="00FA3CA6" w:rsidP="00050F21">
            <w:pPr>
              <w:pStyle w:val="a8"/>
              <w:widowControl w:val="0"/>
              <w:spacing w:line="240" w:lineRule="auto"/>
              <w:ind w:hanging="120"/>
              <w:jc w:val="center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-  Валлонія</w:t>
            </w:r>
          </w:p>
        </w:tc>
        <w:tc>
          <w:tcPr>
            <w:tcW w:w="682" w:type="pct"/>
            <w:vAlign w:val="center"/>
          </w:tcPr>
          <w:p w:rsidR="00FA3CA6" w:rsidRPr="00054C8F" w:rsidRDefault="00FA3CA6" w:rsidP="00050F21">
            <w:pPr>
              <w:pStyle w:val="a8"/>
              <w:widowControl w:val="0"/>
              <w:spacing w:line="240" w:lineRule="auto"/>
              <w:jc w:val="center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21,5</w:t>
            </w:r>
          </w:p>
        </w:tc>
        <w:tc>
          <w:tcPr>
            <w:tcW w:w="532" w:type="pct"/>
            <w:vAlign w:val="center"/>
          </w:tcPr>
          <w:p w:rsidR="00FA3CA6" w:rsidRPr="00054C8F" w:rsidRDefault="00FA3CA6" w:rsidP="00050F21">
            <w:pPr>
              <w:pStyle w:val="a8"/>
              <w:widowControl w:val="0"/>
              <w:spacing w:line="240" w:lineRule="auto"/>
              <w:jc w:val="center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24,8</w:t>
            </w:r>
          </w:p>
        </w:tc>
        <w:tc>
          <w:tcPr>
            <w:tcW w:w="455" w:type="pct"/>
            <w:vAlign w:val="center"/>
          </w:tcPr>
          <w:p w:rsidR="00FA3CA6" w:rsidRPr="00054C8F" w:rsidRDefault="00FA3CA6" w:rsidP="00050F21">
            <w:pPr>
              <w:pStyle w:val="a8"/>
              <w:widowControl w:val="0"/>
              <w:spacing w:line="240" w:lineRule="auto"/>
              <w:jc w:val="center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26,4</w:t>
            </w:r>
          </w:p>
        </w:tc>
        <w:tc>
          <w:tcPr>
            <w:tcW w:w="982" w:type="pct"/>
            <w:vAlign w:val="center"/>
          </w:tcPr>
          <w:p w:rsidR="00FA3CA6" w:rsidRPr="00054C8F" w:rsidRDefault="00FA3CA6" w:rsidP="00050F21">
            <w:pPr>
              <w:widowControl w:val="0"/>
              <w:spacing w:line="240" w:lineRule="auto"/>
              <w:ind w:firstLine="0"/>
              <w:jc w:val="center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72,1%</w:t>
            </w:r>
          </w:p>
        </w:tc>
      </w:tr>
      <w:tr w:rsidR="00FA3CA6" w:rsidRPr="00054C8F" w:rsidTr="009F62C7">
        <w:trPr>
          <w:trHeight w:val="321"/>
        </w:trPr>
        <w:tc>
          <w:tcPr>
            <w:tcW w:w="2349" w:type="pct"/>
            <w:vAlign w:val="center"/>
          </w:tcPr>
          <w:p w:rsidR="00FA3CA6" w:rsidRPr="00054C8F" w:rsidRDefault="00FA3CA6" w:rsidP="00050F21">
            <w:pPr>
              <w:pStyle w:val="a8"/>
              <w:widowControl w:val="0"/>
              <w:spacing w:line="240" w:lineRule="auto"/>
              <w:ind w:hanging="120"/>
              <w:jc w:val="center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-  Брюссель</w:t>
            </w:r>
          </w:p>
        </w:tc>
        <w:tc>
          <w:tcPr>
            <w:tcW w:w="682" w:type="pct"/>
            <w:vAlign w:val="center"/>
          </w:tcPr>
          <w:p w:rsidR="00FA3CA6" w:rsidRPr="00054C8F" w:rsidRDefault="00FA3CA6" w:rsidP="00050F21">
            <w:pPr>
              <w:pStyle w:val="a8"/>
              <w:widowControl w:val="0"/>
              <w:spacing w:line="240" w:lineRule="auto"/>
              <w:jc w:val="center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58,7</w:t>
            </w:r>
          </w:p>
        </w:tc>
        <w:tc>
          <w:tcPr>
            <w:tcW w:w="532" w:type="pct"/>
            <w:vAlign w:val="center"/>
          </w:tcPr>
          <w:p w:rsidR="00FA3CA6" w:rsidRPr="00054C8F" w:rsidRDefault="00FA3CA6" w:rsidP="00050F21">
            <w:pPr>
              <w:pStyle w:val="a8"/>
              <w:widowControl w:val="0"/>
              <w:spacing w:line="240" w:lineRule="auto"/>
              <w:jc w:val="center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61,4</w:t>
            </w:r>
          </w:p>
        </w:tc>
        <w:tc>
          <w:tcPr>
            <w:tcW w:w="455" w:type="pct"/>
            <w:vAlign w:val="center"/>
          </w:tcPr>
          <w:p w:rsidR="00FA3CA6" w:rsidRPr="00054C8F" w:rsidRDefault="00FA3CA6" w:rsidP="00050F21">
            <w:pPr>
              <w:pStyle w:val="a8"/>
              <w:widowControl w:val="0"/>
              <w:spacing w:line="240" w:lineRule="auto"/>
              <w:jc w:val="center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63,3</w:t>
            </w:r>
          </w:p>
        </w:tc>
        <w:tc>
          <w:tcPr>
            <w:tcW w:w="982" w:type="pct"/>
            <w:vAlign w:val="center"/>
          </w:tcPr>
          <w:p w:rsidR="00FA3CA6" w:rsidRPr="00054C8F" w:rsidRDefault="00FA3CA6" w:rsidP="00050F21">
            <w:pPr>
              <w:widowControl w:val="0"/>
              <w:spacing w:line="240" w:lineRule="auto"/>
              <w:ind w:firstLine="0"/>
              <w:jc w:val="center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173,0%</w:t>
            </w:r>
          </w:p>
        </w:tc>
      </w:tr>
      <w:tr w:rsidR="00FA3CA6" w:rsidRPr="00054C8F" w:rsidTr="009F62C7">
        <w:trPr>
          <w:trHeight w:val="270"/>
        </w:trPr>
        <w:tc>
          <w:tcPr>
            <w:tcW w:w="2349" w:type="pct"/>
            <w:vAlign w:val="center"/>
          </w:tcPr>
          <w:p w:rsidR="00FA3CA6" w:rsidRPr="00054C8F" w:rsidRDefault="00FA3CA6" w:rsidP="00050F21">
            <w:pPr>
              <w:pStyle w:val="a8"/>
              <w:widowControl w:val="0"/>
              <w:spacing w:line="240" w:lineRule="auto"/>
              <w:jc w:val="left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Іспанія</w:t>
            </w:r>
          </w:p>
        </w:tc>
        <w:tc>
          <w:tcPr>
            <w:tcW w:w="682" w:type="pct"/>
            <w:vAlign w:val="center"/>
          </w:tcPr>
          <w:p w:rsidR="00FA3CA6" w:rsidRPr="00054C8F" w:rsidRDefault="00FA3CA6" w:rsidP="00050F21">
            <w:pPr>
              <w:pStyle w:val="a8"/>
              <w:widowControl w:val="0"/>
              <w:spacing w:line="240" w:lineRule="auto"/>
              <w:jc w:val="center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21,3</w:t>
            </w:r>
          </w:p>
        </w:tc>
        <w:tc>
          <w:tcPr>
            <w:tcW w:w="532" w:type="pct"/>
            <w:vAlign w:val="center"/>
          </w:tcPr>
          <w:p w:rsidR="00FA3CA6" w:rsidRPr="00054C8F" w:rsidRDefault="00FA3CA6" w:rsidP="00050F21">
            <w:pPr>
              <w:pStyle w:val="a8"/>
              <w:widowControl w:val="0"/>
              <w:spacing w:line="240" w:lineRule="auto"/>
              <w:jc w:val="center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23,2</w:t>
            </w:r>
          </w:p>
        </w:tc>
        <w:tc>
          <w:tcPr>
            <w:tcW w:w="455" w:type="pct"/>
            <w:vAlign w:val="center"/>
          </w:tcPr>
          <w:p w:rsidR="00FA3CA6" w:rsidRPr="00054C8F" w:rsidRDefault="00FA3CA6" w:rsidP="00050F21">
            <w:pPr>
              <w:pStyle w:val="a8"/>
              <w:widowControl w:val="0"/>
              <w:spacing w:line="240" w:lineRule="auto"/>
              <w:jc w:val="center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23,2</w:t>
            </w:r>
          </w:p>
        </w:tc>
        <w:tc>
          <w:tcPr>
            <w:tcW w:w="982" w:type="pct"/>
            <w:vAlign w:val="center"/>
          </w:tcPr>
          <w:p w:rsidR="00FA3CA6" w:rsidRPr="00054C8F" w:rsidRDefault="00FA3CA6" w:rsidP="00050F21">
            <w:pPr>
              <w:widowControl w:val="0"/>
              <w:spacing w:line="240" w:lineRule="auto"/>
              <w:ind w:firstLine="0"/>
              <w:jc w:val="center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100,0%</w:t>
            </w:r>
          </w:p>
        </w:tc>
      </w:tr>
      <w:tr w:rsidR="00FA3CA6" w:rsidRPr="00054C8F" w:rsidTr="009F62C7">
        <w:trPr>
          <w:trHeight w:val="373"/>
        </w:trPr>
        <w:tc>
          <w:tcPr>
            <w:tcW w:w="2349" w:type="pct"/>
            <w:vAlign w:val="center"/>
          </w:tcPr>
          <w:p w:rsidR="00FA3CA6" w:rsidRPr="00054C8F" w:rsidRDefault="00FA3CA6" w:rsidP="00050F21">
            <w:pPr>
              <w:pStyle w:val="a8"/>
              <w:widowControl w:val="0"/>
              <w:spacing w:line="240" w:lineRule="auto"/>
              <w:ind w:hanging="120"/>
              <w:jc w:val="center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-  Країна Басків</w:t>
            </w:r>
          </w:p>
        </w:tc>
        <w:tc>
          <w:tcPr>
            <w:tcW w:w="682" w:type="pct"/>
            <w:vAlign w:val="center"/>
          </w:tcPr>
          <w:p w:rsidR="00FA3CA6" w:rsidRPr="00054C8F" w:rsidRDefault="00FA3CA6" w:rsidP="00050F21">
            <w:pPr>
              <w:pStyle w:val="a8"/>
              <w:widowControl w:val="0"/>
              <w:spacing w:line="240" w:lineRule="auto"/>
              <w:jc w:val="center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26,5</w:t>
            </w:r>
          </w:p>
        </w:tc>
        <w:tc>
          <w:tcPr>
            <w:tcW w:w="532" w:type="pct"/>
            <w:vAlign w:val="center"/>
          </w:tcPr>
          <w:p w:rsidR="00FA3CA6" w:rsidRPr="00054C8F" w:rsidRDefault="00FA3CA6" w:rsidP="00050F21">
            <w:pPr>
              <w:pStyle w:val="a8"/>
              <w:widowControl w:val="0"/>
              <w:spacing w:line="240" w:lineRule="auto"/>
              <w:jc w:val="center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30,1</w:t>
            </w:r>
          </w:p>
        </w:tc>
        <w:tc>
          <w:tcPr>
            <w:tcW w:w="455" w:type="pct"/>
            <w:vAlign w:val="center"/>
          </w:tcPr>
          <w:p w:rsidR="00FA3CA6" w:rsidRPr="00054C8F" w:rsidRDefault="00FA3CA6" w:rsidP="00050F21">
            <w:pPr>
              <w:pStyle w:val="a8"/>
              <w:widowControl w:val="0"/>
              <w:spacing w:line="240" w:lineRule="auto"/>
              <w:jc w:val="center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30,8</w:t>
            </w:r>
          </w:p>
        </w:tc>
        <w:tc>
          <w:tcPr>
            <w:tcW w:w="982" w:type="pct"/>
            <w:vAlign w:val="center"/>
          </w:tcPr>
          <w:p w:rsidR="00FA3CA6" w:rsidRPr="00054C8F" w:rsidRDefault="00FA3CA6" w:rsidP="00050F21">
            <w:pPr>
              <w:widowControl w:val="0"/>
              <w:spacing w:line="240" w:lineRule="auto"/>
              <w:ind w:firstLine="0"/>
              <w:jc w:val="center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132,8%</w:t>
            </w:r>
          </w:p>
        </w:tc>
      </w:tr>
      <w:tr w:rsidR="00FA3CA6" w:rsidRPr="00054C8F" w:rsidTr="009F62C7">
        <w:trPr>
          <w:trHeight w:val="266"/>
        </w:trPr>
        <w:tc>
          <w:tcPr>
            <w:tcW w:w="2349" w:type="pct"/>
            <w:vAlign w:val="center"/>
          </w:tcPr>
          <w:p w:rsidR="00FA3CA6" w:rsidRPr="00054C8F" w:rsidRDefault="00FA3CA6" w:rsidP="00050F21">
            <w:pPr>
              <w:pStyle w:val="a8"/>
              <w:widowControl w:val="0"/>
              <w:spacing w:line="240" w:lineRule="auto"/>
              <w:ind w:hanging="120"/>
              <w:jc w:val="center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-  Каталонія</w:t>
            </w:r>
          </w:p>
        </w:tc>
        <w:tc>
          <w:tcPr>
            <w:tcW w:w="682" w:type="pct"/>
            <w:vAlign w:val="center"/>
          </w:tcPr>
          <w:p w:rsidR="00FA3CA6" w:rsidRPr="00054C8F" w:rsidRDefault="00FA3CA6" w:rsidP="00050F21">
            <w:pPr>
              <w:pStyle w:val="a8"/>
              <w:widowControl w:val="0"/>
              <w:spacing w:line="240" w:lineRule="auto"/>
              <w:jc w:val="center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25,2</w:t>
            </w:r>
          </w:p>
        </w:tc>
        <w:tc>
          <w:tcPr>
            <w:tcW w:w="532" w:type="pct"/>
            <w:vAlign w:val="center"/>
          </w:tcPr>
          <w:p w:rsidR="00FA3CA6" w:rsidRPr="00054C8F" w:rsidRDefault="00FA3CA6" w:rsidP="00050F21">
            <w:pPr>
              <w:pStyle w:val="a8"/>
              <w:widowControl w:val="0"/>
              <w:spacing w:line="240" w:lineRule="auto"/>
              <w:jc w:val="center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27,2</w:t>
            </w:r>
          </w:p>
        </w:tc>
        <w:tc>
          <w:tcPr>
            <w:tcW w:w="455" w:type="pct"/>
            <w:vAlign w:val="center"/>
          </w:tcPr>
          <w:p w:rsidR="00FA3CA6" w:rsidRPr="00054C8F" w:rsidRDefault="00FA3CA6" w:rsidP="00050F21">
            <w:pPr>
              <w:pStyle w:val="a8"/>
              <w:widowControl w:val="0"/>
              <w:spacing w:line="240" w:lineRule="auto"/>
              <w:jc w:val="center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27,6</w:t>
            </w:r>
          </w:p>
        </w:tc>
        <w:tc>
          <w:tcPr>
            <w:tcW w:w="982" w:type="pct"/>
            <w:vAlign w:val="center"/>
          </w:tcPr>
          <w:p w:rsidR="00FA3CA6" w:rsidRPr="00054C8F" w:rsidRDefault="00FA3CA6" w:rsidP="00050F21">
            <w:pPr>
              <w:widowControl w:val="0"/>
              <w:spacing w:line="240" w:lineRule="auto"/>
              <w:ind w:firstLine="0"/>
              <w:jc w:val="center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119,0%</w:t>
            </w:r>
          </w:p>
        </w:tc>
      </w:tr>
      <w:tr w:rsidR="00FA3CA6" w:rsidRPr="00054C8F" w:rsidTr="009F62C7">
        <w:trPr>
          <w:trHeight w:val="355"/>
        </w:trPr>
        <w:tc>
          <w:tcPr>
            <w:tcW w:w="2349" w:type="pct"/>
            <w:vAlign w:val="center"/>
          </w:tcPr>
          <w:p w:rsidR="00FA3CA6" w:rsidRPr="00054C8F" w:rsidRDefault="00FA3CA6" w:rsidP="009F62C7">
            <w:pPr>
              <w:pStyle w:val="a8"/>
              <w:widowControl w:val="0"/>
              <w:spacing w:line="240" w:lineRule="auto"/>
              <w:ind w:hanging="120"/>
              <w:jc w:val="center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-  Середнє для 12 регіонів Іспанії</w:t>
            </w:r>
          </w:p>
        </w:tc>
        <w:tc>
          <w:tcPr>
            <w:tcW w:w="682" w:type="pct"/>
            <w:vAlign w:val="center"/>
          </w:tcPr>
          <w:p w:rsidR="00FA3CA6" w:rsidRPr="00054C8F" w:rsidRDefault="00FA3CA6" w:rsidP="00050F21">
            <w:pPr>
              <w:pStyle w:val="a8"/>
              <w:widowControl w:val="0"/>
              <w:spacing w:line="240" w:lineRule="auto"/>
              <w:jc w:val="center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22</w:t>
            </w:r>
          </w:p>
        </w:tc>
        <w:tc>
          <w:tcPr>
            <w:tcW w:w="532" w:type="pct"/>
            <w:vAlign w:val="center"/>
          </w:tcPr>
          <w:p w:rsidR="00FA3CA6" w:rsidRPr="00054C8F" w:rsidRDefault="00FA3CA6" w:rsidP="00050F21">
            <w:pPr>
              <w:pStyle w:val="a8"/>
              <w:widowControl w:val="0"/>
              <w:spacing w:line="240" w:lineRule="auto"/>
              <w:jc w:val="center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23,9</w:t>
            </w:r>
          </w:p>
        </w:tc>
        <w:tc>
          <w:tcPr>
            <w:tcW w:w="455" w:type="pct"/>
            <w:vAlign w:val="center"/>
          </w:tcPr>
          <w:p w:rsidR="00FA3CA6" w:rsidRPr="00054C8F" w:rsidRDefault="00FA3CA6" w:rsidP="00050F21">
            <w:pPr>
              <w:pStyle w:val="a8"/>
              <w:widowControl w:val="0"/>
              <w:spacing w:line="240" w:lineRule="auto"/>
              <w:jc w:val="center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23,8</w:t>
            </w:r>
          </w:p>
        </w:tc>
        <w:tc>
          <w:tcPr>
            <w:tcW w:w="982" w:type="pct"/>
            <w:vAlign w:val="center"/>
          </w:tcPr>
          <w:p w:rsidR="00FA3CA6" w:rsidRPr="00054C8F" w:rsidRDefault="00FA3CA6" w:rsidP="00050F21">
            <w:pPr>
              <w:widowControl w:val="0"/>
              <w:spacing w:line="240" w:lineRule="auto"/>
              <w:ind w:firstLine="0"/>
              <w:jc w:val="center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102,6%</w:t>
            </w:r>
          </w:p>
        </w:tc>
      </w:tr>
      <w:tr w:rsidR="00FA3CA6" w:rsidRPr="00054C8F" w:rsidTr="009F62C7">
        <w:trPr>
          <w:trHeight w:val="266"/>
        </w:trPr>
        <w:tc>
          <w:tcPr>
            <w:tcW w:w="2349" w:type="pct"/>
            <w:vAlign w:val="center"/>
          </w:tcPr>
          <w:p w:rsidR="00FA3CA6" w:rsidRPr="00054C8F" w:rsidRDefault="00FA3CA6" w:rsidP="00050F21">
            <w:pPr>
              <w:pStyle w:val="a8"/>
              <w:widowControl w:val="0"/>
              <w:spacing w:line="240" w:lineRule="auto"/>
              <w:jc w:val="left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Італія</w:t>
            </w:r>
          </w:p>
        </w:tc>
        <w:tc>
          <w:tcPr>
            <w:tcW w:w="682" w:type="pct"/>
            <w:vAlign w:val="center"/>
          </w:tcPr>
          <w:p w:rsidR="00FA3CA6" w:rsidRPr="00054C8F" w:rsidRDefault="00FA3CA6" w:rsidP="00050F21">
            <w:pPr>
              <w:pStyle w:val="a8"/>
              <w:widowControl w:val="0"/>
              <w:spacing w:line="240" w:lineRule="auto"/>
              <w:jc w:val="center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25,6</w:t>
            </w:r>
          </w:p>
        </w:tc>
        <w:tc>
          <w:tcPr>
            <w:tcW w:w="532" w:type="pct"/>
            <w:vAlign w:val="center"/>
          </w:tcPr>
          <w:p w:rsidR="00FA3CA6" w:rsidRPr="00054C8F" w:rsidRDefault="00FA3CA6" w:rsidP="00050F21">
            <w:pPr>
              <w:pStyle w:val="a8"/>
              <w:widowControl w:val="0"/>
              <w:spacing w:line="240" w:lineRule="auto"/>
              <w:jc w:val="center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26,8</w:t>
            </w:r>
          </w:p>
        </w:tc>
        <w:tc>
          <w:tcPr>
            <w:tcW w:w="455" w:type="pct"/>
            <w:vAlign w:val="center"/>
          </w:tcPr>
          <w:p w:rsidR="00FA3CA6" w:rsidRPr="00054C8F" w:rsidRDefault="00FA3CA6" w:rsidP="00050F21">
            <w:pPr>
              <w:pStyle w:val="a8"/>
              <w:widowControl w:val="0"/>
              <w:spacing w:line="240" w:lineRule="auto"/>
              <w:jc w:val="center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27,1</w:t>
            </w:r>
          </w:p>
        </w:tc>
        <w:tc>
          <w:tcPr>
            <w:tcW w:w="982" w:type="pct"/>
            <w:vAlign w:val="center"/>
          </w:tcPr>
          <w:p w:rsidR="00FA3CA6" w:rsidRPr="00054C8F" w:rsidRDefault="00FA3CA6" w:rsidP="00050F21">
            <w:pPr>
              <w:widowControl w:val="0"/>
              <w:spacing w:line="240" w:lineRule="auto"/>
              <w:ind w:firstLine="0"/>
              <w:jc w:val="center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100,0%</w:t>
            </w:r>
          </w:p>
        </w:tc>
      </w:tr>
      <w:tr w:rsidR="00FA3CA6" w:rsidRPr="00054C8F" w:rsidTr="009F62C7">
        <w:trPr>
          <w:trHeight w:val="213"/>
        </w:trPr>
        <w:tc>
          <w:tcPr>
            <w:tcW w:w="2349" w:type="pct"/>
            <w:vAlign w:val="center"/>
          </w:tcPr>
          <w:p w:rsidR="00FA3CA6" w:rsidRPr="00054C8F" w:rsidRDefault="00FA3CA6" w:rsidP="00050F21">
            <w:pPr>
              <w:pStyle w:val="a8"/>
              <w:widowControl w:val="0"/>
              <w:spacing w:line="240" w:lineRule="auto"/>
              <w:jc w:val="center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-  Ломбардія</w:t>
            </w:r>
          </w:p>
        </w:tc>
        <w:tc>
          <w:tcPr>
            <w:tcW w:w="682" w:type="pct"/>
            <w:vAlign w:val="center"/>
          </w:tcPr>
          <w:p w:rsidR="00FA3CA6" w:rsidRPr="00054C8F" w:rsidRDefault="00FA3CA6" w:rsidP="00050F21">
            <w:pPr>
              <w:pStyle w:val="a8"/>
              <w:widowControl w:val="0"/>
              <w:spacing w:line="240" w:lineRule="auto"/>
              <w:jc w:val="center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33,2</w:t>
            </w:r>
          </w:p>
        </w:tc>
        <w:tc>
          <w:tcPr>
            <w:tcW w:w="532" w:type="pct"/>
            <w:vAlign w:val="center"/>
          </w:tcPr>
          <w:p w:rsidR="00FA3CA6" w:rsidRPr="00054C8F" w:rsidRDefault="00FA3CA6" w:rsidP="00050F21">
            <w:pPr>
              <w:pStyle w:val="a8"/>
              <w:widowControl w:val="0"/>
              <w:spacing w:line="240" w:lineRule="auto"/>
              <w:jc w:val="center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35,6</w:t>
            </w:r>
          </w:p>
        </w:tc>
        <w:tc>
          <w:tcPr>
            <w:tcW w:w="455" w:type="pct"/>
            <w:vAlign w:val="center"/>
          </w:tcPr>
          <w:p w:rsidR="00FA3CA6" w:rsidRPr="00054C8F" w:rsidRDefault="00FA3CA6" w:rsidP="00050F21">
            <w:pPr>
              <w:pStyle w:val="a8"/>
              <w:widowControl w:val="0"/>
              <w:spacing w:line="240" w:lineRule="auto"/>
              <w:jc w:val="center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35,7</w:t>
            </w:r>
          </w:p>
        </w:tc>
        <w:tc>
          <w:tcPr>
            <w:tcW w:w="982" w:type="pct"/>
            <w:vAlign w:val="center"/>
          </w:tcPr>
          <w:p w:rsidR="00FA3CA6" w:rsidRPr="00054C8F" w:rsidRDefault="00FA3CA6" w:rsidP="00050F21">
            <w:pPr>
              <w:widowControl w:val="0"/>
              <w:spacing w:line="240" w:lineRule="auto"/>
              <w:ind w:firstLine="0"/>
              <w:jc w:val="center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131,7%</w:t>
            </w:r>
          </w:p>
        </w:tc>
      </w:tr>
      <w:tr w:rsidR="00FA3CA6" w:rsidRPr="00054C8F" w:rsidTr="009F62C7">
        <w:trPr>
          <w:trHeight w:val="313"/>
        </w:trPr>
        <w:tc>
          <w:tcPr>
            <w:tcW w:w="2349" w:type="pct"/>
            <w:vAlign w:val="center"/>
          </w:tcPr>
          <w:p w:rsidR="00FA3CA6" w:rsidRPr="00054C8F" w:rsidRDefault="00FA3CA6" w:rsidP="00050F21">
            <w:pPr>
              <w:pStyle w:val="a8"/>
              <w:widowControl w:val="0"/>
              <w:spacing w:line="240" w:lineRule="auto"/>
              <w:jc w:val="center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 xml:space="preserve">-  </w:t>
            </w:r>
            <w:proofErr w:type="spellStart"/>
            <w:r w:rsidRPr="00054C8F">
              <w:rPr>
                <w:sz w:val="26"/>
                <w:szCs w:val="26"/>
              </w:rPr>
              <w:t>Венето</w:t>
            </w:r>
            <w:proofErr w:type="spellEnd"/>
          </w:p>
        </w:tc>
        <w:tc>
          <w:tcPr>
            <w:tcW w:w="682" w:type="pct"/>
            <w:vAlign w:val="center"/>
          </w:tcPr>
          <w:p w:rsidR="00FA3CA6" w:rsidRPr="00054C8F" w:rsidRDefault="00FA3CA6" w:rsidP="00050F21">
            <w:pPr>
              <w:pStyle w:val="a8"/>
              <w:widowControl w:val="0"/>
              <w:spacing w:line="240" w:lineRule="auto"/>
              <w:jc w:val="center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29</w:t>
            </w:r>
          </w:p>
        </w:tc>
        <w:tc>
          <w:tcPr>
            <w:tcW w:w="532" w:type="pct"/>
            <w:vAlign w:val="center"/>
          </w:tcPr>
          <w:p w:rsidR="00FA3CA6" w:rsidRPr="00054C8F" w:rsidRDefault="00FA3CA6" w:rsidP="00050F21">
            <w:pPr>
              <w:pStyle w:val="a8"/>
              <w:widowControl w:val="0"/>
              <w:spacing w:line="240" w:lineRule="auto"/>
              <w:jc w:val="center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29,7</w:t>
            </w:r>
          </w:p>
        </w:tc>
        <w:tc>
          <w:tcPr>
            <w:tcW w:w="455" w:type="pct"/>
            <w:vAlign w:val="center"/>
          </w:tcPr>
          <w:p w:rsidR="00FA3CA6" w:rsidRPr="00054C8F" w:rsidRDefault="00FA3CA6" w:rsidP="00050F21">
            <w:pPr>
              <w:pStyle w:val="a8"/>
              <w:widowControl w:val="0"/>
              <w:spacing w:line="240" w:lineRule="auto"/>
              <w:jc w:val="center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30,8</w:t>
            </w:r>
          </w:p>
        </w:tc>
        <w:tc>
          <w:tcPr>
            <w:tcW w:w="982" w:type="pct"/>
            <w:vAlign w:val="center"/>
          </w:tcPr>
          <w:p w:rsidR="00FA3CA6" w:rsidRPr="00054C8F" w:rsidRDefault="00FA3CA6" w:rsidP="00050F21">
            <w:pPr>
              <w:widowControl w:val="0"/>
              <w:spacing w:line="240" w:lineRule="auto"/>
              <w:ind w:firstLine="0"/>
              <w:jc w:val="center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113,7%</w:t>
            </w:r>
          </w:p>
        </w:tc>
      </w:tr>
      <w:tr w:rsidR="00FA3CA6" w:rsidRPr="00054C8F" w:rsidTr="009F62C7">
        <w:trPr>
          <w:trHeight w:val="276"/>
        </w:trPr>
        <w:tc>
          <w:tcPr>
            <w:tcW w:w="2349" w:type="pct"/>
            <w:vAlign w:val="center"/>
          </w:tcPr>
          <w:p w:rsidR="00FA3CA6" w:rsidRPr="00054C8F" w:rsidRDefault="00FA3CA6" w:rsidP="009F62C7">
            <w:pPr>
              <w:pStyle w:val="a8"/>
              <w:widowControl w:val="0"/>
              <w:spacing w:line="240" w:lineRule="auto"/>
              <w:jc w:val="center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-  Середнє для 12 регіонів Італії</w:t>
            </w:r>
          </w:p>
        </w:tc>
        <w:tc>
          <w:tcPr>
            <w:tcW w:w="682" w:type="pct"/>
            <w:vAlign w:val="center"/>
          </w:tcPr>
          <w:p w:rsidR="00FA3CA6" w:rsidRPr="00054C8F" w:rsidRDefault="00FA3CA6" w:rsidP="00050F21">
            <w:pPr>
              <w:pStyle w:val="a8"/>
              <w:widowControl w:val="0"/>
              <w:spacing w:line="240" w:lineRule="auto"/>
              <w:jc w:val="center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28,2</w:t>
            </w:r>
          </w:p>
        </w:tc>
        <w:tc>
          <w:tcPr>
            <w:tcW w:w="532" w:type="pct"/>
            <w:vAlign w:val="center"/>
          </w:tcPr>
          <w:p w:rsidR="00FA3CA6" w:rsidRPr="00054C8F" w:rsidRDefault="00FA3CA6" w:rsidP="00050F21">
            <w:pPr>
              <w:pStyle w:val="a8"/>
              <w:widowControl w:val="0"/>
              <w:spacing w:line="240" w:lineRule="auto"/>
              <w:jc w:val="center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29,6</w:t>
            </w:r>
          </w:p>
        </w:tc>
        <w:tc>
          <w:tcPr>
            <w:tcW w:w="455" w:type="pct"/>
            <w:vAlign w:val="center"/>
          </w:tcPr>
          <w:p w:rsidR="00FA3CA6" w:rsidRPr="00054C8F" w:rsidRDefault="00FA3CA6" w:rsidP="00050F21">
            <w:pPr>
              <w:pStyle w:val="a8"/>
              <w:widowControl w:val="0"/>
              <w:spacing w:line="240" w:lineRule="auto"/>
              <w:jc w:val="center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30,23</w:t>
            </w:r>
          </w:p>
        </w:tc>
        <w:tc>
          <w:tcPr>
            <w:tcW w:w="982" w:type="pct"/>
            <w:vAlign w:val="center"/>
          </w:tcPr>
          <w:p w:rsidR="00FA3CA6" w:rsidRPr="00054C8F" w:rsidRDefault="00FA3CA6" w:rsidP="00050F21">
            <w:pPr>
              <w:widowControl w:val="0"/>
              <w:spacing w:line="240" w:lineRule="auto"/>
              <w:ind w:firstLine="0"/>
              <w:jc w:val="center"/>
              <w:rPr>
                <w:sz w:val="26"/>
                <w:szCs w:val="26"/>
              </w:rPr>
            </w:pPr>
            <w:r w:rsidRPr="00054C8F">
              <w:rPr>
                <w:sz w:val="26"/>
                <w:szCs w:val="26"/>
              </w:rPr>
              <w:t>111,5%</w:t>
            </w:r>
          </w:p>
        </w:tc>
      </w:tr>
    </w:tbl>
    <w:p w:rsidR="00FA3CA6" w:rsidRPr="009F62C7" w:rsidRDefault="00FA3CA6" w:rsidP="00FA3CA6">
      <w:pPr>
        <w:widowControl w:val="0"/>
        <w:rPr>
          <w:sz w:val="28"/>
          <w:szCs w:val="28"/>
        </w:rPr>
      </w:pPr>
      <w:r w:rsidRPr="009F62C7">
        <w:rPr>
          <w:sz w:val="28"/>
          <w:szCs w:val="28"/>
        </w:rPr>
        <w:t xml:space="preserve">Багаті регіони Італії, Іспанії та Бельгії мають більш високий рівень ВВП </w:t>
      </w:r>
      <w:r w:rsidRPr="009F62C7">
        <w:rPr>
          <w:sz w:val="28"/>
          <w:szCs w:val="28"/>
        </w:rPr>
        <w:lastRenderedPageBreak/>
        <w:t>на душу населення пор</w:t>
      </w:r>
      <w:r w:rsidR="00210AC4">
        <w:rPr>
          <w:sz w:val="28"/>
          <w:szCs w:val="28"/>
        </w:rPr>
        <w:t>івняно з середнім по ЄС (рис.</w:t>
      </w:r>
      <w:r w:rsidRPr="009F62C7">
        <w:rPr>
          <w:sz w:val="28"/>
          <w:szCs w:val="28"/>
        </w:rPr>
        <w:t>2).</w:t>
      </w:r>
    </w:p>
    <w:p w:rsidR="00FA3CA6" w:rsidRDefault="00FA3CA6" w:rsidP="009F62C7">
      <w:pPr>
        <w:pStyle w:val="a8"/>
        <w:widowControl w:val="0"/>
        <w:jc w:val="center"/>
      </w:pPr>
      <w:r w:rsidRPr="009F62C7">
        <w:rPr>
          <w:noProof/>
          <w:sz w:val="28"/>
          <w:szCs w:val="28"/>
          <w:lang w:val="ru-RU" w:eastAsia="ru-RU"/>
        </w:rPr>
        <w:drawing>
          <wp:inline distT="0" distB="0" distL="0" distR="0" wp14:anchorId="11F3F3F2" wp14:editId="56E24C2D">
            <wp:extent cx="5936776" cy="2538483"/>
            <wp:effectExtent l="0" t="0" r="6985" b="0"/>
            <wp:docPr id="2" name="Диаграмма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FA3CA6" w:rsidRPr="00210AC4" w:rsidRDefault="00BE11AE" w:rsidP="00BE11AE">
      <w:pPr>
        <w:pStyle w:val="a8"/>
        <w:widowControl w:val="0"/>
        <w:jc w:val="center"/>
        <w:rPr>
          <w:b/>
          <w:sz w:val="28"/>
          <w:szCs w:val="28"/>
          <w:lang w:val="ru-RU"/>
        </w:rPr>
      </w:pPr>
      <w:r w:rsidRPr="00BE11AE">
        <w:rPr>
          <w:b/>
          <w:i/>
          <w:sz w:val="28"/>
          <w:szCs w:val="28"/>
        </w:rPr>
        <w:t xml:space="preserve">Рис. </w:t>
      </w:r>
      <w:r w:rsidR="00FA3CA6" w:rsidRPr="00BE11AE">
        <w:rPr>
          <w:b/>
          <w:i/>
          <w:sz w:val="28"/>
          <w:szCs w:val="28"/>
        </w:rPr>
        <w:t>2</w:t>
      </w:r>
      <w:r w:rsidRPr="00BE11AE">
        <w:rPr>
          <w:b/>
          <w:i/>
          <w:sz w:val="28"/>
          <w:szCs w:val="28"/>
        </w:rPr>
        <w:t>.</w:t>
      </w:r>
      <w:r w:rsidR="00FA3CA6" w:rsidRPr="00BE11AE">
        <w:rPr>
          <w:b/>
          <w:sz w:val="28"/>
          <w:szCs w:val="28"/>
        </w:rPr>
        <w:t xml:space="preserve"> ВВП на душу населення країн та регіонів у % до середнього по ЄС28 у 2015 р. (паритет купівельної спроможності, ЄС28 – 100%) </w:t>
      </w:r>
      <w:r w:rsidR="00210AC4" w:rsidRPr="00210AC4">
        <w:rPr>
          <w:b/>
          <w:sz w:val="28"/>
          <w:szCs w:val="28"/>
          <w:lang w:val="ru-RU"/>
        </w:rPr>
        <w:t xml:space="preserve"> [3]</w:t>
      </w:r>
    </w:p>
    <w:p w:rsidR="00FA3CA6" w:rsidRPr="009F62C7" w:rsidRDefault="00FA3CA6" w:rsidP="00FA3CA6">
      <w:pPr>
        <w:widowControl w:val="0"/>
        <w:rPr>
          <w:sz w:val="28"/>
          <w:szCs w:val="28"/>
        </w:rPr>
      </w:pPr>
      <w:r w:rsidRPr="009F62C7">
        <w:rPr>
          <w:sz w:val="28"/>
          <w:szCs w:val="28"/>
        </w:rPr>
        <w:t>Високі показники ВВП на душу населення порівняно з середнім по ЄС підігрівають настрої щодо відокремлення окремих регіонів країн Італії, Іспанії та Бельгії і свідчать про важливість економічної складової у розвитку дезінте</w:t>
      </w:r>
      <w:r w:rsidRPr="009F62C7">
        <w:rPr>
          <w:sz w:val="28"/>
          <w:szCs w:val="28"/>
        </w:rPr>
        <w:t>г</w:t>
      </w:r>
      <w:r w:rsidRPr="009F62C7">
        <w:rPr>
          <w:sz w:val="28"/>
          <w:szCs w:val="28"/>
        </w:rPr>
        <w:t>раційної регіоналізації.</w:t>
      </w:r>
      <w:r w:rsidR="009F62C7">
        <w:rPr>
          <w:sz w:val="28"/>
          <w:szCs w:val="28"/>
        </w:rPr>
        <w:t xml:space="preserve"> </w:t>
      </w:r>
      <w:r w:rsidRPr="009F62C7">
        <w:rPr>
          <w:sz w:val="28"/>
          <w:szCs w:val="28"/>
        </w:rPr>
        <w:t>Достатньо високі показники ВВП на душу населення, як і частка ВВП регіонів у сукупному ВВП країн обумовлена відносно високим р</w:t>
      </w:r>
      <w:r w:rsidRPr="009F62C7">
        <w:rPr>
          <w:sz w:val="28"/>
          <w:szCs w:val="28"/>
        </w:rPr>
        <w:t>і</w:t>
      </w:r>
      <w:r w:rsidRPr="009F62C7">
        <w:rPr>
          <w:sz w:val="28"/>
          <w:szCs w:val="28"/>
        </w:rPr>
        <w:t>внем економічної активності населення в них. В усіх розглядуваних регіо</w:t>
      </w:r>
      <w:r w:rsidR="00BE11AE">
        <w:rPr>
          <w:sz w:val="28"/>
          <w:szCs w:val="28"/>
        </w:rPr>
        <w:t>нах, крім Кр</w:t>
      </w:r>
      <w:r w:rsidR="00210AC4">
        <w:rPr>
          <w:sz w:val="28"/>
          <w:szCs w:val="28"/>
        </w:rPr>
        <w:t>аїни Басків (рис.</w:t>
      </w:r>
      <w:r w:rsidRPr="009F62C7">
        <w:rPr>
          <w:sz w:val="28"/>
          <w:szCs w:val="28"/>
        </w:rPr>
        <w:t>3), частка економічно активного населення серед гр</w:t>
      </w:r>
      <w:r w:rsidRPr="009F62C7">
        <w:rPr>
          <w:sz w:val="28"/>
          <w:szCs w:val="28"/>
        </w:rPr>
        <w:t>о</w:t>
      </w:r>
      <w:r w:rsidRPr="009F62C7">
        <w:rPr>
          <w:sz w:val="28"/>
          <w:szCs w:val="28"/>
        </w:rPr>
        <w:t xml:space="preserve">мадян віком від 15 до 74 років перевищує середні показники по країні. </w:t>
      </w:r>
    </w:p>
    <w:p w:rsidR="00FA3CA6" w:rsidRDefault="00FA3CA6" w:rsidP="00BE11AE">
      <w:pPr>
        <w:pStyle w:val="a8"/>
        <w:widowControl w:val="0"/>
        <w:jc w:val="center"/>
      </w:pPr>
      <w:r>
        <w:rPr>
          <w:noProof/>
          <w:lang w:val="ru-RU" w:eastAsia="ru-RU"/>
        </w:rPr>
        <w:drawing>
          <wp:inline distT="0" distB="0" distL="0" distR="0" wp14:anchorId="6D73D2E0" wp14:editId="0F6DD4D6">
            <wp:extent cx="5936776" cy="2456597"/>
            <wp:effectExtent l="0" t="0" r="6985" b="1270"/>
            <wp:docPr id="3" name="Диаграмма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FA3CA6" w:rsidRPr="00810B50" w:rsidRDefault="00BE11AE" w:rsidP="00BE11AE">
      <w:pPr>
        <w:pStyle w:val="a8"/>
        <w:widowControl w:val="0"/>
        <w:ind w:firstLine="708"/>
        <w:jc w:val="center"/>
        <w:rPr>
          <w:b/>
          <w:sz w:val="28"/>
          <w:szCs w:val="28"/>
          <w:lang w:val="ru-RU"/>
        </w:rPr>
      </w:pPr>
      <w:r w:rsidRPr="00BE11AE">
        <w:rPr>
          <w:b/>
          <w:i/>
          <w:sz w:val="28"/>
          <w:szCs w:val="28"/>
        </w:rPr>
        <w:t xml:space="preserve">Рис. </w:t>
      </w:r>
      <w:r w:rsidR="00FA3CA6" w:rsidRPr="00BE11AE">
        <w:rPr>
          <w:b/>
          <w:i/>
          <w:sz w:val="28"/>
          <w:szCs w:val="28"/>
        </w:rPr>
        <w:t>3</w:t>
      </w:r>
      <w:r w:rsidRPr="00BE11AE">
        <w:rPr>
          <w:b/>
          <w:i/>
          <w:sz w:val="28"/>
          <w:szCs w:val="28"/>
        </w:rPr>
        <w:t>.</w:t>
      </w:r>
      <w:r w:rsidR="00FA3CA6" w:rsidRPr="00BE11AE">
        <w:rPr>
          <w:b/>
          <w:sz w:val="28"/>
          <w:szCs w:val="28"/>
        </w:rPr>
        <w:t xml:space="preserve"> Частка економічно активного населення серед громадян віком 15 - 74  рр. у вибраних країнах ЄС, 2016 р. </w:t>
      </w:r>
      <w:r w:rsidR="00210AC4" w:rsidRPr="00210AC4">
        <w:rPr>
          <w:b/>
          <w:sz w:val="28"/>
          <w:szCs w:val="28"/>
          <w:lang w:val="ru-RU"/>
        </w:rPr>
        <w:t xml:space="preserve"> [</w:t>
      </w:r>
      <w:r w:rsidR="00210AC4" w:rsidRPr="00810B50">
        <w:rPr>
          <w:b/>
          <w:sz w:val="28"/>
          <w:szCs w:val="28"/>
          <w:lang w:val="ru-RU"/>
        </w:rPr>
        <w:t>4]</w:t>
      </w:r>
    </w:p>
    <w:p w:rsidR="00FA3CA6" w:rsidRPr="009F62C7" w:rsidRDefault="00FA3CA6" w:rsidP="00FA3CA6">
      <w:pPr>
        <w:widowControl w:val="0"/>
        <w:rPr>
          <w:sz w:val="28"/>
          <w:szCs w:val="28"/>
        </w:rPr>
      </w:pPr>
      <w:r w:rsidRPr="009F62C7">
        <w:rPr>
          <w:sz w:val="28"/>
          <w:szCs w:val="28"/>
        </w:rPr>
        <w:lastRenderedPageBreak/>
        <w:t>Аналогічна картина в цих регіонах спостерігається і для громадян віком від 25 до 34 рр.. Це саме той вік, коли професійні навички сформовані, навча</w:t>
      </w:r>
      <w:r w:rsidRPr="009F62C7">
        <w:rPr>
          <w:sz w:val="28"/>
          <w:szCs w:val="28"/>
        </w:rPr>
        <w:t>н</w:t>
      </w:r>
      <w:r w:rsidRPr="009F62C7">
        <w:rPr>
          <w:sz w:val="28"/>
          <w:szCs w:val="28"/>
        </w:rPr>
        <w:t>ня у ВНЗ завершено і попереду достатньо довгий шлях професійної кар’єри. Саме цей прошарок суспільства є найбільш активним як у економічній площ</w:t>
      </w:r>
      <w:r w:rsidRPr="009F62C7">
        <w:rPr>
          <w:sz w:val="28"/>
          <w:szCs w:val="28"/>
        </w:rPr>
        <w:t>и</w:t>
      </w:r>
      <w:r w:rsidRPr="009F62C7">
        <w:rPr>
          <w:sz w:val="28"/>
          <w:szCs w:val="28"/>
        </w:rPr>
        <w:t>ні, так і в політичній та соціальній. Економічно активне населення зумовлює більш високий рівень доходів домогосподарств.</w:t>
      </w:r>
    </w:p>
    <w:p w:rsidR="00FA3CA6" w:rsidRPr="009F62C7" w:rsidRDefault="00FA3CA6" w:rsidP="009F62C7">
      <w:pPr>
        <w:pStyle w:val="a8"/>
        <w:widowControl w:val="0"/>
        <w:ind w:firstLine="709"/>
        <w:rPr>
          <w:sz w:val="28"/>
          <w:szCs w:val="28"/>
        </w:rPr>
      </w:pPr>
      <w:r w:rsidRPr="009F62C7">
        <w:rPr>
          <w:sz w:val="28"/>
          <w:szCs w:val="28"/>
        </w:rPr>
        <w:t>Для Бельгії Фламандський регіон має на 16% вищий рівень доходів дом</w:t>
      </w:r>
      <w:r w:rsidRPr="009F62C7">
        <w:rPr>
          <w:sz w:val="28"/>
          <w:szCs w:val="28"/>
        </w:rPr>
        <w:t>о</w:t>
      </w:r>
      <w:r w:rsidRPr="009F62C7">
        <w:rPr>
          <w:sz w:val="28"/>
          <w:szCs w:val="28"/>
        </w:rPr>
        <w:t xml:space="preserve">господарств порівняно з Валлонією та на 17% вищі показники порівняно з Брюсселем </w:t>
      </w:r>
      <w:r w:rsidR="00210AC4">
        <w:rPr>
          <w:sz w:val="28"/>
          <w:szCs w:val="28"/>
        </w:rPr>
        <w:t>(рис.</w:t>
      </w:r>
      <w:r w:rsidRPr="009F62C7">
        <w:rPr>
          <w:sz w:val="28"/>
          <w:szCs w:val="28"/>
        </w:rPr>
        <w:t>5). Це зумовлює ставлення мешканців Фландрії до Валлонії, як регіону біднішому за їх власний регіон. Слід зауважити, що різниця у доходах домогосподарств в Бельгії не є занадто великою (коливається в межах 16-17%) і тому, лише тільки цей фактор не може сам по собі слугувати джерелом розви</w:t>
      </w:r>
      <w:r w:rsidRPr="009F62C7">
        <w:rPr>
          <w:sz w:val="28"/>
          <w:szCs w:val="28"/>
        </w:rPr>
        <w:t>т</w:t>
      </w:r>
      <w:r w:rsidR="00EC6C63">
        <w:rPr>
          <w:sz w:val="28"/>
          <w:szCs w:val="28"/>
        </w:rPr>
        <w:t>ку дезі</w:t>
      </w:r>
      <w:r w:rsidRPr="009F62C7">
        <w:rPr>
          <w:sz w:val="28"/>
          <w:szCs w:val="28"/>
        </w:rPr>
        <w:t>нтеграційної регіоналізації. Тим не менш, цей фактор експлуатується п</w:t>
      </w:r>
      <w:r w:rsidRPr="009F62C7">
        <w:rPr>
          <w:sz w:val="28"/>
          <w:szCs w:val="28"/>
        </w:rPr>
        <w:t>о</w:t>
      </w:r>
      <w:r w:rsidRPr="009F62C7">
        <w:rPr>
          <w:sz w:val="28"/>
          <w:szCs w:val="28"/>
        </w:rPr>
        <w:t>пулістами разом з рівнем вкладу Фландрії у ВВП країни.</w:t>
      </w:r>
    </w:p>
    <w:p w:rsidR="00FA3CA6" w:rsidRDefault="00FA3CA6" w:rsidP="009F62C7">
      <w:pPr>
        <w:pStyle w:val="a8"/>
        <w:widowControl w:val="0"/>
        <w:tabs>
          <w:tab w:val="left" w:pos="1795"/>
        </w:tabs>
        <w:jc w:val="center"/>
      </w:pPr>
      <w:r>
        <w:rPr>
          <w:noProof/>
          <w:lang w:val="ru-RU" w:eastAsia="ru-RU"/>
        </w:rPr>
        <w:drawing>
          <wp:inline distT="0" distB="0" distL="0" distR="0" wp14:anchorId="4FB06A01" wp14:editId="3DDF7D2F">
            <wp:extent cx="5609230" cy="2995684"/>
            <wp:effectExtent l="0" t="0" r="0" b="0"/>
            <wp:docPr id="4" name="Диаграмма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:rsidR="00FA3CA6" w:rsidRPr="00810B50" w:rsidRDefault="00BE11AE" w:rsidP="00BE11AE">
      <w:pPr>
        <w:pStyle w:val="a8"/>
        <w:widowControl w:val="0"/>
        <w:ind w:firstLine="708"/>
        <w:jc w:val="center"/>
        <w:rPr>
          <w:b/>
          <w:sz w:val="28"/>
          <w:szCs w:val="28"/>
          <w:lang w:val="ru-RU"/>
        </w:rPr>
      </w:pPr>
      <w:r w:rsidRPr="00BE11AE">
        <w:rPr>
          <w:b/>
          <w:i/>
          <w:sz w:val="28"/>
          <w:szCs w:val="28"/>
        </w:rPr>
        <w:t xml:space="preserve">Рис. </w:t>
      </w:r>
      <w:r w:rsidR="00FA3CA6" w:rsidRPr="00BE11AE">
        <w:rPr>
          <w:b/>
          <w:i/>
          <w:sz w:val="28"/>
          <w:szCs w:val="28"/>
        </w:rPr>
        <w:t>4</w:t>
      </w:r>
      <w:r w:rsidRPr="00BE11AE">
        <w:rPr>
          <w:b/>
          <w:i/>
          <w:sz w:val="28"/>
          <w:szCs w:val="28"/>
        </w:rPr>
        <w:t>.</w:t>
      </w:r>
      <w:r w:rsidR="00FA3CA6" w:rsidRPr="00BE11AE">
        <w:rPr>
          <w:b/>
          <w:sz w:val="28"/>
          <w:szCs w:val="28"/>
        </w:rPr>
        <w:t xml:space="preserve"> Частка економічно активного населення серед громадян віком 25 - 34  рр. у вибраних країнах ЄС, 2016 р. </w:t>
      </w:r>
      <w:r w:rsidR="00210AC4" w:rsidRPr="00210AC4">
        <w:rPr>
          <w:b/>
          <w:sz w:val="28"/>
          <w:szCs w:val="28"/>
          <w:lang w:val="ru-RU"/>
        </w:rPr>
        <w:t xml:space="preserve"> [</w:t>
      </w:r>
      <w:r w:rsidR="00210AC4" w:rsidRPr="00810B50">
        <w:rPr>
          <w:b/>
          <w:sz w:val="28"/>
          <w:szCs w:val="28"/>
          <w:lang w:val="ru-RU"/>
        </w:rPr>
        <w:t>4]</w:t>
      </w:r>
    </w:p>
    <w:p w:rsidR="00FA3CA6" w:rsidRPr="009F62C7" w:rsidRDefault="00FA3CA6" w:rsidP="00FA3CA6">
      <w:pPr>
        <w:widowControl w:val="0"/>
        <w:rPr>
          <w:sz w:val="28"/>
          <w:szCs w:val="28"/>
        </w:rPr>
      </w:pPr>
      <w:r w:rsidRPr="009F62C7">
        <w:rPr>
          <w:sz w:val="28"/>
          <w:szCs w:val="28"/>
        </w:rPr>
        <w:t>Більш суттєва розбіжність у чистих доходах домогосподарств спостеріг</w:t>
      </w:r>
      <w:r w:rsidRPr="009F62C7">
        <w:rPr>
          <w:sz w:val="28"/>
          <w:szCs w:val="28"/>
        </w:rPr>
        <w:t>а</w:t>
      </w:r>
      <w:r w:rsidR="003039A9">
        <w:rPr>
          <w:sz w:val="28"/>
          <w:szCs w:val="28"/>
        </w:rPr>
        <w:t xml:space="preserve">ється в Іспанії (рис. </w:t>
      </w:r>
      <w:r w:rsidRPr="009F62C7">
        <w:rPr>
          <w:sz w:val="28"/>
          <w:szCs w:val="28"/>
        </w:rPr>
        <w:t>5). Згідно даних</w:t>
      </w:r>
      <w:r w:rsidR="003039A9">
        <w:rPr>
          <w:sz w:val="28"/>
          <w:szCs w:val="28"/>
        </w:rPr>
        <w:t xml:space="preserve"> </w:t>
      </w:r>
      <w:proofErr w:type="spellStart"/>
      <w:r w:rsidR="003039A9">
        <w:rPr>
          <w:sz w:val="28"/>
          <w:szCs w:val="28"/>
        </w:rPr>
        <w:t>Євростату</w:t>
      </w:r>
      <w:proofErr w:type="spellEnd"/>
      <w:r w:rsidR="003039A9">
        <w:rPr>
          <w:sz w:val="28"/>
          <w:szCs w:val="28"/>
        </w:rPr>
        <w:t xml:space="preserve">, приведених на рис. </w:t>
      </w:r>
      <w:r w:rsidRPr="009F62C7">
        <w:rPr>
          <w:sz w:val="28"/>
          <w:szCs w:val="28"/>
        </w:rPr>
        <w:t>6, розбі</w:t>
      </w:r>
      <w:r w:rsidRPr="009F62C7">
        <w:rPr>
          <w:sz w:val="28"/>
          <w:szCs w:val="28"/>
        </w:rPr>
        <w:t>ж</w:t>
      </w:r>
      <w:r w:rsidRPr="009F62C7">
        <w:rPr>
          <w:sz w:val="28"/>
          <w:szCs w:val="28"/>
        </w:rPr>
        <w:t xml:space="preserve">ність у доходах домогосподарств між найбільш багатим регіоном – Північним Сходом (Країною Басків) та найбільш бідним – Півднем, досягала 73% у 2014 р. </w:t>
      </w:r>
      <w:r w:rsidRPr="009F62C7">
        <w:rPr>
          <w:sz w:val="28"/>
          <w:szCs w:val="28"/>
        </w:rPr>
        <w:lastRenderedPageBreak/>
        <w:t xml:space="preserve">(останні данні на кінець 2017 р., представлені у базі даних </w:t>
      </w:r>
      <w:proofErr w:type="spellStart"/>
      <w:r w:rsidRPr="009F62C7">
        <w:rPr>
          <w:sz w:val="28"/>
          <w:szCs w:val="28"/>
        </w:rPr>
        <w:t>Євростат</w:t>
      </w:r>
      <w:proofErr w:type="spellEnd"/>
      <w:r w:rsidRPr="009F62C7">
        <w:rPr>
          <w:sz w:val="28"/>
          <w:szCs w:val="28"/>
        </w:rPr>
        <w:t>).</w:t>
      </w:r>
    </w:p>
    <w:p w:rsidR="00FA3CA6" w:rsidRDefault="00FA3CA6" w:rsidP="009F62C7">
      <w:pPr>
        <w:pStyle w:val="a8"/>
        <w:widowControl w:val="0"/>
        <w:jc w:val="center"/>
      </w:pPr>
      <w:r>
        <w:rPr>
          <w:noProof/>
          <w:lang w:val="ru-RU" w:eastAsia="ru-RU"/>
        </w:rPr>
        <w:drawing>
          <wp:inline distT="0" distB="0" distL="0" distR="0" wp14:anchorId="6869157D" wp14:editId="226A483C">
            <wp:extent cx="5288508" cy="2238233"/>
            <wp:effectExtent l="0" t="0" r="7620" b="0"/>
            <wp:docPr id="6" name="Диаграмма 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:rsidR="00FA3CA6" w:rsidRPr="00210AC4" w:rsidRDefault="00BE11AE" w:rsidP="00BE11AE">
      <w:pPr>
        <w:pStyle w:val="a8"/>
        <w:widowControl w:val="0"/>
        <w:jc w:val="center"/>
        <w:rPr>
          <w:b/>
          <w:sz w:val="28"/>
          <w:szCs w:val="28"/>
          <w:lang w:val="ru-RU"/>
        </w:rPr>
      </w:pPr>
      <w:r w:rsidRPr="00BE11AE">
        <w:rPr>
          <w:b/>
          <w:i/>
          <w:sz w:val="28"/>
          <w:szCs w:val="28"/>
        </w:rPr>
        <w:t xml:space="preserve">Рис. </w:t>
      </w:r>
      <w:r w:rsidR="00FA3CA6" w:rsidRPr="00BE11AE">
        <w:rPr>
          <w:b/>
          <w:i/>
          <w:sz w:val="28"/>
          <w:szCs w:val="28"/>
        </w:rPr>
        <w:t>5</w:t>
      </w:r>
      <w:r w:rsidRPr="00BE11AE">
        <w:rPr>
          <w:b/>
          <w:i/>
          <w:sz w:val="28"/>
          <w:szCs w:val="28"/>
        </w:rPr>
        <w:t>.</w:t>
      </w:r>
      <w:r w:rsidR="00FA3CA6" w:rsidRPr="00BE11AE">
        <w:rPr>
          <w:b/>
          <w:sz w:val="28"/>
          <w:szCs w:val="28"/>
        </w:rPr>
        <w:t xml:space="preserve"> Чисті доходи домогосподарств Бельгії у розрізі регіонів, 2014 р., </w:t>
      </w:r>
      <w:r>
        <w:rPr>
          <w:b/>
          <w:sz w:val="28"/>
          <w:szCs w:val="28"/>
        </w:rPr>
        <w:br/>
      </w:r>
      <w:r w:rsidR="00FA3CA6" w:rsidRPr="00BE11AE">
        <w:rPr>
          <w:b/>
          <w:sz w:val="28"/>
          <w:szCs w:val="28"/>
        </w:rPr>
        <w:t xml:space="preserve">тис. євро на одного мешканця </w:t>
      </w:r>
      <w:r w:rsidR="00210AC4" w:rsidRPr="00210AC4">
        <w:rPr>
          <w:b/>
          <w:sz w:val="28"/>
          <w:szCs w:val="28"/>
          <w:lang w:val="ru-RU"/>
        </w:rPr>
        <w:t xml:space="preserve"> [5]</w:t>
      </w:r>
    </w:p>
    <w:p w:rsidR="00FA3CA6" w:rsidRPr="009F62C7" w:rsidRDefault="00FA3CA6" w:rsidP="00FA3CA6">
      <w:pPr>
        <w:widowControl w:val="0"/>
        <w:rPr>
          <w:sz w:val="28"/>
          <w:szCs w:val="28"/>
        </w:rPr>
      </w:pPr>
      <w:r w:rsidRPr="009F62C7">
        <w:rPr>
          <w:sz w:val="28"/>
          <w:szCs w:val="28"/>
        </w:rPr>
        <w:t>За виключенням Мадриду, доходи у якому обумовленні столичним стат</w:t>
      </w:r>
      <w:r w:rsidRPr="009F62C7">
        <w:rPr>
          <w:sz w:val="28"/>
          <w:szCs w:val="28"/>
        </w:rPr>
        <w:t>у</w:t>
      </w:r>
      <w:r w:rsidRPr="009F62C7">
        <w:rPr>
          <w:sz w:val="28"/>
          <w:szCs w:val="28"/>
        </w:rPr>
        <w:t>сом та наявністю основних державних інституцій, найбільш успішними є дом</w:t>
      </w:r>
      <w:r w:rsidRPr="009F62C7">
        <w:rPr>
          <w:sz w:val="28"/>
          <w:szCs w:val="28"/>
        </w:rPr>
        <w:t>о</w:t>
      </w:r>
      <w:r w:rsidRPr="009F62C7">
        <w:rPr>
          <w:sz w:val="28"/>
          <w:szCs w:val="28"/>
        </w:rPr>
        <w:t xml:space="preserve">господарства Північного сходу, зокрема Країни Басків та Каталонії. </w:t>
      </w:r>
    </w:p>
    <w:p w:rsidR="00FA3CA6" w:rsidRDefault="00FA3CA6" w:rsidP="009F62C7">
      <w:pPr>
        <w:pStyle w:val="a8"/>
        <w:widowControl w:val="0"/>
        <w:jc w:val="center"/>
      </w:pPr>
      <w:r>
        <w:rPr>
          <w:noProof/>
          <w:lang w:val="ru-RU" w:eastAsia="ru-RU"/>
        </w:rPr>
        <w:drawing>
          <wp:inline distT="0" distB="0" distL="0" distR="0" wp14:anchorId="23F45228" wp14:editId="6F008406">
            <wp:extent cx="5719233" cy="2743200"/>
            <wp:effectExtent l="0" t="0" r="0" b="0"/>
            <wp:docPr id="7" name="Диаграмма 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:rsidR="00FA3CA6" w:rsidRPr="00210AC4" w:rsidRDefault="00BE11AE" w:rsidP="00BE11AE">
      <w:pPr>
        <w:pStyle w:val="a8"/>
        <w:widowControl w:val="0"/>
        <w:jc w:val="center"/>
        <w:rPr>
          <w:b/>
          <w:sz w:val="28"/>
          <w:szCs w:val="28"/>
          <w:lang w:val="ru-RU"/>
        </w:rPr>
      </w:pPr>
      <w:r w:rsidRPr="00BE11AE">
        <w:rPr>
          <w:b/>
          <w:i/>
          <w:sz w:val="28"/>
          <w:szCs w:val="28"/>
        </w:rPr>
        <w:t xml:space="preserve">Рис. </w:t>
      </w:r>
      <w:r w:rsidR="00FA3CA6" w:rsidRPr="00BE11AE">
        <w:rPr>
          <w:b/>
          <w:i/>
          <w:sz w:val="28"/>
          <w:szCs w:val="28"/>
        </w:rPr>
        <w:t>6</w:t>
      </w:r>
      <w:r w:rsidRPr="00BE11AE">
        <w:rPr>
          <w:b/>
          <w:i/>
          <w:sz w:val="28"/>
          <w:szCs w:val="28"/>
        </w:rPr>
        <w:t>.</w:t>
      </w:r>
      <w:r w:rsidR="00FA3CA6" w:rsidRPr="00BE11AE">
        <w:rPr>
          <w:b/>
          <w:sz w:val="28"/>
          <w:szCs w:val="28"/>
        </w:rPr>
        <w:t xml:space="preserve"> Чисті доходи домогосподарств Іспанії у розрізі регіонів, 2014 р., </w:t>
      </w:r>
      <w:r>
        <w:rPr>
          <w:b/>
          <w:sz w:val="28"/>
          <w:szCs w:val="28"/>
        </w:rPr>
        <w:br/>
      </w:r>
      <w:r w:rsidR="00FA3CA6" w:rsidRPr="00BE11AE">
        <w:rPr>
          <w:b/>
          <w:sz w:val="28"/>
          <w:szCs w:val="28"/>
        </w:rPr>
        <w:t xml:space="preserve">тис. євро на одного мешканця </w:t>
      </w:r>
      <w:r w:rsidR="00210AC4" w:rsidRPr="00210AC4">
        <w:rPr>
          <w:b/>
          <w:sz w:val="28"/>
          <w:szCs w:val="28"/>
          <w:lang w:val="ru-RU"/>
        </w:rPr>
        <w:t xml:space="preserve"> [5]</w:t>
      </w:r>
    </w:p>
    <w:p w:rsidR="00FA3CA6" w:rsidRPr="009F62C7" w:rsidRDefault="00FA3CA6" w:rsidP="00FA3CA6">
      <w:pPr>
        <w:widowControl w:val="0"/>
        <w:rPr>
          <w:sz w:val="28"/>
          <w:szCs w:val="28"/>
        </w:rPr>
      </w:pPr>
      <w:r w:rsidRPr="009F62C7">
        <w:rPr>
          <w:sz w:val="28"/>
          <w:szCs w:val="28"/>
        </w:rPr>
        <w:t xml:space="preserve">Достатньо висока диференціація між чистими доходами домогосподарств у розрізі регіонів спостерігається </w:t>
      </w:r>
      <w:r w:rsidR="00210AC4">
        <w:rPr>
          <w:sz w:val="28"/>
          <w:szCs w:val="28"/>
        </w:rPr>
        <w:t>в Італії (рис.</w:t>
      </w:r>
      <w:r w:rsidRPr="009F62C7">
        <w:rPr>
          <w:sz w:val="28"/>
          <w:szCs w:val="28"/>
        </w:rPr>
        <w:t xml:space="preserve">7). Станом на 2015 р. різниця між доходами домогосподарств Північних регіонів та Південних сягала 64,8%. </w:t>
      </w:r>
    </w:p>
    <w:p w:rsidR="00FA3CA6" w:rsidRDefault="00FA3CA6" w:rsidP="009F62C7">
      <w:pPr>
        <w:pStyle w:val="a8"/>
        <w:widowControl w:val="0"/>
        <w:jc w:val="center"/>
      </w:pPr>
      <w:r>
        <w:rPr>
          <w:noProof/>
          <w:lang w:val="ru-RU" w:eastAsia="ru-RU"/>
        </w:rPr>
        <w:lastRenderedPageBreak/>
        <w:drawing>
          <wp:inline distT="0" distB="0" distL="0" distR="0" wp14:anchorId="44BC2ED1" wp14:editId="025CD661">
            <wp:extent cx="5482167" cy="2743200"/>
            <wp:effectExtent l="0" t="0" r="4445" b="0"/>
            <wp:docPr id="8" name="Диаграмма 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:rsidR="00FA3CA6" w:rsidRPr="00210AC4" w:rsidRDefault="00BE11AE" w:rsidP="00BE11AE">
      <w:pPr>
        <w:pStyle w:val="a8"/>
        <w:widowControl w:val="0"/>
        <w:ind w:firstLine="708"/>
        <w:jc w:val="center"/>
        <w:rPr>
          <w:b/>
          <w:sz w:val="28"/>
          <w:szCs w:val="28"/>
          <w:lang w:val="ru-RU"/>
        </w:rPr>
      </w:pPr>
      <w:r w:rsidRPr="00BE11AE">
        <w:rPr>
          <w:b/>
          <w:i/>
          <w:sz w:val="28"/>
          <w:szCs w:val="28"/>
        </w:rPr>
        <w:t xml:space="preserve">Рис. </w:t>
      </w:r>
      <w:r w:rsidR="00FA3CA6" w:rsidRPr="00BE11AE">
        <w:rPr>
          <w:b/>
          <w:i/>
          <w:sz w:val="28"/>
          <w:szCs w:val="28"/>
        </w:rPr>
        <w:t>7</w:t>
      </w:r>
      <w:r w:rsidRPr="00BE11AE">
        <w:rPr>
          <w:b/>
          <w:i/>
          <w:sz w:val="28"/>
          <w:szCs w:val="28"/>
        </w:rPr>
        <w:t>.</w:t>
      </w:r>
      <w:r w:rsidR="00FA3CA6" w:rsidRPr="00BE11AE">
        <w:rPr>
          <w:b/>
          <w:sz w:val="28"/>
          <w:szCs w:val="28"/>
        </w:rPr>
        <w:t xml:space="preserve"> Чисті доходи домогосподарств Італії у розрізі регіонів, 2015 р., євро на одного мешканця </w:t>
      </w:r>
      <w:r w:rsidR="00210AC4" w:rsidRPr="00210AC4">
        <w:rPr>
          <w:b/>
          <w:sz w:val="28"/>
          <w:szCs w:val="28"/>
          <w:lang w:val="ru-RU"/>
        </w:rPr>
        <w:t>[5]</w:t>
      </w:r>
    </w:p>
    <w:p w:rsidR="00054C8F" w:rsidRDefault="00054C8F" w:rsidP="00B8477B">
      <w:pPr>
        <w:widowControl w:val="0"/>
        <w:rPr>
          <w:sz w:val="28"/>
          <w:szCs w:val="28"/>
        </w:rPr>
      </w:pPr>
    </w:p>
    <w:p w:rsidR="00FA3CA6" w:rsidRPr="009F62C7" w:rsidRDefault="00FA3CA6" w:rsidP="00B8477B">
      <w:pPr>
        <w:widowControl w:val="0"/>
        <w:rPr>
          <w:sz w:val="28"/>
          <w:szCs w:val="28"/>
        </w:rPr>
      </w:pPr>
      <w:r w:rsidRPr="009F62C7">
        <w:rPr>
          <w:sz w:val="28"/>
          <w:szCs w:val="28"/>
        </w:rPr>
        <w:t>Таким чином, як для Іспанії, так і для Італії, різниця у доходах домого</w:t>
      </w:r>
      <w:r w:rsidRPr="009F62C7">
        <w:rPr>
          <w:sz w:val="28"/>
          <w:szCs w:val="28"/>
        </w:rPr>
        <w:t>с</w:t>
      </w:r>
      <w:r w:rsidRPr="009F62C7">
        <w:rPr>
          <w:sz w:val="28"/>
          <w:szCs w:val="28"/>
        </w:rPr>
        <w:t>подарств є достатньо відчутною, що використовується право-радикальними п</w:t>
      </w:r>
      <w:r w:rsidRPr="009F62C7">
        <w:rPr>
          <w:sz w:val="28"/>
          <w:szCs w:val="28"/>
        </w:rPr>
        <w:t>о</w:t>
      </w:r>
      <w:r w:rsidRPr="009F62C7">
        <w:rPr>
          <w:sz w:val="28"/>
          <w:szCs w:val="28"/>
        </w:rPr>
        <w:t xml:space="preserve">літичними силами та популістами як аргумент стосовно можливого відділення від країни (Каталонія) або розширення автономії (Країна Басків, Ломбардія, </w:t>
      </w:r>
      <w:proofErr w:type="spellStart"/>
      <w:r w:rsidRPr="009F62C7">
        <w:rPr>
          <w:sz w:val="28"/>
          <w:szCs w:val="28"/>
        </w:rPr>
        <w:t>Венето</w:t>
      </w:r>
      <w:proofErr w:type="spellEnd"/>
      <w:r w:rsidRPr="009F62C7">
        <w:rPr>
          <w:sz w:val="28"/>
          <w:szCs w:val="28"/>
        </w:rPr>
        <w:t>).</w:t>
      </w:r>
      <w:r w:rsidR="00B8477B">
        <w:rPr>
          <w:sz w:val="28"/>
          <w:szCs w:val="28"/>
        </w:rPr>
        <w:t xml:space="preserve"> </w:t>
      </w:r>
      <w:r w:rsidRPr="009F62C7">
        <w:rPr>
          <w:sz w:val="28"/>
          <w:szCs w:val="28"/>
        </w:rPr>
        <w:t>Найбільші претензії більш багатших регіонів до центрального уряду країни є нерівномірність розподілу податків. Основні заяви торкаються того, що ці регіони є основними донорами податків, які центральним урядом пер</w:t>
      </w:r>
      <w:r w:rsidRPr="009F62C7">
        <w:rPr>
          <w:sz w:val="28"/>
          <w:szCs w:val="28"/>
        </w:rPr>
        <w:t>е</w:t>
      </w:r>
      <w:r w:rsidRPr="009F62C7">
        <w:rPr>
          <w:sz w:val="28"/>
          <w:szCs w:val="28"/>
        </w:rPr>
        <w:t xml:space="preserve">розподіляються не відповідно тому, як вони збираються, і що, значна частка податків йде на підтримку менш розвинених регіонів. </w:t>
      </w:r>
    </w:p>
    <w:p w:rsidR="00FA3CA6" w:rsidRPr="009F62C7" w:rsidRDefault="00D010FE" w:rsidP="00FA3CA6">
      <w:pPr>
        <w:widowControl w:val="0"/>
        <w:rPr>
          <w:sz w:val="28"/>
          <w:szCs w:val="28"/>
        </w:rPr>
      </w:pPr>
      <w:r>
        <w:rPr>
          <w:sz w:val="28"/>
          <w:szCs w:val="28"/>
        </w:rPr>
        <w:t>Як видно з даних табл.3</w:t>
      </w:r>
      <w:r w:rsidR="00FA3CA6" w:rsidRPr="009F62C7">
        <w:rPr>
          <w:sz w:val="28"/>
          <w:szCs w:val="28"/>
        </w:rPr>
        <w:t xml:space="preserve"> в Іспанії після Мадриду, основним донором п</w:t>
      </w:r>
      <w:r w:rsidR="00FA3CA6" w:rsidRPr="009F62C7">
        <w:rPr>
          <w:sz w:val="28"/>
          <w:szCs w:val="28"/>
        </w:rPr>
        <w:t>о</w:t>
      </w:r>
      <w:r w:rsidR="00FA3CA6" w:rsidRPr="009F62C7">
        <w:rPr>
          <w:sz w:val="28"/>
          <w:szCs w:val="28"/>
        </w:rPr>
        <w:t>даткових надходжень до держави є Каталонія: 20,8% від всіх зібраних податків у 2016 р. На підставі цього місцеві політики стверджують, що вони утримують своїми податками більш бідні регіони і, у разі відокремлення, населення регі</w:t>
      </w:r>
      <w:r w:rsidR="00FA3CA6" w:rsidRPr="009F62C7">
        <w:rPr>
          <w:sz w:val="28"/>
          <w:szCs w:val="28"/>
        </w:rPr>
        <w:t>о</w:t>
      </w:r>
      <w:r w:rsidR="00FA3CA6" w:rsidRPr="009F62C7">
        <w:rPr>
          <w:sz w:val="28"/>
          <w:szCs w:val="28"/>
        </w:rPr>
        <w:t>нів відчує зменшення податково</w:t>
      </w:r>
      <w:r w:rsidR="00810B50">
        <w:rPr>
          <w:sz w:val="28"/>
          <w:szCs w:val="28"/>
        </w:rPr>
        <w:t>го</w:t>
      </w:r>
      <w:r w:rsidR="00FA3CA6" w:rsidRPr="009F62C7">
        <w:rPr>
          <w:sz w:val="28"/>
          <w:szCs w:val="28"/>
        </w:rPr>
        <w:t xml:space="preserve"> тиску, або, податки регіону будуть спрям</w:t>
      </w:r>
      <w:r w:rsidR="00FA3CA6" w:rsidRPr="009F62C7">
        <w:rPr>
          <w:sz w:val="28"/>
          <w:szCs w:val="28"/>
        </w:rPr>
        <w:t>о</w:t>
      </w:r>
      <w:r w:rsidR="00FA3CA6" w:rsidRPr="009F62C7">
        <w:rPr>
          <w:sz w:val="28"/>
          <w:szCs w:val="28"/>
        </w:rPr>
        <w:t xml:space="preserve">вані на власні соціальні потреби та розвиток регіону. </w:t>
      </w:r>
    </w:p>
    <w:p w:rsidR="00054C8F" w:rsidRDefault="00054C8F" w:rsidP="00B8477B">
      <w:pPr>
        <w:pStyle w:val="a8"/>
        <w:widowControl w:val="0"/>
        <w:ind w:firstLine="708"/>
        <w:jc w:val="right"/>
        <w:rPr>
          <w:b/>
          <w:i/>
          <w:sz w:val="28"/>
          <w:szCs w:val="28"/>
        </w:rPr>
      </w:pPr>
    </w:p>
    <w:p w:rsidR="00054C8F" w:rsidRDefault="00054C8F" w:rsidP="00B8477B">
      <w:pPr>
        <w:pStyle w:val="a8"/>
        <w:widowControl w:val="0"/>
        <w:ind w:firstLine="708"/>
        <w:jc w:val="right"/>
        <w:rPr>
          <w:b/>
          <w:i/>
          <w:sz w:val="28"/>
          <w:szCs w:val="28"/>
        </w:rPr>
      </w:pPr>
    </w:p>
    <w:p w:rsidR="00054C8F" w:rsidRDefault="00054C8F" w:rsidP="00B8477B">
      <w:pPr>
        <w:pStyle w:val="a8"/>
        <w:widowControl w:val="0"/>
        <w:ind w:firstLine="708"/>
        <w:jc w:val="right"/>
        <w:rPr>
          <w:b/>
          <w:i/>
          <w:sz w:val="28"/>
          <w:szCs w:val="28"/>
        </w:rPr>
      </w:pPr>
    </w:p>
    <w:p w:rsidR="00B8477B" w:rsidRPr="00D010FE" w:rsidRDefault="00BE11AE" w:rsidP="00B8477B">
      <w:pPr>
        <w:pStyle w:val="a8"/>
        <w:widowControl w:val="0"/>
        <w:ind w:firstLine="708"/>
        <w:jc w:val="right"/>
        <w:rPr>
          <w:b/>
          <w:i/>
          <w:sz w:val="28"/>
          <w:szCs w:val="28"/>
        </w:rPr>
      </w:pPr>
      <w:r w:rsidRPr="00D010FE">
        <w:rPr>
          <w:b/>
          <w:i/>
          <w:sz w:val="28"/>
          <w:szCs w:val="28"/>
        </w:rPr>
        <w:lastRenderedPageBreak/>
        <w:t xml:space="preserve">Таблиця </w:t>
      </w:r>
      <w:r w:rsidR="00FA3CA6" w:rsidRPr="00D010FE">
        <w:rPr>
          <w:b/>
          <w:i/>
          <w:sz w:val="28"/>
          <w:szCs w:val="28"/>
        </w:rPr>
        <w:t xml:space="preserve">3 </w:t>
      </w:r>
    </w:p>
    <w:p w:rsidR="00FA3CA6" w:rsidRPr="00210AC4" w:rsidRDefault="00FA3CA6" w:rsidP="00B8477B">
      <w:pPr>
        <w:pStyle w:val="a8"/>
        <w:widowControl w:val="0"/>
        <w:jc w:val="center"/>
        <w:rPr>
          <w:b/>
          <w:sz w:val="28"/>
          <w:szCs w:val="28"/>
          <w:lang w:val="ru-RU"/>
        </w:rPr>
      </w:pPr>
      <w:r w:rsidRPr="00D010FE">
        <w:rPr>
          <w:b/>
          <w:sz w:val="28"/>
          <w:szCs w:val="28"/>
        </w:rPr>
        <w:t xml:space="preserve">Надходження податків за автономними регіонами (спільнотами) Іспанії </w:t>
      </w:r>
      <w:r w:rsidR="00210AC4" w:rsidRPr="00210AC4">
        <w:rPr>
          <w:b/>
          <w:sz w:val="28"/>
          <w:szCs w:val="28"/>
          <w:lang w:val="ru-RU"/>
        </w:rPr>
        <w:t xml:space="preserve"> [6]</w:t>
      </w:r>
    </w:p>
    <w:tbl>
      <w:tblPr>
        <w:tblStyle w:val="a9"/>
        <w:tblW w:w="4801" w:type="pct"/>
        <w:tblInd w:w="392" w:type="dxa"/>
        <w:tblLayout w:type="fixed"/>
        <w:tblLook w:val="04A0" w:firstRow="1" w:lastRow="0" w:firstColumn="1" w:lastColumn="0" w:noHBand="0" w:noVBand="1"/>
      </w:tblPr>
      <w:tblGrid>
        <w:gridCol w:w="3341"/>
        <w:gridCol w:w="1794"/>
        <w:gridCol w:w="1794"/>
        <w:gridCol w:w="2532"/>
      </w:tblGrid>
      <w:tr w:rsidR="00FA3CA6" w:rsidRPr="00B8477B" w:rsidTr="00B8477B">
        <w:trPr>
          <w:trHeight w:val="222"/>
          <w:tblHeader/>
        </w:trPr>
        <w:tc>
          <w:tcPr>
            <w:tcW w:w="1766" w:type="pct"/>
            <w:vMerge w:val="restart"/>
            <w:noWrap/>
            <w:vAlign w:val="center"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jc w:val="center"/>
              <w:rPr>
                <w:sz w:val="28"/>
                <w:szCs w:val="28"/>
                <w:lang w:val="en-US"/>
              </w:rPr>
            </w:pPr>
            <w:r w:rsidRPr="00B8477B">
              <w:rPr>
                <w:sz w:val="28"/>
                <w:szCs w:val="28"/>
              </w:rPr>
              <w:t>Регіони Іспанії</w:t>
            </w:r>
          </w:p>
        </w:tc>
        <w:tc>
          <w:tcPr>
            <w:tcW w:w="1895" w:type="pct"/>
            <w:gridSpan w:val="2"/>
            <w:noWrap/>
            <w:vAlign w:val="center"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Розміри податків, млрд. є</w:t>
            </w:r>
            <w:r w:rsidRPr="00B8477B">
              <w:rPr>
                <w:sz w:val="28"/>
                <w:szCs w:val="28"/>
              </w:rPr>
              <w:t>в</w:t>
            </w:r>
            <w:r w:rsidRPr="00B8477B">
              <w:rPr>
                <w:sz w:val="28"/>
                <w:szCs w:val="28"/>
              </w:rPr>
              <w:t>ро</w:t>
            </w:r>
          </w:p>
        </w:tc>
        <w:tc>
          <w:tcPr>
            <w:tcW w:w="1339" w:type="pct"/>
            <w:noWrap/>
            <w:vAlign w:val="center"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Частка, % до заг</w:t>
            </w:r>
            <w:r w:rsidRPr="00B8477B">
              <w:rPr>
                <w:sz w:val="28"/>
                <w:szCs w:val="28"/>
              </w:rPr>
              <w:t>а</w:t>
            </w:r>
            <w:r w:rsidRPr="00B8477B">
              <w:rPr>
                <w:sz w:val="28"/>
                <w:szCs w:val="28"/>
              </w:rPr>
              <w:t>льної суми у 2016 р.</w:t>
            </w:r>
          </w:p>
        </w:tc>
      </w:tr>
      <w:tr w:rsidR="00FA3CA6" w:rsidRPr="00B8477B" w:rsidTr="00B8477B">
        <w:trPr>
          <w:trHeight w:val="222"/>
          <w:tblHeader/>
        </w:trPr>
        <w:tc>
          <w:tcPr>
            <w:tcW w:w="1766" w:type="pct"/>
            <w:vMerge/>
            <w:noWrap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rPr>
                <w:sz w:val="28"/>
                <w:szCs w:val="28"/>
              </w:rPr>
            </w:pPr>
          </w:p>
        </w:tc>
        <w:tc>
          <w:tcPr>
            <w:tcW w:w="948" w:type="pct"/>
            <w:noWrap/>
            <w:vAlign w:val="center"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2015</w:t>
            </w:r>
          </w:p>
        </w:tc>
        <w:tc>
          <w:tcPr>
            <w:tcW w:w="948" w:type="pct"/>
            <w:noWrap/>
            <w:vAlign w:val="center"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2016</w:t>
            </w:r>
          </w:p>
        </w:tc>
        <w:tc>
          <w:tcPr>
            <w:tcW w:w="1339" w:type="pct"/>
            <w:noWrap/>
            <w:vAlign w:val="center"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2016</w:t>
            </w:r>
          </w:p>
        </w:tc>
      </w:tr>
      <w:tr w:rsidR="00FA3CA6" w:rsidRPr="00B8477B" w:rsidTr="00B8477B">
        <w:trPr>
          <w:trHeight w:val="401"/>
        </w:trPr>
        <w:tc>
          <w:tcPr>
            <w:tcW w:w="1766" w:type="pct"/>
            <w:noWrap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Андалусія</w:t>
            </w:r>
          </w:p>
        </w:tc>
        <w:tc>
          <w:tcPr>
            <w:tcW w:w="948" w:type="pct"/>
            <w:noWrap/>
            <w:vAlign w:val="center"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11,083</w:t>
            </w:r>
          </w:p>
        </w:tc>
        <w:tc>
          <w:tcPr>
            <w:tcW w:w="948" w:type="pct"/>
            <w:noWrap/>
            <w:vAlign w:val="center"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11,535</w:t>
            </w:r>
          </w:p>
        </w:tc>
        <w:tc>
          <w:tcPr>
            <w:tcW w:w="1339" w:type="pct"/>
            <w:noWrap/>
            <w:vAlign w:val="center"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6,3</w:t>
            </w:r>
          </w:p>
        </w:tc>
      </w:tr>
      <w:tr w:rsidR="00FA3CA6" w:rsidRPr="00B8477B" w:rsidTr="00B8477B">
        <w:trPr>
          <w:trHeight w:val="266"/>
        </w:trPr>
        <w:tc>
          <w:tcPr>
            <w:tcW w:w="1766" w:type="pct"/>
            <w:noWrap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Арагон</w:t>
            </w:r>
          </w:p>
        </w:tc>
        <w:tc>
          <w:tcPr>
            <w:tcW w:w="948" w:type="pct"/>
            <w:noWrap/>
            <w:vAlign w:val="center"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3,418</w:t>
            </w:r>
          </w:p>
        </w:tc>
        <w:tc>
          <w:tcPr>
            <w:tcW w:w="948" w:type="pct"/>
            <w:noWrap/>
            <w:vAlign w:val="center"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3,547</w:t>
            </w:r>
          </w:p>
        </w:tc>
        <w:tc>
          <w:tcPr>
            <w:tcW w:w="1339" w:type="pct"/>
            <w:noWrap/>
            <w:vAlign w:val="center"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1,9</w:t>
            </w:r>
          </w:p>
        </w:tc>
      </w:tr>
      <w:tr w:rsidR="00FA3CA6" w:rsidRPr="00B8477B" w:rsidTr="00B8477B">
        <w:trPr>
          <w:trHeight w:val="355"/>
        </w:trPr>
        <w:tc>
          <w:tcPr>
            <w:tcW w:w="1766" w:type="pct"/>
            <w:noWrap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Канарські острови</w:t>
            </w:r>
          </w:p>
        </w:tc>
        <w:tc>
          <w:tcPr>
            <w:tcW w:w="948" w:type="pct"/>
            <w:noWrap/>
            <w:vAlign w:val="center"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2,365</w:t>
            </w:r>
          </w:p>
        </w:tc>
        <w:tc>
          <w:tcPr>
            <w:tcW w:w="948" w:type="pct"/>
            <w:noWrap/>
            <w:vAlign w:val="center"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2,396</w:t>
            </w:r>
          </w:p>
        </w:tc>
        <w:tc>
          <w:tcPr>
            <w:tcW w:w="1339" w:type="pct"/>
            <w:noWrap/>
            <w:vAlign w:val="center"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1,3</w:t>
            </w:r>
          </w:p>
        </w:tc>
      </w:tr>
      <w:tr w:rsidR="00FA3CA6" w:rsidRPr="00B8477B" w:rsidTr="00B8477B">
        <w:trPr>
          <w:trHeight w:val="275"/>
        </w:trPr>
        <w:tc>
          <w:tcPr>
            <w:tcW w:w="1766" w:type="pct"/>
            <w:noWrap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rPr>
                <w:sz w:val="28"/>
                <w:szCs w:val="28"/>
              </w:rPr>
            </w:pPr>
            <w:proofErr w:type="spellStart"/>
            <w:r w:rsidRPr="00B8477B">
              <w:rPr>
                <w:sz w:val="28"/>
                <w:szCs w:val="28"/>
              </w:rPr>
              <w:t>Кантабрія</w:t>
            </w:r>
            <w:proofErr w:type="spellEnd"/>
          </w:p>
        </w:tc>
        <w:tc>
          <w:tcPr>
            <w:tcW w:w="948" w:type="pct"/>
            <w:noWrap/>
            <w:vAlign w:val="center"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2,229</w:t>
            </w:r>
          </w:p>
        </w:tc>
        <w:tc>
          <w:tcPr>
            <w:tcW w:w="948" w:type="pct"/>
            <w:noWrap/>
            <w:vAlign w:val="center"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2,104</w:t>
            </w:r>
          </w:p>
        </w:tc>
        <w:tc>
          <w:tcPr>
            <w:tcW w:w="1339" w:type="pct"/>
            <w:noWrap/>
            <w:vAlign w:val="center"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1,2</w:t>
            </w:r>
          </w:p>
        </w:tc>
      </w:tr>
      <w:tr w:rsidR="00FA3CA6" w:rsidRPr="00B8477B" w:rsidTr="00B8477B">
        <w:trPr>
          <w:trHeight w:val="224"/>
        </w:trPr>
        <w:tc>
          <w:tcPr>
            <w:tcW w:w="1766" w:type="pct"/>
            <w:noWrap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Кастилія і Леон</w:t>
            </w:r>
          </w:p>
        </w:tc>
        <w:tc>
          <w:tcPr>
            <w:tcW w:w="948" w:type="pct"/>
            <w:noWrap/>
            <w:vAlign w:val="center"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3,626</w:t>
            </w:r>
          </w:p>
        </w:tc>
        <w:tc>
          <w:tcPr>
            <w:tcW w:w="948" w:type="pct"/>
            <w:noWrap/>
            <w:vAlign w:val="center"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3,780</w:t>
            </w:r>
          </w:p>
        </w:tc>
        <w:tc>
          <w:tcPr>
            <w:tcW w:w="1339" w:type="pct"/>
            <w:noWrap/>
            <w:vAlign w:val="center"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2,1</w:t>
            </w:r>
          </w:p>
        </w:tc>
      </w:tr>
      <w:tr w:rsidR="00FA3CA6" w:rsidRPr="00B8477B" w:rsidTr="00B8477B">
        <w:trPr>
          <w:trHeight w:val="327"/>
        </w:trPr>
        <w:tc>
          <w:tcPr>
            <w:tcW w:w="1766" w:type="pct"/>
            <w:noWrap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 xml:space="preserve">Кастилія - </w:t>
            </w:r>
            <w:proofErr w:type="spellStart"/>
            <w:r w:rsidRPr="00B8477B">
              <w:rPr>
                <w:sz w:val="28"/>
                <w:szCs w:val="28"/>
              </w:rPr>
              <w:t>Ла-Манча</w:t>
            </w:r>
            <w:proofErr w:type="spellEnd"/>
          </w:p>
        </w:tc>
        <w:tc>
          <w:tcPr>
            <w:tcW w:w="948" w:type="pct"/>
            <w:noWrap/>
            <w:vAlign w:val="center"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2,627</w:t>
            </w:r>
          </w:p>
        </w:tc>
        <w:tc>
          <w:tcPr>
            <w:tcW w:w="948" w:type="pct"/>
            <w:noWrap/>
            <w:vAlign w:val="center"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2,777</w:t>
            </w:r>
          </w:p>
        </w:tc>
        <w:tc>
          <w:tcPr>
            <w:tcW w:w="1339" w:type="pct"/>
            <w:noWrap/>
            <w:vAlign w:val="center"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1,5</w:t>
            </w:r>
          </w:p>
        </w:tc>
      </w:tr>
      <w:tr w:rsidR="00FA3CA6" w:rsidRPr="00B8477B" w:rsidTr="00B8477B">
        <w:trPr>
          <w:trHeight w:val="276"/>
        </w:trPr>
        <w:tc>
          <w:tcPr>
            <w:tcW w:w="1766" w:type="pct"/>
            <w:noWrap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Каталонія</w:t>
            </w:r>
          </w:p>
        </w:tc>
        <w:tc>
          <w:tcPr>
            <w:tcW w:w="948" w:type="pct"/>
            <w:noWrap/>
            <w:vAlign w:val="center"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37,179</w:t>
            </w:r>
          </w:p>
        </w:tc>
        <w:tc>
          <w:tcPr>
            <w:tcW w:w="948" w:type="pct"/>
            <w:noWrap/>
            <w:vAlign w:val="center"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37,836</w:t>
            </w:r>
          </w:p>
        </w:tc>
        <w:tc>
          <w:tcPr>
            <w:tcW w:w="1339" w:type="pct"/>
            <w:noWrap/>
            <w:vAlign w:val="center"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20,8</w:t>
            </w:r>
          </w:p>
        </w:tc>
      </w:tr>
      <w:tr w:rsidR="00FA3CA6" w:rsidRPr="00B8477B" w:rsidTr="00B8477B">
        <w:trPr>
          <w:trHeight w:val="365"/>
        </w:trPr>
        <w:tc>
          <w:tcPr>
            <w:tcW w:w="1766" w:type="pct"/>
            <w:noWrap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rPr>
                <w:sz w:val="28"/>
                <w:szCs w:val="28"/>
              </w:rPr>
            </w:pPr>
            <w:proofErr w:type="spellStart"/>
            <w:r w:rsidRPr="00B8477B">
              <w:rPr>
                <w:sz w:val="28"/>
                <w:szCs w:val="28"/>
              </w:rPr>
              <w:t>Сеута</w:t>
            </w:r>
            <w:proofErr w:type="spellEnd"/>
          </w:p>
        </w:tc>
        <w:tc>
          <w:tcPr>
            <w:tcW w:w="948" w:type="pct"/>
            <w:noWrap/>
            <w:vAlign w:val="center"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0,049</w:t>
            </w:r>
          </w:p>
        </w:tc>
        <w:tc>
          <w:tcPr>
            <w:tcW w:w="948" w:type="pct"/>
            <w:noWrap/>
            <w:vAlign w:val="center"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0,045</w:t>
            </w:r>
          </w:p>
        </w:tc>
        <w:tc>
          <w:tcPr>
            <w:tcW w:w="1339" w:type="pct"/>
            <w:noWrap/>
            <w:vAlign w:val="center"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0,0</w:t>
            </w:r>
          </w:p>
        </w:tc>
      </w:tr>
      <w:tr w:rsidR="00FA3CA6" w:rsidRPr="00B8477B" w:rsidTr="00B8477B">
        <w:trPr>
          <w:trHeight w:val="272"/>
        </w:trPr>
        <w:tc>
          <w:tcPr>
            <w:tcW w:w="1766" w:type="pct"/>
            <w:noWrap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rPr>
                <w:sz w:val="28"/>
                <w:szCs w:val="28"/>
              </w:rPr>
            </w:pPr>
            <w:proofErr w:type="spellStart"/>
            <w:r w:rsidRPr="00B8477B">
              <w:rPr>
                <w:sz w:val="28"/>
                <w:szCs w:val="28"/>
              </w:rPr>
              <w:t>Мелілья</w:t>
            </w:r>
            <w:proofErr w:type="spellEnd"/>
          </w:p>
        </w:tc>
        <w:tc>
          <w:tcPr>
            <w:tcW w:w="948" w:type="pct"/>
            <w:noWrap/>
            <w:vAlign w:val="center"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0,037</w:t>
            </w:r>
          </w:p>
        </w:tc>
        <w:tc>
          <w:tcPr>
            <w:tcW w:w="948" w:type="pct"/>
            <w:noWrap/>
            <w:vAlign w:val="center"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0,035</w:t>
            </w:r>
          </w:p>
        </w:tc>
        <w:tc>
          <w:tcPr>
            <w:tcW w:w="1339" w:type="pct"/>
            <w:noWrap/>
            <w:vAlign w:val="center"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0,0</w:t>
            </w:r>
          </w:p>
        </w:tc>
      </w:tr>
      <w:tr w:rsidR="00FA3CA6" w:rsidRPr="00B8477B" w:rsidTr="00B8477B">
        <w:trPr>
          <w:trHeight w:val="234"/>
        </w:trPr>
        <w:tc>
          <w:tcPr>
            <w:tcW w:w="1766" w:type="pct"/>
            <w:noWrap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Валенсія</w:t>
            </w:r>
          </w:p>
        </w:tc>
        <w:tc>
          <w:tcPr>
            <w:tcW w:w="948" w:type="pct"/>
            <w:noWrap/>
            <w:vAlign w:val="center"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11,284</w:t>
            </w:r>
          </w:p>
        </w:tc>
        <w:tc>
          <w:tcPr>
            <w:tcW w:w="948" w:type="pct"/>
            <w:noWrap/>
            <w:vAlign w:val="center"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12,130</w:t>
            </w:r>
          </w:p>
        </w:tc>
        <w:tc>
          <w:tcPr>
            <w:tcW w:w="1339" w:type="pct"/>
            <w:noWrap/>
            <w:vAlign w:val="center"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6,7</w:t>
            </w:r>
          </w:p>
        </w:tc>
      </w:tr>
      <w:tr w:rsidR="00FA3CA6" w:rsidRPr="00B8477B" w:rsidTr="00B8477B">
        <w:trPr>
          <w:trHeight w:val="323"/>
        </w:trPr>
        <w:tc>
          <w:tcPr>
            <w:tcW w:w="1766" w:type="pct"/>
            <w:noWrap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rPr>
                <w:sz w:val="28"/>
                <w:szCs w:val="28"/>
              </w:rPr>
            </w:pPr>
            <w:proofErr w:type="spellStart"/>
            <w:r w:rsidRPr="00B8477B">
              <w:rPr>
                <w:sz w:val="28"/>
                <w:szCs w:val="28"/>
              </w:rPr>
              <w:t>Естремадура</w:t>
            </w:r>
            <w:proofErr w:type="spellEnd"/>
          </w:p>
        </w:tc>
        <w:tc>
          <w:tcPr>
            <w:tcW w:w="948" w:type="pct"/>
            <w:noWrap/>
            <w:vAlign w:val="center"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1,223</w:t>
            </w:r>
          </w:p>
        </w:tc>
        <w:tc>
          <w:tcPr>
            <w:tcW w:w="948" w:type="pct"/>
            <w:noWrap/>
            <w:vAlign w:val="center"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1,304</w:t>
            </w:r>
          </w:p>
        </w:tc>
        <w:tc>
          <w:tcPr>
            <w:tcW w:w="1339" w:type="pct"/>
            <w:noWrap/>
            <w:vAlign w:val="center"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0,7</w:t>
            </w:r>
          </w:p>
        </w:tc>
      </w:tr>
      <w:tr w:rsidR="00FA3CA6" w:rsidRPr="00B8477B" w:rsidTr="00B8477B">
        <w:trPr>
          <w:trHeight w:val="272"/>
        </w:trPr>
        <w:tc>
          <w:tcPr>
            <w:tcW w:w="1766" w:type="pct"/>
            <w:noWrap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rPr>
                <w:sz w:val="28"/>
                <w:szCs w:val="28"/>
              </w:rPr>
            </w:pPr>
            <w:proofErr w:type="spellStart"/>
            <w:r w:rsidRPr="00B8477B">
              <w:rPr>
                <w:sz w:val="28"/>
                <w:szCs w:val="28"/>
              </w:rPr>
              <w:t>Галісія</w:t>
            </w:r>
            <w:proofErr w:type="spellEnd"/>
          </w:p>
        </w:tc>
        <w:tc>
          <w:tcPr>
            <w:tcW w:w="948" w:type="pct"/>
            <w:noWrap/>
            <w:vAlign w:val="center"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6,395</w:t>
            </w:r>
          </w:p>
        </w:tc>
        <w:tc>
          <w:tcPr>
            <w:tcW w:w="948" w:type="pct"/>
            <w:noWrap/>
            <w:vAlign w:val="center"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6,598</w:t>
            </w:r>
          </w:p>
        </w:tc>
        <w:tc>
          <w:tcPr>
            <w:tcW w:w="1339" w:type="pct"/>
            <w:noWrap/>
            <w:vAlign w:val="center"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3,6</w:t>
            </w:r>
          </w:p>
        </w:tc>
      </w:tr>
      <w:tr w:rsidR="00FA3CA6" w:rsidRPr="00B8477B" w:rsidTr="00B8477B">
        <w:trPr>
          <w:trHeight w:val="361"/>
        </w:trPr>
        <w:tc>
          <w:tcPr>
            <w:tcW w:w="1766" w:type="pct"/>
            <w:noWrap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Балеарські острови</w:t>
            </w:r>
          </w:p>
        </w:tc>
        <w:tc>
          <w:tcPr>
            <w:tcW w:w="948" w:type="pct"/>
            <w:noWrap/>
            <w:vAlign w:val="center"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3,263</w:t>
            </w:r>
          </w:p>
        </w:tc>
        <w:tc>
          <w:tcPr>
            <w:tcW w:w="948" w:type="pct"/>
            <w:noWrap/>
            <w:vAlign w:val="center"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3,724</w:t>
            </w:r>
          </w:p>
        </w:tc>
        <w:tc>
          <w:tcPr>
            <w:tcW w:w="1339" w:type="pct"/>
            <w:noWrap/>
            <w:vAlign w:val="center"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2,0</w:t>
            </w:r>
          </w:p>
        </w:tc>
      </w:tr>
      <w:tr w:rsidR="00FA3CA6" w:rsidRPr="00B8477B" w:rsidTr="00B8477B">
        <w:trPr>
          <w:trHeight w:val="282"/>
        </w:trPr>
        <w:tc>
          <w:tcPr>
            <w:tcW w:w="1766" w:type="pct"/>
            <w:noWrap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Мадрид</w:t>
            </w:r>
          </w:p>
        </w:tc>
        <w:tc>
          <w:tcPr>
            <w:tcW w:w="948" w:type="pct"/>
            <w:noWrap/>
            <w:vAlign w:val="center"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86,254</w:t>
            </w:r>
          </w:p>
        </w:tc>
        <w:tc>
          <w:tcPr>
            <w:tcW w:w="948" w:type="pct"/>
            <w:noWrap/>
            <w:vAlign w:val="center"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87,134</w:t>
            </w:r>
          </w:p>
        </w:tc>
        <w:tc>
          <w:tcPr>
            <w:tcW w:w="1339" w:type="pct"/>
            <w:noWrap/>
            <w:vAlign w:val="center"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47,9</w:t>
            </w:r>
          </w:p>
        </w:tc>
      </w:tr>
      <w:tr w:rsidR="00FA3CA6" w:rsidRPr="00B8477B" w:rsidTr="00B8477B">
        <w:trPr>
          <w:trHeight w:val="372"/>
        </w:trPr>
        <w:tc>
          <w:tcPr>
            <w:tcW w:w="1766" w:type="pct"/>
            <w:noWrap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Наварра</w:t>
            </w:r>
          </w:p>
        </w:tc>
        <w:tc>
          <w:tcPr>
            <w:tcW w:w="948" w:type="pct"/>
            <w:noWrap/>
            <w:vAlign w:val="center"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-0,598</w:t>
            </w:r>
          </w:p>
        </w:tc>
        <w:tc>
          <w:tcPr>
            <w:tcW w:w="948" w:type="pct"/>
            <w:noWrap/>
            <w:vAlign w:val="center"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-0,664</w:t>
            </w:r>
          </w:p>
        </w:tc>
        <w:tc>
          <w:tcPr>
            <w:tcW w:w="1339" w:type="pct"/>
            <w:noWrap/>
            <w:vAlign w:val="center"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-0,4</w:t>
            </w:r>
          </w:p>
        </w:tc>
      </w:tr>
      <w:tr w:rsidR="00FA3CA6" w:rsidRPr="00B8477B" w:rsidTr="00B8477B">
        <w:trPr>
          <w:trHeight w:val="277"/>
        </w:trPr>
        <w:tc>
          <w:tcPr>
            <w:tcW w:w="1766" w:type="pct"/>
            <w:noWrap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Країна Басків</w:t>
            </w:r>
          </w:p>
        </w:tc>
        <w:tc>
          <w:tcPr>
            <w:tcW w:w="948" w:type="pct"/>
            <w:noWrap/>
            <w:vAlign w:val="center"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1,968</w:t>
            </w:r>
          </w:p>
        </w:tc>
        <w:tc>
          <w:tcPr>
            <w:tcW w:w="948" w:type="pct"/>
            <w:noWrap/>
            <w:vAlign w:val="center"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2,278</w:t>
            </w:r>
          </w:p>
        </w:tc>
        <w:tc>
          <w:tcPr>
            <w:tcW w:w="1339" w:type="pct"/>
            <w:noWrap/>
            <w:vAlign w:val="center"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1,3</w:t>
            </w:r>
          </w:p>
        </w:tc>
      </w:tr>
      <w:tr w:rsidR="00FA3CA6" w:rsidRPr="00B8477B" w:rsidTr="00B8477B">
        <w:trPr>
          <w:trHeight w:val="226"/>
        </w:trPr>
        <w:tc>
          <w:tcPr>
            <w:tcW w:w="1766" w:type="pct"/>
            <w:noWrap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Астурія</w:t>
            </w:r>
          </w:p>
        </w:tc>
        <w:tc>
          <w:tcPr>
            <w:tcW w:w="948" w:type="pct"/>
            <w:noWrap/>
            <w:vAlign w:val="center"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2,301</w:t>
            </w:r>
          </w:p>
        </w:tc>
        <w:tc>
          <w:tcPr>
            <w:tcW w:w="948" w:type="pct"/>
            <w:noWrap/>
            <w:vAlign w:val="center"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2,319</w:t>
            </w:r>
          </w:p>
        </w:tc>
        <w:tc>
          <w:tcPr>
            <w:tcW w:w="1339" w:type="pct"/>
            <w:noWrap/>
            <w:vAlign w:val="center"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1,3</w:t>
            </w:r>
          </w:p>
        </w:tc>
      </w:tr>
      <w:tr w:rsidR="00FA3CA6" w:rsidRPr="00B8477B" w:rsidTr="00B8477B">
        <w:trPr>
          <w:trHeight w:val="315"/>
        </w:trPr>
        <w:tc>
          <w:tcPr>
            <w:tcW w:w="1766" w:type="pct"/>
            <w:noWrap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rPr>
                <w:sz w:val="28"/>
                <w:szCs w:val="28"/>
              </w:rPr>
            </w:pPr>
            <w:proofErr w:type="spellStart"/>
            <w:r w:rsidRPr="00B8477B">
              <w:rPr>
                <w:sz w:val="28"/>
                <w:szCs w:val="28"/>
              </w:rPr>
              <w:t>Мурсия</w:t>
            </w:r>
            <w:proofErr w:type="spellEnd"/>
          </w:p>
        </w:tc>
        <w:tc>
          <w:tcPr>
            <w:tcW w:w="948" w:type="pct"/>
            <w:noWrap/>
            <w:vAlign w:val="center"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1,857</w:t>
            </w:r>
          </w:p>
        </w:tc>
        <w:tc>
          <w:tcPr>
            <w:tcW w:w="948" w:type="pct"/>
            <w:noWrap/>
            <w:vAlign w:val="center"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2,227</w:t>
            </w:r>
          </w:p>
        </w:tc>
        <w:tc>
          <w:tcPr>
            <w:tcW w:w="1339" w:type="pct"/>
            <w:noWrap/>
            <w:vAlign w:val="center"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1,2</w:t>
            </w:r>
          </w:p>
        </w:tc>
      </w:tr>
      <w:tr w:rsidR="00FA3CA6" w:rsidRPr="00B8477B" w:rsidTr="00B8477B">
        <w:trPr>
          <w:trHeight w:val="263"/>
        </w:trPr>
        <w:tc>
          <w:tcPr>
            <w:tcW w:w="1766" w:type="pct"/>
            <w:noWrap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rPr>
                <w:sz w:val="28"/>
                <w:szCs w:val="28"/>
              </w:rPr>
            </w:pPr>
            <w:proofErr w:type="spellStart"/>
            <w:r w:rsidRPr="00B8477B">
              <w:rPr>
                <w:sz w:val="28"/>
                <w:szCs w:val="28"/>
              </w:rPr>
              <w:t>Ріоха</w:t>
            </w:r>
            <w:proofErr w:type="spellEnd"/>
          </w:p>
        </w:tc>
        <w:tc>
          <w:tcPr>
            <w:tcW w:w="948" w:type="pct"/>
            <w:noWrap/>
            <w:vAlign w:val="center"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0,726</w:t>
            </w:r>
          </w:p>
        </w:tc>
        <w:tc>
          <w:tcPr>
            <w:tcW w:w="948" w:type="pct"/>
            <w:noWrap/>
            <w:vAlign w:val="center"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0,787</w:t>
            </w:r>
          </w:p>
        </w:tc>
        <w:tc>
          <w:tcPr>
            <w:tcW w:w="1339" w:type="pct"/>
            <w:noWrap/>
            <w:vAlign w:val="center"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0,4</w:t>
            </w:r>
          </w:p>
        </w:tc>
      </w:tr>
      <w:tr w:rsidR="00FA3CA6" w:rsidRPr="00B8477B" w:rsidTr="00B8477B">
        <w:trPr>
          <w:trHeight w:val="354"/>
        </w:trPr>
        <w:tc>
          <w:tcPr>
            <w:tcW w:w="1766" w:type="pct"/>
            <w:noWrap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Всього</w:t>
            </w:r>
          </w:p>
        </w:tc>
        <w:tc>
          <w:tcPr>
            <w:tcW w:w="948" w:type="pct"/>
            <w:noWrap/>
            <w:vAlign w:val="center"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177,284</w:t>
            </w:r>
          </w:p>
        </w:tc>
        <w:tc>
          <w:tcPr>
            <w:tcW w:w="948" w:type="pct"/>
            <w:noWrap/>
            <w:vAlign w:val="center"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181,891</w:t>
            </w:r>
          </w:p>
        </w:tc>
        <w:tc>
          <w:tcPr>
            <w:tcW w:w="1339" w:type="pct"/>
            <w:noWrap/>
            <w:vAlign w:val="center"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100</w:t>
            </w:r>
          </w:p>
        </w:tc>
      </w:tr>
    </w:tbl>
    <w:p w:rsidR="00FA3CA6" w:rsidRDefault="00FA3CA6" w:rsidP="00FA3CA6">
      <w:pPr>
        <w:pStyle w:val="a8"/>
        <w:widowControl w:val="0"/>
      </w:pPr>
    </w:p>
    <w:p w:rsidR="00FA3CA6" w:rsidRPr="00B8477B" w:rsidRDefault="00D010FE" w:rsidP="00FA3CA6">
      <w:pPr>
        <w:widowControl w:val="0"/>
        <w:rPr>
          <w:sz w:val="28"/>
          <w:szCs w:val="28"/>
        </w:rPr>
      </w:pPr>
      <w:r>
        <w:rPr>
          <w:sz w:val="28"/>
          <w:szCs w:val="28"/>
        </w:rPr>
        <w:t>З табл.</w:t>
      </w:r>
      <w:r w:rsidR="00FA3CA6" w:rsidRPr="00B8477B">
        <w:rPr>
          <w:sz w:val="28"/>
          <w:szCs w:val="28"/>
        </w:rPr>
        <w:t>3 видно також, що Країна Басків, не зважаючи на високі показники ВВП регіону, сплачує лише 1,3% від загальної суми податкових надходжень до держави. Більшість податків цього регіону залишається на місцевому рівні. Т</w:t>
      </w:r>
      <w:r w:rsidR="00FA3CA6" w:rsidRPr="00B8477B">
        <w:rPr>
          <w:sz w:val="28"/>
          <w:szCs w:val="28"/>
        </w:rPr>
        <w:t>о</w:t>
      </w:r>
      <w:r w:rsidR="00FA3CA6" w:rsidRPr="00B8477B">
        <w:rPr>
          <w:sz w:val="28"/>
          <w:szCs w:val="28"/>
        </w:rPr>
        <w:t xml:space="preserve">му у місцевих органів влади практично немає економічних претензій до центральної влади. Країна басків, на відміну від інших іспанських областей, з доби середньовіччя за традицією користується пільгами </w:t>
      </w:r>
      <w:r w:rsidR="003039A9">
        <w:rPr>
          <w:sz w:val="28"/>
          <w:szCs w:val="28"/>
        </w:rPr>
        <w:t>–</w:t>
      </w:r>
      <w:r w:rsidR="00FA3CA6" w:rsidRPr="00B8477B">
        <w:rPr>
          <w:sz w:val="28"/>
          <w:szCs w:val="28"/>
        </w:rPr>
        <w:t xml:space="preserve"> так званими "</w:t>
      </w:r>
      <w:proofErr w:type="spellStart"/>
      <w:r w:rsidR="00FA3CA6" w:rsidRPr="00B8477B">
        <w:rPr>
          <w:sz w:val="28"/>
          <w:szCs w:val="28"/>
        </w:rPr>
        <w:t>фуерос</w:t>
      </w:r>
      <w:proofErr w:type="spellEnd"/>
      <w:r w:rsidR="00FA3CA6" w:rsidRPr="00B8477B">
        <w:rPr>
          <w:sz w:val="28"/>
          <w:szCs w:val="28"/>
        </w:rPr>
        <w:t>" (вольностями), тобто особливим режимом оподаткування.</w:t>
      </w:r>
    </w:p>
    <w:p w:rsidR="00FA3CA6" w:rsidRPr="00B8477B" w:rsidRDefault="00FA3CA6" w:rsidP="00FA3CA6">
      <w:pPr>
        <w:widowControl w:val="0"/>
        <w:rPr>
          <w:sz w:val="28"/>
          <w:szCs w:val="28"/>
        </w:rPr>
      </w:pPr>
      <w:r w:rsidRPr="00B8477B">
        <w:rPr>
          <w:sz w:val="28"/>
          <w:szCs w:val="28"/>
        </w:rPr>
        <w:t>Суттєва нерівномірність розподілу податків за регіона</w:t>
      </w:r>
      <w:r w:rsidR="00D010FE">
        <w:rPr>
          <w:sz w:val="28"/>
          <w:szCs w:val="28"/>
        </w:rPr>
        <w:t xml:space="preserve">ми має також і в Італії (табл. </w:t>
      </w:r>
      <w:r w:rsidRPr="00B8477B">
        <w:rPr>
          <w:sz w:val="28"/>
          <w:szCs w:val="28"/>
        </w:rPr>
        <w:t>4). Центр статистики Італії підраховує спеціальний показник «Ст</w:t>
      </w:r>
      <w:r w:rsidRPr="00B8477B">
        <w:rPr>
          <w:sz w:val="28"/>
          <w:szCs w:val="28"/>
        </w:rPr>
        <w:t>у</w:t>
      </w:r>
      <w:r w:rsidRPr="00B8477B">
        <w:rPr>
          <w:sz w:val="28"/>
          <w:szCs w:val="28"/>
        </w:rPr>
        <w:t>пінь податкової залежності» регіону, провінції чи великого міста, який обчи</w:t>
      </w:r>
      <w:r w:rsidRPr="00B8477B">
        <w:rPr>
          <w:sz w:val="28"/>
          <w:szCs w:val="28"/>
        </w:rPr>
        <w:t>с</w:t>
      </w:r>
      <w:r w:rsidRPr="00B8477B">
        <w:rPr>
          <w:sz w:val="28"/>
          <w:szCs w:val="28"/>
        </w:rPr>
        <w:lastRenderedPageBreak/>
        <w:t>люється як відношення внесків та державних трансфертів у регіон (місто) з б</w:t>
      </w:r>
      <w:r w:rsidRPr="00B8477B">
        <w:rPr>
          <w:sz w:val="28"/>
          <w:szCs w:val="28"/>
        </w:rPr>
        <w:t>о</w:t>
      </w:r>
      <w:r w:rsidRPr="00B8477B">
        <w:rPr>
          <w:sz w:val="28"/>
          <w:szCs w:val="28"/>
        </w:rPr>
        <w:t>ку центрального уряду до поточного доходу цього територіального утворення. Так, за ступенем податкової залежності регіонів, провінцій та великих міст у 2015 р. в Італії спостерігалась розбіжність показників між найбільш багатим т</w:t>
      </w:r>
      <w:r w:rsidRPr="00B8477B">
        <w:rPr>
          <w:sz w:val="28"/>
          <w:szCs w:val="28"/>
        </w:rPr>
        <w:t>е</w:t>
      </w:r>
      <w:r w:rsidRPr="00B8477B">
        <w:rPr>
          <w:sz w:val="28"/>
          <w:szCs w:val="28"/>
        </w:rPr>
        <w:t>риторіальним утворенням та найбільш бідним у 20,7 разів.</w:t>
      </w:r>
    </w:p>
    <w:p w:rsidR="00B8477B" w:rsidRPr="00D010FE" w:rsidRDefault="00D010FE" w:rsidP="00B8477B">
      <w:pPr>
        <w:pStyle w:val="a8"/>
        <w:widowControl w:val="0"/>
        <w:ind w:firstLine="708"/>
        <w:jc w:val="right"/>
        <w:rPr>
          <w:b/>
          <w:i/>
          <w:sz w:val="28"/>
          <w:szCs w:val="28"/>
        </w:rPr>
      </w:pPr>
      <w:r w:rsidRPr="00D010FE">
        <w:rPr>
          <w:b/>
          <w:i/>
          <w:sz w:val="28"/>
          <w:szCs w:val="28"/>
        </w:rPr>
        <w:t xml:space="preserve">Таблиця </w:t>
      </w:r>
      <w:r w:rsidR="00FA3CA6" w:rsidRPr="00D010FE">
        <w:rPr>
          <w:b/>
          <w:i/>
          <w:sz w:val="28"/>
          <w:szCs w:val="28"/>
        </w:rPr>
        <w:t xml:space="preserve">4 </w:t>
      </w:r>
    </w:p>
    <w:p w:rsidR="00FA3CA6" w:rsidRPr="00210AC4" w:rsidRDefault="00FA3CA6" w:rsidP="00D010FE">
      <w:pPr>
        <w:pStyle w:val="a8"/>
        <w:widowControl w:val="0"/>
        <w:jc w:val="center"/>
        <w:rPr>
          <w:b/>
          <w:sz w:val="28"/>
          <w:szCs w:val="28"/>
        </w:rPr>
      </w:pPr>
      <w:r w:rsidRPr="00D010FE">
        <w:rPr>
          <w:b/>
          <w:sz w:val="28"/>
          <w:szCs w:val="28"/>
        </w:rPr>
        <w:t xml:space="preserve">Ступінь податкової залежності провінційних адміністрацій та великих </w:t>
      </w:r>
      <w:r w:rsidR="00D010FE" w:rsidRPr="00D010FE">
        <w:rPr>
          <w:b/>
          <w:sz w:val="28"/>
          <w:szCs w:val="28"/>
        </w:rPr>
        <w:br/>
      </w:r>
      <w:r w:rsidRPr="00D010FE">
        <w:rPr>
          <w:b/>
          <w:sz w:val="28"/>
          <w:szCs w:val="28"/>
        </w:rPr>
        <w:t xml:space="preserve">міст Італії, 2015 р., </w:t>
      </w:r>
      <w:proofErr w:type="spellStart"/>
      <w:r w:rsidRPr="00D010FE">
        <w:rPr>
          <w:b/>
          <w:sz w:val="28"/>
          <w:szCs w:val="28"/>
        </w:rPr>
        <w:t>відн</w:t>
      </w:r>
      <w:proofErr w:type="spellEnd"/>
      <w:r w:rsidRPr="00D010FE">
        <w:rPr>
          <w:b/>
          <w:sz w:val="28"/>
          <w:szCs w:val="28"/>
        </w:rPr>
        <w:t xml:space="preserve">. одиниці </w:t>
      </w:r>
      <w:r w:rsidR="00210AC4" w:rsidRPr="00210AC4">
        <w:rPr>
          <w:b/>
          <w:sz w:val="28"/>
          <w:szCs w:val="28"/>
        </w:rPr>
        <w:t xml:space="preserve"> [7]</w:t>
      </w:r>
    </w:p>
    <w:tbl>
      <w:tblPr>
        <w:tblStyle w:val="a9"/>
        <w:tblW w:w="5000" w:type="pct"/>
        <w:tblLook w:val="04A0" w:firstRow="1" w:lastRow="0" w:firstColumn="1" w:lastColumn="0" w:noHBand="0" w:noVBand="1"/>
      </w:tblPr>
      <w:tblGrid>
        <w:gridCol w:w="912"/>
        <w:gridCol w:w="3012"/>
        <w:gridCol w:w="1368"/>
        <w:gridCol w:w="922"/>
        <w:gridCol w:w="2274"/>
        <w:gridCol w:w="1365"/>
      </w:tblGrid>
      <w:tr w:rsidR="00FA3CA6" w:rsidRPr="00B8477B" w:rsidTr="00B8477B">
        <w:trPr>
          <w:trHeight w:val="451"/>
          <w:tblHeader/>
        </w:trPr>
        <w:tc>
          <w:tcPr>
            <w:tcW w:w="487" w:type="pct"/>
            <w:vAlign w:val="center"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 xml:space="preserve">№ </w:t>
            </w:r>
            <w:proofErr w:type="spellStart"/>
            <w:r w:rsidRPr="00B8477B">
              <w:rPr>
                <w:sz w:val="28"/>
                <w:szCs w:val="28"/>
              </w:rPr>
              <w:t>пп</w:t>
            </w:r>
            <w:proofErr w:type="spellEnd"/>
          </w:p>
        </w:tc>
        <w:tc>
          <w:tcPr>
            <w:tcW w:w="1455" w:type="pct"/>
            <w:noWrap/>
            <w:vAlign w:val="center"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Провінція / місто</w:t>
            </w:r>
          </w:p>
        </w:tc>
        <w:tc>
          <w:tcPr>
            <w:tcW w:w="718" w:type="pct"/>
            <w:noWrap/>
            <w:vAlign w:val="center"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Показник</w:t>
            </w:r>
          </w:p>
        </w:tc>
        <w:tc>
          <w:tcPr>
            <w:tcW w:w="491" w:type="pct"/>
            <w:vAlign w:val="center"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 xml:space="preserve">№ </w:t>
            </w:r>
            <w:proofErr w:type="spellStart"/>
            <w:r w:rsidRPr="00B8477B">
              <w:rPr>
                <w:sz w:val="28"/>
                <w:szCs w:val="28"/>
              </w:rPr>
              <w:t>пп</w:t>
            </w:r>
            <w:proofErr w:type="spellEnd"/>
          </w:p>
        </w:tc>
        <w:tc>
          <w:tcPr>
            <w:tcW w:w="1154" w:type="pct"/>
            <w:noWrap/>
            <w:vAlign w:val="center"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Провінція / місто</w:t>
            </w:r>
          </w:p>
        </w:tc>
        <w:tc>
          <w:tcPr>
            <w:tcW w:w="695" w:type="pct"/>
            <w:noWrap/>
            <w:vAlign w:val="center"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Показник</w:t>
            </w:r>
          </w:p>
        </w:tc>
      </w:tr>
      <w:tr w:rsidR="00FA3CA6" w:rsidRPr="00B8477B" w:rsidTr="00B8477B">
        <w:trPr>
          <w:trHeight w:val="274"/>
        </w:trPr>
        <w:tc>
          <w:tcPr>
            <w:tcW w:w="487" w:type="pct"/>
            <w:vAlign w:val="center"/>
          </w:tcPr>
          <w:p w:rsidR="00FA3CA6" w:rsidRPr="00B8477B" w:rsidRDefault="00FA3CA6" w:rsidP="00B8477B">
            <w:pPr>
              <w:widowControl w:val="0"/>
              <w:spacing w:line="240" w:lineRule="auto"/>
              <w:ind w:firstLine="28"/>
              <w:jc w:val="center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1</w:t>
            </w:r>
          </w:p>
        </w:tc>
        <w:tc>
          <w:tcPr>
            <w:tcW w:w="1455" w:type="pct"/>
            <w:noWrap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П'ємонт</w:t>
            </w:r>
          </w:p>
        </w:tc>
        <w:tc>
          <w:tcPr>
            <w:tcW w:w="718" w:type="pct"/>
            <w:noWrap/>
            <w:vAlign w:val="center"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3,05</w:t>
            </w:r>
          </w:p>
        </w:tc>
        <w:tc>
          <w:tcPr>
            <w:tcW w:w="491" w:type="pct"/>
            <w:vAlign w:val="center"/>
          </w:tcPr>
          <w:p w:rsidR="00FA3CA6" w:rsidRPr="00B8477B" w:rsidRDefault="00FA3CA6" w:rsidP="00B8477B">
            <w:pPr>
              <w:widowControl w:val="0"/>
              <w:spacing w:line="240" w:lineRule="auto"/>
              <w:ind w:firstLine="0"/>
              <w:jc w:val="center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10</w:t>
            </w:r>
          </w:p>
        </w:tc>
        <w:tc>
          <w:tcPr>
            <w:tcW w:w="1154" w:type="pct"/>
            <w:noWrap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rPr>
                <w:sz w:val="28"/>
                <w:szCs w:val="28"/>
              </w:rPr>
            </w:pPr>
            <w:proofErr w:type="spellStart"/>
            <w:r w:rsidRPr="00B8477B">
              <w:rPr>
                <w:sz w:val="28"/>
                <w:szCs w:val="28"/>
              </w:rPr>
              <w:t>Лаціо</w:t>
            </w:r>
            <w:proofErr w:type="spellEnd"/>
          </w:p>
        </w:tc>
        <w:tc>
          <w:tcPr>
            <w:tcW w:w="695" w:type="pct"/>
            <w:noWrap/>
            <w:vAlign w:val="center"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2,00</w:t>
            </w:r>
          </w:p>
        </w:tc>
      </w:tr>
      <w:tr w:rsidR="00FA3CA6" w:rsidRPr="00B8477B" w:rsidTr="00B8477B">
        <w:trPr>
          <w:trHeight w:val="221"/>
        </w:trPr>
        <w:tc>
          <w:tcPr>
            <w:tcW w:w="487" w:type="pct"/>
            <w:vAlign w:val="center"/>
          </w:tcPr>
          <w:p w:rsidR="00FA3CA6" w:rsidRPr="00B8477B" w:rsidRDefault="00FA3CA6" w:rsidP="00B8477B">
            <w:pPr>
              <w:widowControl w:val="0"/>
              <w:spacing w:line="240" w:lineRule="auto"/>
              <w:ind w:firstLine="28"/>
              <w:jc w:val="center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2</w:t>
            </w:r>
          </w:p>
        </w:tc>
        <w:tc>
          <w:tcPr>
            <w:tcW w:w="1455" w:type="pct"/>
            <w:noWrap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rPr>
                <w:sz w:val="28"/>
                <w:szCs w:val="28"/>
              </w:rPr>
            </w:pPr>
            <w:proofErr w:type="spellStart"/>
            <w:r w:rsidRPr="00B8477B">
              <w:rPr>
                <w:sz w:val="28"/>
                <w:szCs w:val="28"/>
              </w:rPr>
              <w:t>Лігурія</w:t>
            </w:r>
            <w:proofErr w:type="spellEnd"/>
          </w:p>
        </w:tc>
        <w:tc>
          <w:tcPr>
            <w:tcW w:w="718" w:type="pct"/>
            <w:noWrap/>
            <w:vAlign w:val="center"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1,19</w:t>
            </w:r>
          </w:p>
        </w:tc>
        <w:tc>
          <w:tcPr>
            <w:tcW w:w="491" w:type="pct"/>
            <w:vAlign w:val="center"/>
          </w:tcPr>
          <w:p w:rsidR="00FA3CA6" w:rsidRPr="00B8477B" w:rsidRDefault="00FA3CA6" w:rsidP="00B8477B">
            <w:pPr>
              <w:widowControl w:val="0"/>
              <w:spacing w:line="240" w:lineRule="auto"/>
              <w:ind w:firstLine="0"/>
              <w:jc w:val="center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11</w:t>
            </w:r>
          </w:p>
        </w:tc>
        <w:tc>
          <w:tcPr>
            <w:tcW w:w="1154" w:type="pct"/>
            <w:noWrap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rPr>
                <w:sz w:val="28"/>
                <w:szCs w:val="28"/>
              </w:rPr>
            </w:pPr>
            <w:proofErr w:type="spellStart"/>
            <w:r w:rsidRPr="00B8477B">
              <w:rPr>
                <w:sz w:val="28"/>
                <w:szCs w:val="28"/>
              </w:rPr>
              <w:t>Абруцці</w:t>
            </w:r>
            <w:proofErr w:type="spellEnd"/>
          </w:p>
        </w:tc>
        <w:tc>
          <w:tcPr>
            <w:tcW w:w="695" w:type="pct"/>
            <w:noWrap/>
            <w:vAlign w:val="center"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7,60</w:t>
            </w:r>
          </w:p>
        </w:tc>
      </w:tr>
      <w:tr w:rsidR="00FA3CA6" w:rsidRPr="00B8477B" w:rsidTr="00B8477B">
        <w:trPr>
          <w:trHeight w:val="311"/>
        </w:trPr>
        <w:tc>
          <w:tcPr>
            <w:tcW w:w="487" w:type="pct"/>
            <w:vAlign w:val="center"/>
          </w:tcPr>
          <w:p w:rsidR="00FA3CA6" w:rsidRPr="00B8477B" w:rsidRDefault="00FA3CA6" w:rsidP="00B8477B">
            <w:pPr>
              <w:widowControl w:val="0"/>
              <w:spacing w:line="240" w:lineRule="auto"/>
              <w:ind w:firstLine="28"/>
              <w:jc w:val="center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3</w:t>
            </w:r>
          </w:p>
        </w:tc>
        <w:tc>
          <w:tcPr>
            <w:tcW w:w="1455" w:type="pct"/>
            <w:noWrap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Ломбардія</w:t>
            </w:r>
          </w:p>
        </w:tc>
        <w:tc>
          <w:tcPr>
            <w:tcW w:w="718" w:type="pct"/>
            <w:noWrap/>
            <w:vAlign w:val="center"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1,51</w:t>
            </w:r>
          </w:p>
        </w:tc>
        <w:tc>
          <w:tcPr>
            <w:tcW w:w="491" w:type="pct"/>
            <w:vAlign w:val="center"/>
          </w:tcPr>
          <w:p w:rsidR="00FA3CA6" w:rsidRPr="00B8477B" w:rsidRDefault="00FA3CA6" w:rsidP="00B8477B">
            <w:pPr>
              <w:widowControl w:val="0"/>
              <w:spacing w:line="240" w:lineRule="auto"/>
              <w:ind w:firstLine="0"/>
              <w:jc w:val="center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12</w:t>
            </w:r>
          </w:p>
        </w:tc>
        <w:tc>
          <w:tcPr>
            <w:tcW w:w="1154" w:type="pct"/>
            <w:noWrap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rPr>
                <w:sz w:val="28"/>
                <w:szCs w:val="28"/>
              </w:rPr>
            </w:pPr>
            <w:proofErr w:type="spellStart"/>
            <w:r w:rsidRPr="00B8477B">
              <w:rPr>
                <w:sz w:val="28"/>
                <w:szCs w:val="28"/>
              </w:rPr>
              <w:t>Молізе</w:t>
            </w:r>
            <w:proofErr w:type="spellEnd"/>
          </w:p>
        </w:tc>
        <w:tc>
          <w:tcPr>
            <w:tcW w:w="695" w:type="pct"/>
            <w:noWrap/>
            <w:vAlign w:val="center"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10,12</w:t>
            </w:r>
          </w:p>
        </w:tc>
      </w:tr>
      <w:tr w:rsidR="00FA3CA6" w:rsidRPr="00B8477B" w:rsidTr="00B8477B">
        <w:trPr>
          <w:trHeight w:val="260"/>
        </w:trPr>
        <w:tc>
          <w:tcPr>
            <w:tcW w:w="487" w:type="pct"/>
            <w:vAlign w:val="center"/>
          </w:tcPr>
          <w:p w:rsidR="00FA3CA6" w:rsidRPr="00B8477B" w:rsidRDefault="00FA3CA6" w:rsidP="00B8477B">
            <w:pPr>
              <w:widowControl w:val="0"/>
              <w:spacing w:line="240" w:lineRule="auto"/>
              <w:ind w:firstLine="28"/>
              <w:jc w:val="center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4</w:t>
            </w:r>
          </w:p>
        </w:tc>
        <w:tc>
          <w:tcPr>
            <w:tcW w:w="1455" w:type="pct"/>
            <w:noWrap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rPr>
                <w:sz w:val="28"/>
                <w:szCs w:val="28"/>
              </w:rPr>
            </w:pPr>
            <w:proofErr w:type="spellStart"/>
            <w:r w:rsidRPr="00B8477B">
              <w:rPr>
                <w:sz w:val="28"/>
                <w:szCs w:val="28"/>
              </w:rPr>
              <w:t>Венето</w:t>
            </w:r>
            <w:proofErr w:type="spellEnd"/>
          </w:p>
        </w:tc>
        <w:tc>
          <w:tcPr>
            <w:tcW w:w="718" w:type="pct"/>
            <w:noWrap/>
            <w:vAlign w:val="center"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2,47</w:t>
            </w:r>
          </w:p>
        </w:tc>
        <w:tc>
          <w:tcPr>
            <w:tcW w:w="491" w:type="pct"/>
            <w:vAlign w:val="center"/>
          </w:tcPr>
          <w:p w:rsidR="00FA3CA6" w:rsidRPr="00B8477B" w:rsidRDefault="00FA3CA6" w:rsidP="00B8477B">
            <w:pPr>
              <w:widowControl w:val="0"/>
              <w:spacing w:line="240" w:lineRule="auto"/>
              <w:ind w:firstLine="0"/>
              <w:jc w:val="center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13</w:t>
            </w:r>
          </w:p>
        </w:tc>
        <w:tc>
          <w:tcPr>
            <w:tcW w:w="1154" w:type="pct"/>
            <w:noWrap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Кампанія</w:t>
            </w:r>
          </w:p>
        </w:tc>
        <w:tc>
          <w:tcPr>
            <w:tcW w:w="695" w:type="pct"/>
            <w:noWrap/>
            <w:vAlign w:val="center"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9,34</w:t>
            </w:r>
          </w:p>
        </w:tc>
      </w:tr>
      <w:tr w:rsidR="00FA3CA6" w:rsidRPr="00B8477B" w:rsidTr="00B8477B">
        <w:trPr>
          <w:trHeight w:val="207"/>
        </w:trPr>
        <w:tc>
          <w:tcPr>
            <w:tcW w:w="487" w:type="pct"/>
            <w:vAlign w:val="center"/>
          </w:tcPr>
          <w:p w:rsidR="00FA3CA6" w:rsidRPr="00B8477B" w:rsidRDefault="00FA3CA6" w:rsidP="00B8477B">
            <w:pPr>
              <w:widowControl w:val="0"/>
              <w:spacing w:line="240" w:lineRule="auto"/>
              <w:ind w:firstLine="28"/>
              <w:jc w:val="center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5</w:t>
            </w:r>
          </w:p>
        </w:tc>
        <w:tc>
          <w:tcPr>
            <w:tcW w:w="1455" w:type="pct"/>
            <w:noWrap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rPr>
                <w:sz w:val="28"/>
                <w:szCs w:val="28"/>
              </w:rPr>
            </w:pPr>
            <w:proofErr w:type="spellStart"/>
            <w:r w:rsidRPr="00B8477B">
              <w:rPr>
                <w:sz w:val="28"/>
                <w:szCs w:val="28"/>
              </w:rPr>
              <w:t>Фріулі-Венеція-Джулія</w:t>
            </w:r>
            <w:proofErr w:type="spellEnd"/>
          </w:p>
        </w:tc>
        <w:tc>
          <w:tcPr>
            <w:tcW w:w="718" w:type="pct"/>
            <w:noWrap/>
            <w:vAlign w:val="center"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0,92</w:t>
            </w:r>
          </w:p>
        </w:tc>
        <w:tc>
          <w:tcPr>
            <w:tcW w:w="491" w:type="pct"/>
            <w:vAlign w:val="center"/>
          </w:tcPr>
          <w:p w:rsidR="00FA3CA6" w:rsidRPr="00B8477B" w:rsidRDefault="00FA3CA6" w:rsidP="00B8477B">
            <w:pPr>
              <w:widowControl w:val="0"/>
              <w:spacing w:line="240" w:lineRule="auto"/>
              <w:ind w:firstLine="0"/>
              <w:jc w:val="center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14</w:t>
            </w:r>
          </w:p>
        </w:tc>
        <w:tc>
          <w:tcPr>
            <w:tcW w:w="1154" w:type="pct"/>
            <w:noWrap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Апулія</w:t>
            </w:r>
          </w:p>
        </w:tc>
        <w:tc>
          <w:tcPr>
            <w:tcW w:w="695" w:type="pct"/>
            <w:noWrap/>
            <w:vAlign w:val="center"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5,75</w:t>
            </w:r>
          </w:p>
        </w:tc>
      </w:tr>
      <w:tr w:rsidR="00FA3CA6" w:rsidRPr="00B8477B" w:rsidTr="00B8477B">
        <w:trPr>
          <w:trHeight w:val="312"/>
        </w:trPr>
        <w:tc>
          <w:tcPr>
            <w:tcW w:w="487" w:type="pct"/>
            <w:vAlign w:val="center"/>
          </w:tcPr>
          <w:p w:rsidR="00FA3CA6" w:rsidRPr="00B8477B" w:rsidRDefault="00FA3CA6" w:rsidP="00B8477B">
            <w:pPr>
              <w:widowControl w:val="0"/>
              <w:spacing w:line="240" w:lineRule="auto"/>
              <w:ind w:firstLine="28"/>
              <w:jc w:val="center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6</w:t>
            </w:r>
          </w:p>
        </w:tc>
        <w:tc>
          <w:tcPr>
            <w:tcW w:w="1455" w:type="pct"/>
            <w:noWrap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rPr>
                <w:sz w:val="28"/>
                <w:szCs w:val="28"/>
              </w:rPr>
            </w:pPr>
            <w:proofErr w:type="spellStart"/>
            <w:r w:rsidRPr="00B8477B">
              <w:rPr>
                <w:sz w:val="28"/>
                <w:szCs w:val="28"/>
              </w:rPr>
              <w:t>Емілія-Романья</w:t>
            </w:r>
            <w:proofErr w:type="spellEnd"/>
          </w:p>
        </w:tc>
        <w:tc>
          <w:tcPr>
            <w:tcW w:w="718" w:type="pct"/>
            <w:noWrap/>
            <w:vAlign w:val="center"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1,58</w:t>
            </w:r>
          </w:p>
        </w:tc>
        <w:tc>
          <w:tcPr>
            <w:tcW w:w="491" w:type="pct"/>
            <w:vAlign w:val="center"/>
          </w:tcPr>
          <w:p w:rsidR="00FA3CA6" w:rsidRPr="00B8477B" w:rsidRDefault="00FA3CA6" w:rsidP="00B8477B">
            <w:pPr>
              <w:widowControl w:val="0"/>
              <w:spacing w:line="240" w:lineRule="auto"/>
              <w:ind w:firstLine="0"/>
              <w:jc w:val="center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15</w:t>
            </w:r>
          </w:p>
        </w:tc>
        <w:tc>
          <w:tcPr>
            <w:tcW w:w="1154" w:type="pct"/>
            <w:noWrap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rPr>
                <w:sz w:val="28"/>
                <w:szCs w:val="28"/>
              </w:rPr>
            </w:pPr>
            <w:proofErr w:type="spellStart"/>
            <w:r w:rsidRPr="00B8477B">
              <w:rPr>
                <w:sz w:val="28"/>
                <w:szCs w:val="28"/>
              </w:rPr>
              <w:t>Базіліката</w:t>
            </w:r>
            <w:proofErr w:type="spellEnd"/>
          </w:p>
        </w:tc>
        <w:tc>
          <w:tcPr>
            <w:tcW w:w="695" w:type="pct"/>
            <w:noWrap/>
            <w:vAlign w:val="center"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4,09</w:t>
            </w:r>
          </w:p>
        </w:tc>
      </w:tr>
      <w:tr w:rsidR="00FA3CA6" w:rsidRPr="00B8477B" w:rsidTr="006A13D3">
        <w:trPr>
          <w:trHeight w:val="250"/>
        </w:trPr>
        <w:tc>
          <w:tcPr>
            <w:tcW w:w="487" w:type="pct"/>
            <w:vAlign w:val="center"/>
          </w:tcPr>
          <w:p w:rsidR="00FA3CA6" w:rsidRPr="00B8477B" w:rsidRDefault="00FA3CA6" w:rsidP="00B8477B">
            <w:pPr>
              <w:widowControl w:val="0"/>
              <w:spacing w:line="240" w:lineRule="auto"/>
              <w:ind w:firstLine="28"/>
              <w:jc w:val="center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7</w:t>
            </w:r>
          </w:p>
        </w:tc>
        <w:tc>
          <w:tcPr>
            <w:tcW w:w="1455" w:type="pct"/>
            <w:noWrap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Тоскана</w:t>
            </w:r>
          </w:p>
        </w:tc>
        <w:tc>
          <w:tcPr>
            <w:tcW w:w="718" w:type="pct"/>
            <w:noWrap/>
            <w:vAlign w:val="center"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1,04</w:t>
            </w:r>
          </w:p>
        </w:tc>
        <w:tc>
          <w:tcPr>
            <w:tcW w:w="491" w:type="pct"/>
            <w:vAlign w:val="center"/>
          </w:tcPr>
          <w:p w:rsidR="00FA3CA6" w:rsidRPr="00B8477B" w:rsidRDefault="00FA3CA6" w:rsidP="00B8477B">
            <w:pPr>
              <w:widowControl w:val="0"/>
              <w:spacing w:line="240" w:lineRule="auto"/>
              <w:ind w:firstLine="0"/>
              <w:jc w:val="center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16</w:t>
            </w:r>
          </w:p>
        </w:tc>
        <w:tc>
          <w:tcPr>
            <w:tcW w:w="1154" w:type="pct"/>
            <w:noWrap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rPr>
                <w:sz w:val="28"/>
                <w:szCs w:val="28"/>
              </w:rPr>
            </w:pPr>
            <w:proofErr w:type="spellStart"/>
            <w:r w:rsidRPr="00B8477B">
              <w:rPr>
                <w:sz w:val="28"/>
                <w:szCs w:val="28"/>
              </w:rPr>
              <w:t>Калабрія</w:t>
            </w:r>
            <w:proofErr w:type="spellEnd"/>
          </w:p>
        </w:tc>
        <w:tc>
          <w:tcPr>
            <w:tcW w:w="695" w:type="pct"/>
            <w:noWrap/>
            <w:vAlign w:val="center"/>
            <w:hideMark/>
          </w:tcPr>
          <w:p w:rsidR="00FA3CA6" w:rsidRPr="00B8477B" w:rsidRDefault="00FA3CA6" w:rsidP="00B8477B">
            <w:pPr>
              <w:pStyle w:val="a8"/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RPr="00B8477B">
              <w:rPr>
                <w:sz w:val="28"/>
                <w:szCs w:val="28"/>
              </w:rPr>
              <w:t>19,01</w:t>
            </w:r>
          </w:p>
        </w:tc>
      </w:tr>
      <w:tr w:rsidR="00FA3CA6" w:rsidRPr="006A13D3" w:rsidTr="006A13D3">
        <w:trPr>
          <w:trHeight w:val="250"/>
        </w:trPr>
        <w:tc>
          <w:tcPr>
            <w:tcW w:w="487" w:type="pct"/>
            <w:vAlign w:val="center"/>
          </w:tcPr>
          <w:p w:rsidR="00FA3CA6" w:rsidRPr="006A13D3" w:rsidRDefault="00FA3CA6" w:rsidP="00B8477B">
            <w:pPr>
              <w:widowControl w:val="0"/>
              <w:spacing w:line="240" w:lineRule="auto"/>
              <w:ind w:firstLine="28"/>
              <w:jc w:val="center"/>
              <w:rPr>
                <w:sz w:val="28"/>
                <w:szCs w:val="28"/>
              </w:rPr>
            </w:pPr>
            <w:r w:rsidRPr="006A13D3">
              <w:rPr>
                <w:sz w:val="28"/>
                <w:szCs w:val="28"/>
              </w:rPr>
              <w:t>8</w:t>
            </w:r>
          </w:p>
        </w:tc>
        <w:tc>
          <w:tcPr>
            <w:tcW w:w="1455" w:type="pct"/>
            <w:noWrap/>
            <w:hideMark/>
          </w:tcPr>
          <w:p w:rsidR="00FA3CA6" w:rsidRPr="006A13D3" w:rsidRDefault="00FA3CA6" w:rsidP="00B8477B">
            <w:pPr>
              <w:pStyle w:val="a8"/>
              <w:widowControl w:val="0"/>
              <w:spacing w:line="240" w:lineRule="auto"/>
              <w:rPr>
                <w:sz w:val="28"/>
                <w:szCs w:val="28"/>
              </w:rPr>
            </w:pPr>
            <w:proofErr w:type="spellStart"/>
            <w:r w:rsidRPr="006A13D3">
              <w:rPr>
                <w:sz w:val="28"/>
                <w:szCs w:val="28"/>
              </w:rPr>
              <w:t>Умбрія</w:t>
            </w:r>
            <w:proofErr w:type="spellEnd"/>
          </w:p>
        </w:tc>
        <w:tc>
          <w:tcPr>
            <w:tcW w:w="718" w:type="pct"/>
            <w:noWrap/>
            <w:vAlign w:val="center"/>
            <w:hideMark/>
          </w:tcPr>
          <w:p w:rsidR="00FA3CA6" w:rsidRPr="006A13D3" w:rsidRDefault="00FA3CA6" w:rsidP="00B8477B">
            <w:pPr>
              <w:pStyle w:val="a8"/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RPr="006A13D3">
              <w:rPr>
                <w:sz w:val="28"/>
                <w:szCs w:val="28"/>
              </w:rPr>
              <w:t>4,34</w:t>
            </w:r>
          </w:p>
        </w:tc>
        <w:tc>
          <w:tcPr>
            <w:tcW w:w="491" w:type="pct"/>
            <w:vAlign w:val="center"/>
          </w:tcPr>
          <w:p w:rsidR="00FA3CA6" w:rsidRPr="006A13D3" w:rsidRDefault="00FA3CA6" w:rsidP="00B8477B">
            <w:pPr>
              <w:widowControl w:val="0"/>
              <w:spacing w:line="240" w:lineRule="auto"/>
              <w:ind w:firstLine="0"/>
              <w:jc w:val="center"/>
              <w:rPr>
                <w:sz w:val="28"/>
                <w:szCs w:val="28"/>
              </w:rPr>
            </w:pPr>
            <w:r w:rsidRPr="006A13D3">
              <w:rPr>
                <w:sz w:val="28"/>
                <w:szCs w:val="28"/>
              </w:rPr>
              <w:t>17</w:t>
            </w:r>
          </w:p>
        </w:tc>
        <w:tc>
          <w:tcPr>
            <w:tcW w:w="1154" w:type="pct"/>
            <w:noWrap/>
            <w:hideMark/>
          </w:tcPr>
          <w:p w:rsidR="00FA3CA6" w:rsidRPr="006A13D3" w:rsidRDefault="00FA3CA6" w:rsidP="00B8477B">
            <w:pPr>
              <w:pStyle w:val="a8"/>
              <w:widowControl w:val="0"/>
              <w:spacing w:line="240" w:lineRule="auto"/>
              <w:rPr>
                <w:sz w:val="28"/>
                <w:szCs w:val="28"/>
              </w:rPr>
            </w:pPr>
            <w:r w:rsidRPr="006A13D3">
              <w:rPr>
                <w:sz w:val="28"/>
                <w:szCs w:val="28"/>
              </w:rPr>
              <w:t>Сицилія</w:t>
            </w:r>
          </w:p>
        </w:tc>
        <w:tc>
          <w:tcPr>
            <w:tcW w:w="695" w:type="pct"/>
            <w:noWrap/>
            <w:vAlign w:val="center"/>
            <w:hideMark/>
          </w:tcPr>
          <w:p w:rsidR="00FA3CA6" w:rsidRPr="006A13D3" w:rsidRDefault="00FA3CA6" w:rsidP="00B8477B">
            <w:pPr>
              <w:pStyle w:val="a8"/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RPr="006A13D3">
              <w:rPr>
                <w:sz w:val="28"/>
                <w:szCs w:val="28"/>
              </w:rPr>
              <w:t>3,90</w:t>
            </w:r>
          </w:p>
        </w:tc>
      </w:tr>
      <w:tr w:rsidR="00FA3CA6" w:rsidRPr="006A13D3" w:rsidTr="006A13D3">
        <w:trPr>
          <w:trHeight w:val="199"/>
        </w:trPr>
        <w:tc>
          <w:tcPr>
            <w:tcW w:w="487" w:type="pct"/>
            <w:vAlign w:val="center"/>
          </w:tcPr>
          <w:p w:rsidR="00FA3CA6" w:rsidRPr="006A13D3" w:rsidRDefault="00FA3CA6" w:rsidP="00B8477B">
            <w:pPr>
              <w:pStyle w:val="a8"/>
              <w:widowControl w:val="0"/>
              <w:spacing w:line="240" w:lineRule="auto"/>
              <w:ind w:firstLine="28"/>
              <w:jc w:val="center"/>
              <w:rPr>
                <w:sz w:val="28"/>
                <w:szCs w:val="28"/>
              </w:rPr>
            </w:pPr>
            <w:r w:rsidRPr="006A13D3">
              <w:rPr>
                <w:sz w:val="28"/>
                <w:szCs w:val="28"/>
              </w:rPr>
              <w:t>9</w:t>
            </w:r>
          </w:p>
        </w:tc>
        <w:tc>
          <w:tcPr>
            <w:tcW w:w="1455" w:type="pct"/>
            <w:noWrap/>
            <w:hideMark/>
          </w:tcPr>
          <w:p w:rsidR="00FA3CA6" w:rsidRPr="006A13D3" w:rsidRDefault="00FA3CA6" w:rsidP="00B8477B">
            <w:pPr>
              <w:pStyle w:val="a8"/>
              <w:widowControl w:val="0"/>
              <w:spacing w:line="240" w:lineRule="auto"/>
              <w:rPr>
                <w:sz w:val="28"/>
                <w:szCs w:val="28"/>
              </w:rPr>
            </w:pPr>
            <w:proofErr w:type="spellStart"/>
            <w:r w:rsidRPr="006A13D3">
              <w:rPr>
                <w:sz w:val="28"/>
                <w:szCs w:val="28"/>
              </w:rPr>
              <w:t>Марше</w:t>
            </w:r>
            <w:proofErr w:type="spellEnd"/>
          </w:p>
        </w:tc>
        <w:tc>
          <w:tcPr>
            <w:tcW w:w="718" w:type="pct"/>
            <w:noWrap/>
            <w:vAlign w:val="center"/>
            <w:hideMark/>
          </w:tcPr>
          <w:p w:rsidR="00FA3CA6" w:rsidRPr="006A13D3" w:rsidRDefault="00FA3CA6" w:rsidP="00B8477B">
            <w:pPr>
              <w:pStyle w:val="a8"/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RPr="006A13D3">
              <w:rPr>
                <w:sz w:val="28"/>
                <w:szCs w:val="28"/>
              </w:rPr>
              <w:t>5,11</w:t>
            </w:r>
          </w:p>
        </w:tc>
        <w:tc>
          <w:tcPr>
            <w:tcW w:w="491" w:type="pct"/>
            <w:vAlign w:val="center"/>
          </w:tcPr>
          <w:p w:rsidR="00FA3CA6" w:rsidRPr="006A13D3" w:rsidRDefault="00FA3CA6" w:rsidP="00B8477B">
            <w:pPr>
              <w:widowControl w:val="0"/>
              <w:spacing w:line="240" w:lineRule="auto"/>
              <w:ind w:firstLine="0"/>
              <w:jc w:val="center"/>
              <w:rPr>
                <w:sz w:val="28"/>
                <w:szCs w:val="28"/>
              </w:rPr>
            </w:pPr>
            <w:r w:rsidRPr="006A13D3">
              <w:rPr>
                <w:sz w:val="28"/>
                <w:szCs w:val="28"/>
              </w:rPr>
              <w:t>18</w:t>
            </w:r>
          </w:p>
        </w:tc>
        <w:tc>
          <w:tcPr>
            <w:tcW w:w="1154" w:type="pct"/>
            <w:noWrap/>
            <w:hideMark/>
          </w:tcPr>
          <w:p w:rsidR="00FA3CA6" w:rsidRPr="006A13D3" w:rsidRDefault="00FA3CA6" w:rsidP="00B8477B">
            <w:pPr>
              <w:pStyle w:val="a8"/>
              <w:widowControl w:val="0"/>
              <w:spacing w:line="240" w:lineRule="auto"/>
              <w:rPr>
                <w:sz w:val="28"/>
                <w:szCs w:val="28"/>
              </w:rPr>
            </w:pPr>
            <w:r w:rsidRPr="006A13D3">
              <w:rPr>
                <w:sz w:val="28"/>
                <w:szCs w:val="28"/>
              </w:rPr>
              <w:t>Сардинія</w:t>
            </w:r>
          </w:p>
        </w:tc>
        <w:tc>
          <w:tcPr>
            <w:tcW w:w="695" w:type="pct"/>
            <w:noWrap/>
            <w:vAlign w:val="center"/>
            <w:hideMark/>
          </w:tcPr>
          <w:p w:rsidR="00FA3CA6" w:rsidRPr="006A13D3" w:rsidRDefault="00FA3CA6" w:rsidP="00B8477B">
            <w:pPr>
              <w:pStyle w:val="a8"/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RPr="006A13D3">
              <w:rPr>
                <w:sz w:val="28"/>
                <w:szCs w:val="28"/>
              </w:rPr>
              <w:t>1,08</w:t>
            </w:r>
          </w:p>
        </w:tc>
      </w:tr>
    </w:tbl>
    <w:p w:rsidR="00FA3CA6" w:rsidRDefault="00FA3CA6" w:rsidP="00FA3CA6">
      <w:pPr>
        <w:pStyle w:val="a8"/>
        <w:widowControl w:val="0"/>
      </w:pPr>
    </w:p>
    <w:p w:rsidR="00EF7BE7" w:rsidRPr="00B8477B" w:rsidRDefault="00EF7BE7" w:rsidP="00EF7BE7">
      <w:pPr>
        <w:widowControl w:val="0"/>
        <w:rPr>
          <w:sz w:val="28"/>
          <w:szCs w:val="28"/>
        </w:rPr>
      </w:pPr>
      <w:r w:rsidRPr="00B8477B">
        <w:rPr>
          <w:sz w:val="28"/>
          <w:szCs w:val="28"/>
        </w:rPr>
        <w:t>Відповідно до даних Центр</w:t>
      </w:r>
      <w:r>
        <w:rPr>
          <w:sz w:val="28"/>
          <w:szCs w:val="28"/>
        </w:rPr>
        <w:t>у статистики Італії в таблиці 4</w:t>
      </w:r>
      <w:r w:rsidRPr="00B8477B">
        <w:rPr>
          <w:sz w:val="28"/>
          <w:szCs w:val="28"/>
        </w:rPr>
        <w:t xml:space="preserve"> використані н</w:t>
      </w:r>
      <w:r w:rsidRPr="00B8477B">
        <w:rPr>
          <w:sz w:val="28"/>
          <w:szCs w:val="28"/>
        </w:rPr>
        <w:t>а</w:t>
      </w:r>
      <w:r w:rsidRPr="00B8477B">
        <w:rPr>
          <w:sz w:val="28"/>
          <w:szCs w:val="28"/>
        </w:rPr>
        <w:t xml:space="preserve">ступні географічні розбиття: Північний Захід: П'ємонт, </w:t>
      </w:r>
      <w:proofErr w:type="spellStart"/>
      <w:r w:rsidRPr="00B8477B">
        <w:rPr>
          <w:sz w:val="28"/>
          <w:szCs w:val="28"/>
        </w:rPr>
        <w:t>Валь-д'Аоста</w:t>
      </w:r>
      <w:proofErr w:type="spellEnd"/>
      <w:r w:rsidRPr="00B8477B">
        <w:rPr>
          <w:sz w:val="28"/>
          <w:szCs w:val="28"/>
        </w:rPr>
        <w:t xml:space="preserve"> / </w:t>
      </w:r>
      <w:proofErr w:type="spellStart"/>
      <w:r w:rsidRPr="00B8477B">
        <w:rPr>
          <w:sz w:val="28"/>
          <w:szCs w:val="28"/>
        </w:rPr>
        <w:t>Валье</w:t>
      </w:r>
      <w:proofErr w:type="spellEnd"/>
      <w:r w:rsidRPr="00B8477B">
        <w:rPr>
          <w:sz w:val="28"/>
          <w:szCs w:val="28"/>
        </w:rPr>
        <w:t xml:space="preserve"> </w:t>
      </w:r>
      <w:proofErr w:type="spellStart"/>
      <w:r w:rsidRPr="00B8477B">
        <w:rPr>
          <w:sz w:val="28"/>
          <w:szCs w:val="28"/>
        </w:rPr>
        <w:t>д'Аосте</w:t>
      </w:r>
      <w:proofErr w:type="spellEnd"/>
      <w:r w:rsidRPr="00B8477B">
        <w:rPr>
          <w:sz w:val="28"/>
          <w:szCs w:val="28"/>
        </w:rPr>
        <w:t xml:space="preserve">, </w:t>
      </w:r>
      <w:proofErr w:type="spellStart"/>
      <w:r w:rsidRPr="00B8477B">
        <w:rPr>
          <w:sz w:val="28"/>
          <w:szCs w:val="28"/>
        </w:rPr>
        <w:t>Лігурія</w:t>
      </w:r>
      <w:proofErr w:type="spellEnd"/>
      <w:r w:rsidRPr="00B8477B">
        <w:rPr>
          <w:sz w:val="28"/>
          <w:szCs w:val="28"/>
        </w:rPr>
        <w:t>, Ломбардія;</w:t>
      </w:r>
      <w:r>
        <w:rPr>
          <w:sz w:val="28"/>
          <w:szCs w:val="28"/>
        </w:rPr>
        <w:t xml:space="preserve"> </w:t>
      </w:r>
      <w:r w:rsidRPr="00B8477B">
        <w:rPr>
          <w:sz w:val="28"/>
          <w:szCs w:val="28"/>
        </w:rPr>
        <w:t xml:space="preserve">Північний схід: </w:t>
      </w:r>
      <w:proofErr w:type="spellStart"/>
      <w:r w:rsidRPr="00B8477B">
        <w:rPr>
          <w:sz w:val="28"/>
          <w:szCs w:val="28"/>
        </w:rPr>
        <w:t>Трентіно-Альто-Адідже</w:t>
      </w:r>
      <w:proofErr w:type="spellEnd"/>
      <w:r w:rsidRPr="00B8477B">
        <w:rPr>
          <w:sz w:val="28"/>
          <w:szCs w:val="28"/>
        </w:rPr>
        <w:t xml:space="preserve"> / </w:t>
      </w:r>
      <w:proofErr w:type="spellStart"/>
      <w:r w:rsidRPr="00B8477B">
        <w:rPr>
          <w:sz w:val="28"/>
          <w:szCs w:val="28"/>
        </w:rPr>
        <w:t>Юдтірол</w:t>
      </w:r>
      <w:proofErr w:type="spellEnd"/>
      <w:r w:rsidRPr="00B8477B">
        <w:rPr>
          <w:sz w:val="28"/>
          <w:szCs w:val="28"/>
        </w:rPr>
        <w:t xml:space="preserve">, </w:t>
      </w:r>
      <w:proofErr w:type="spellStart"/>
      <w:r w:rsidRPr="00B8477B">
        <w:rPr>
          <w:sz w:val="28"/>
          <w:szCs w:val="28"/>
        </w:rPr>
        <w:t>Венето</w:t>
      </w:r>
      <w:proofErr w:type="spellEnd"/>
      <w:r w:rsidRPr="00B8477B">
        <w:rPr>
          <w:sz w:val="28"/>
          <w:szCs w:val="28"/>
        </w:rPr>
        <w:t xml:space="preserve">, </w:t>
      </w:r>
      <w:proofErr w:type="spellStart"/>
      <w:r w:rsidRPr="00B8477B">
        <w:rPr>
          <w:sz w:val="28"/>
          <w:szCs w:val="28"/>
        </w:rPr>
        <w:t>Фріулі-Венеція-Джулія</w:t>
      </w:r>
      <w:proofErr w:type="spellEnd"/>
      <w:r w:rsidRPr="00B8477B">
        <w:rPr>
          <w:sz w:val="28"/>
          <w:szCs w:val="28"/>
        </w:rPr>
        <w:t xml:space="preserve">, </w:t>
      </w:r>
      <w:proofErr w:type="spellStart"/>
      <w:r w:rsidRPr="00B8477B">
        <w:rPr>
          <w:sz w:val="28"/>
          <w:szCs w:val="28"/>
        </w:rPr>
        <w:t>Емілія-Романья</w:t>
      </w:r>
      <w:proofErr w:type="spellEnd"/>
      <w:r w:rsidRPr="00B8477B">
        <w:rPr>
          <w:sz w:val="28"/>
          <w:szCs w:val="28"/>
        </w:rPr>
        <w:t xml:space="preserve">; Центр </w:t>
      </w:r>
      <w:r>
        <w:rPr>
          <w:sz w:val="28"/>
          <w:szCs w:val="28"/>
        </w:rPr>
        <w:t>–</w:t>
      </w:r>
      <w:r w:rsidRPr="00B8477B">
        <w:rPr>
          <w:sz w:val="28"/>
          <w:szCs w:val="28"/>
        </w:rPr>
        <w:t xml:space="preserve"> Тоскана, </w:t>
      </w:r>
      <w:proofErr w:type="spellStart"/>
      <w:r w:rsidRPr="00B8477B">
        <w:rPr>
          <w:sz w:val="28"/>
          <w:szCs w:val="28"/>
        </w:rPr>
        <w:t>Умбрія</w:t>
      </w:r>
      <w:proofErr w:type="spellEnd"/>
      <w:r w:rsidRPr="00B8477B">
        <w:rPr>
          <w:sz w:val="28"/>
          <w:szCs w:val="28"/>
        </w:rPr>
        <w:t xml:space="preserve">, </w:t>
      </w:r>
      <w:proofErr w:type="spellStart"/>
      <w:r w:rsidRPr="00B8477B">
        <w:rPr>
          <w:sz w:val="28"/>
          <w:szCs w:val="28"/>
        </w:rPr>
        <w:t>М</w:t>
      </w:r>
      <w:r w:rsidRPr="00B8477B">
        <w:rPr>
          <w:sz w:val="28"/>
          <w:szCs w:val="28"/>
        </w:rPr>
        <w:t>а</w:t>
      </w:r>
      <w:r w:rsidRPr="00B8477B">
        <w:rPr>
          <w:sz w:val="28"/>
          <w:szCs w:val="28"/>
        </w:rPr>
        <w:t>рке</w:t>
      </w:r>
      <w:proofErr w:type="spellEnd"/>
      <w:r w:rsidRPr="00B8477B">
        <w:rPr>
          <w:sz w:val="28"/>
          <w:szCs w:val="28"/>
        </w:rPr>
        <w:t xml:space="preserve">, </w:t>
      </w:r>
      <w:proofErr w:type="spellStart"/>
      <w:r w:rsidRPr="00B8477B">
        <w:rPr>
          <w:sz w:val="28"/>
          <w:szCs w:val="28"/>
        </w:rPr>
        <w:t>Лаціо</w:t>
      </w:r>
      <w:proofErr w:type="spellEnd"/>
      <w:r w:rsidRPr="00B8477B">
        <w:rPr>
          <w:sz w:val="28"/>
          <w:szCs w:val="28"/>
        </w:rPr>
        <w:t xml:space="preserve">; Південь </w:t>
      </w:r>
      <w:r>
        <w:rPr>
          <w:sz w:val="28"/>
          <w:szCs w:val="28"/>
        </w:rPr>
        <w:t>–</w:t>
      </w:r>
      <w:r w:rsidRPr="00B8477B">
        <w:rPr>
          <w:sz w:val="28"/>
          <w:szCs w:val="28"/>
        </w:rPr>
        <w:t xml:space="preserve"> </w:t>
      </w:r>
      <w:proofErr w:type="spellStart"/>
      <w:r w:rsidRPr="00B8477B">
        <w:rPr>
          <w:sz w:val="28"/>
          <w:szCs w:val="28"/>
        </w:rPr>
        <w:t>Абруццо</w:t>
      </w:r>
      <w:proofErr w:type="spellEnd"/>
      <w:r w:rsidRPr="00B8477B">
        <w:rPr>
          <w:sz w:val="28"/>
          <w:szCs w:val="28"/>
        </w:rPr>
        <w:t xml:space="preserve">, </w:t>
      </w:r>
      <w:proofErr w:type="spellStart"/>
      <w:r w:rsidRPr="00B8477B">
        <w:rPr>
          <w:sz w:val="28"/>
          <w:szCs w:val="28"/>
        </w:rPr>
        <w:t>Молізе</w:t>
      </w:r>
      <w:proofErr w:type="spellEnd"/>
      <w:r w:rsidRPr="00B8477B">
        <w:rPr>
          <w:sz w:val="28"/>
          <w:szCs w:val="28"/>
        </w:rPr>
        <w:t xml:space="preserve">, Кампанія, Апулія, </w:t>
      </w:r>
      <w:proofErr w:type="spellStart"/>
      <w:r w:rsidRPr="00B8477B">
        <w:rPr>
          <w:sz w:val="28"/>
          <w:szCs w:val="28"/>
        </w:rPr>
        <w:t>Базиліката</w:t>
      </w:r>
      <w:proofErr w:type="spellEnd"/>
      <w:r w:rsidRPr="00B8477B">
        <w:rPr>
          <w:sz w:val="28"/>
          <w:szCs w:val="28"/>
        </w:rPr>
        <w:t xml:space="preserve">, </w:t>
      </w:r>
      <w:proofErr w:type="spellStart"/>
      <w:r w:rsidRPr="00B8477B">
        <w:rPr>
          <w:sz w:val="28"/>
          <w:szCs w:val="28"/>
        </w:rPr>
        <w:t>Калабрія</w:t>
      </w:r>
      <w:proofErr w:type="spellEnd"/>
      <w:r w:rsidRPr="00B8477B">
        <w:rPr>
          <w:sz w:val="28"/>
          <w:szCs w:val="28"/>
        </w:rPr>
        <w:t xml:space="preserve">; Острови </w:t>
      </w:r>
      <w:r>
        <w:rPr>
          <w:sz w:val="28"/>
          <w:szCs w:val="28"/>
        </w:rPr>
        <w:t>–</w:t>
      </w:r>
      <w:r w:rsidRPr="00B8477B">
        <w:rPr>
          <w:sz w:val="28"/>
          <w:szCs w:val="28"/>
        </w:rPr>
        <w:t xml:space="preserve"> Сицилія, Сардинія.</w:t>
      </w:r>
    </w:p>
    <w:p w:rsidR="00FA3CA6" w:rsidRPr="00B8477B" w:rsidRDefault="00FA3CA6" w:rsidP="00FA3CA6">
      <w:pPr>
        <w:widowControl w:val="0"/>
        <w:rPr>
          <w:sz w:val="28"/>
          <w:szCs w:val="28"/>
        </w:rPr>
      </w:pPr>
      <w:r w:rsidRPr="00B8477B">
        <w:rPr>
          <w:sz w:val="28"/>
          <w:szCs w:val="28"/>
        </w:rPr>
        <w:t>Я</w:t>
      </w:r>
      <w:r w:rsidR="003039A9">
        <w:rPr>
          <w:sz w:val="28"/>
          <w:szCs w:val="28"/>
        </w:rPr>
        <w:t xml:space="preserve">кщо порівнювати регіони (рис. </w:t>
      </w:r>
      <w:r w:rsidRPr="00B8477B">
        <w:rPr>
          <w:sz w:val="28"/>
          <w:szCs w:val="28"/>
        </w:rPr>
        <w:t>8), у розрізі європейської системи регі</w:t>
      </w:r>
      <w:r w:rsidRPr="00B8477B">
        <w:rPr>
          <w:sz w:val="28"/>
          <w:szCs w:val="28"/>
        </w:rPr>
        <w:t>о</w:t>
      </w:r>
      <w:r w:rsidRPr="00B8477B">
        <w:rPr>
          <w:sz w:val="28"/>
          <w:szCs w:val="28"/>
        </w:rPr>
        <w:t xml:space="preserve">нального поділу </w:t>
      </w:r>
      <w:r w:rsidRPr="00B8477B">
        <w:rPr>
          <w:sz w:val="28"/>
          <w:szCs w:val="28"/>
          <w:lang w:val="en-US"/>
        </w:rPr>
        <w:t>NUTS</w:t>
      </w:r>
      <w:r w:rsidRPr="00B8477B">
        <w:rPr>
          <w:sz w:val="28"/>
          <w:szCs w:val="28"/>
        </w:rPr>
        <w:t>-2, то ступінь податкової залежності Півдня Італії сутт</w:t>
      </w:r>
      <w:r w:rsidRPr="00B8477B">
        <w:rPr>
          <w:sz w:val="28"/>
          <w:szCs w:val="28"/>
        </w:rPr>
        <w:t>є</w:t>
      </w:r>
      <w:r w:rsidRPr="00B8477B">
        <w:rPr>
          <w:sz w:val="28"/>
          <w:szCs w:val="28"/>
        </w:rPr>
        <w:t>во перевищує Північні регіони – у 4,8 рази для Північного Заходу та у 5,2 рази для Північного Сходу.</w:t>
      </w:r>
    </w:p>
    <w:p w:rsidR="00FA3CA6" w:rsidRDefault="00FA3CA6" w:rsidP="00B8477B">
      <w:pPr>
        <w:pStyle w:val="a8"/>
        <w:widowControl w:val="0"/>
        <w:jc w:val="center"/>
      </w:pPr>
      <w:r>
        <w:rPr>
          <w:noProof/>
          <w:lang w:val="ru-RU" w:eastAsia="ru-RU"/>
        </w:rPr>
        <w:lastRenderedPageBreak/>
        <w:drawing>
          <wp:inline distT="0" distB="0" distL="0" distR="0" wp14:anchorId="7EF08D98" wp14:editId="6D74F22F">
            <wp:extent cx="5676900" cy="2743200"/>
            <wp:effectExtent l="0" t="0" r="0" b="0"/>
            <wp:docPr id="5" name="Диаграмма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:rsidR="00FA3CA6" w:rsidRPr="00210AC4" w:rsidRDefault="00E769CF" w:rsidP="00E769CF">
      <w:pPr>
        <w:pStyle w:val="a8"/>
        <w:widowControl w:val="0"/>
        <w:jc w:val="center"/>
        <w:rPr>
          <w:b/>
          <w:sz w:val="28"/>
          <w:szCs w:val="28"/>
        </w:rPr>
      </w:pPr>
      <w:r w:rsidRPr="00E769CF">
        <w:rPr>
          <w:b/>
          <w:i/>
          <w:sz w:val="28"/>
          <w:szCs w:val="28"/>
        </w:rPr>
        <w:t xml:space="preserve">Рис. </w:t>
      </w:r>
      <w:r w:rsidR="00FA3CA6" w:rsidRPr="00E769CF">
        <w:rPr>
          <w:b/>
          <w:i/>
          <w:sz w:val="28"/>
          <w:szCs w:val="28"/>
        </w:rPr>
        <w:t>8</w:t>
      </w:r>
      <w:r w:rsidRPr="00E769CF">
        <w:rPr>
          <w:b/>
          <w:sz w:val="28"/>
          <w:szCs w:val="28"/>
        </w:rPr>
        <w:t>.</w:t>
      </w:r>
      <w:r w:rsidR="00FA3CA6" w:rsidRPr="00E769CF">
        <w:rPr>
          <w:b/>
          <w:sz w:val="28"/>
          <w:szCs w:val="28"/>
        </w:rPr>
        <w:t xml:space="preserve"> Ступінь податкової залежності регіонів Італії, Ломбардії та </w:t>
      </w:r>
      <w:proofErr w:type="spellStart"/>
      <w:r w:rsidR="00FA3CA6" w:rsidRPr="00E769CF">
        <w:rPr>
          <w:b/>
          <w:sz w:val="28"/>
          <w:szCs w:val="28"/>
        </w:rPr>
        <w:t>Венето</w:t>
      </w:r>
      <w:proofErr w:type="spellEnd"/>
      <w:r w:rsidR="00FA3CA6" w:rsidRPr="00E769CF">
        <w:rPr>
          <w:b/>
          <w:sz w:val="28"/>
          <w:szCs w:val="28"/>
        </w:rPr>
        <w:t xml:space="preserve">, 2015 р., </w:t>
      </w:r>
      <w:proofErr w:type="spellStart"/>
      <w:r w:rsidR="00FA3CA6" w:rsidRPr="00E769CF">
        <w:rPr>
          <w:b/>
          <w:sz w:val="28"/>
          <w:szCs w:val="28"/>
        </w:rPr>
        <w:t>відн</w:t>
      </w:r>
      <w:proofErr w:type="spellEnd"/>
      <w:r w:rsidR="00FA3CA6" w:rsidRPr="00E769CF">
        <w:rPr>
          <w:b/>
          <w:sz w:val="28"/>
          <w:szCs w:val="28"/>
        </w:rPr>
        <w:t xml:space="preserve">. одиниці </w:t>
      </w:r>
      <w:r w:rsidR="00210AC4" w:rsidRPr="00210AC4">
        <w:rPr>
          <w:b/>
          <w:sz w:val="28"/>
          <w:szCs w:val="28"/>
        </w:rPr>
        <w:t xml:space="preserve"> [8]</w:t>
      </w:r>
    </w:p>
    <w:p w:rsidR="00FA3CA6" w:rsidRPr="00B8477B" w:rsidRDefault="00FA3CA6" w:rsidP="00FA3CA6">
      <w:pPr>
        <w:widowControl w:val="0"/>
        <w:rPr>
          <w:sz w:val="28"/>
          <w:szCs w:val="28"/>
        </w:rPr>
      </w:pPr>
      <w:r w:rsidRPr="00B8477B">
        <w:rPr>
          <w:sz w:val="28"/>
          <w:szCs w:val="28"/>
        </w:rPr>
        <w:t xml:space="preserve">Ломбардія та </w:t>
      </w:r>
      <w:proofErr w:type="spellStart"/>
      <w:r w:rsidRPr="00B8477B">
        <w:rPr>
          <w:sz w:val="28"/>
          <w:szCs w:val="28"/>
        </w:rPr>
        <w:t>Венето</w:t>
      </w:r>
      <w:proofErr w:type="spellEnd"/>
      <w:r w:rsidRPr="00B8477B">
        <w:rPr>
          <w:sz w:val="28"/>
          <w:szCs w:val="28"/>
        </w:rPr>
        <w:t>, де останніми роками найбільш відчутно прогол</w:t>
      </w:r>
      <w:r w:rsidRPr="00B8477B">
        <w:rPr>
          <w:sz w:val="28"/>
          <w:szCs w:val="28"/>
        </w:rPr>
        <w:t>о</w:t>
      </w:r>
      <w:r w:rsidRPr="00B8477B">
        <w:rPr>
          <w:sz w:val="28"/>
          <w:szCs w:val="28"/>
        </w:rPr>
        <w:t>шувались гасла стосовно більшої автономії та необхідності самим розпорядж</w:t>
      </w:r>
      <w:r w:rsidRPr="00B8477B">
        <w:rPr>
          <w:sz w:val="28"/>
          <w:szCs w:val="28"/>
        </w:rPr>
        <w:t>а</w:t>
      </w:r>
      <w:r w:rsidRPr="00B8477B">
        <w:rPr>
          <w:sz w:val="28"/>
          <w:szCs w:val="28"/>
        </w:rPr>
        <w:t xml:space="preserve">тися власними податками, рівень податкової залежності від центрального уряду суттєво нижчий, порівняно з середнім показником для Італії. </w:t>
      </w:r>
    </w:p>
    <w:p w:rsidR="006A13D3" w:rsidRPr="00004FAD" w:rsidRDefault="006A13D3" w:rsidP="00004FAD">
      <w:pPr>
        <w:pStyle w:val="a8"/>
        <w:widowControl w:val="0"/>
        <w:ind w:firstLine="709"/>
        <w:rPr>
          <w:sz w:val="28"/>
          <w:szCs w:val="28"/>
        </w:rPr>
      </w:pPr>
      <w:r w:rsidRPr="00A2440E">
        <w:rPr>
          <w:b/>
          <w:sz w:val="28"/>
          <w:szCs w:val="28"/>
        </w:rPr>
        <w:t>Висновки та перспективи подальших досліджень.</w:t>
      </w:r>
      <w:r>
        <w:rPr>
          <w:b/>
          <w:sz w:val="28"/>
          <w:szCs w:val="28"/>
        </w:rPr>
        <w:t xml:space="preserve"> </w:t>
      </w:r>
      <w:r w:rsidRPr="00004FAD">
        <w:rPr>
          <w:sz w:val="28"/>
          <w:szCs w:val="28"/>
        </w:rPr>
        <w:t>Аналіз показав, що серед регіонів Італії, Бельгії та Іспанії спостерігається суттєва розбіжність за р</w:t>
      </w:r>
      <w:r w:rsidRPr="00004FAD">
        <w:rPr>
          <w:sz w:val="28"/>
          <w:szCs w:val="28"/>
        </w:rPr>
        <w:t>і</w:t>
      </w:r>
      <w:r w:rsidRPr="00004FAD">
        <w:rPr>
          <w:sz w:val="28"/>
          <w:szCs w:val="28"/>
        </w:rPr>
        <w:t>внем ВВП, рівень ВВП на душу населення в регіонах, де населення схильне до дезінтеграційної регіоналізації є вищим за інші регіони країн. Високі показники ВВП на душу населення порівняно з середнім по ЄС підігрівають настрої щодо відокремлення окремих регіонів країн Італії, Іспанії та Бельгії. Достатньо високі показники ВВП на душу населення, як і частка ВВП регіонів у сукупному ВВП країн обумовлена відносно високим рівнем економічної активності населення в них. Різниця у доходах домогосподарств в Бельгії не є занадто великою і тому, лише тільки цей фактор не може сам по собі слугувати джерелом розвитку де</w:t>
      </w:r>
      <w:r w:rsidRPr="00004FAD">
        <w:rPr>
          <w:sz w:val="28"/>
          <w:szCs w:val="28"/>
        </w:rPr>
        <w:t>з</w:t>
      </w:r>
      <w:r w:rsidRPr="00004FAD">
        <w:rPr>
          <w:sz w:val="28"/>
          <w:szCs w:val="28"/>
        </w:rPr>
        <w:t>інтеграційної регіоналізації. В Іспанії розбіжність у доходах домогосподарств між найбільш багатим регіоном – Північним Сходом (Країною Басків) та на</w:t>
      </w:r>
      <w:r w:rsidRPr="00004FAD">
        <w:rPr>
          <w:sz w:val="28"/>
          <w:szCs w:val="28"/>
        </w:rPr>
        <w:t>й</w:t>
      </w:r>
      <w:r w:rsidRPr="00004FAD">
        <w:rPr>
          <w:sz w:val="28"/>
          <w:szCs w:val="28"/>
        </w:rPr>
        <w:t xml:space="preserve">більш бідним – Півднем, </w:t>
      </w:r>
      <w:r w:rsidR="00004FAD" w:rsidRPr="00004FAD">
        <w:rPr>
          <w:sz w:val="28"/>
          <w:szCs w:val="28"/>
        </w:rPr>
        <w:t>велика</w:t>
      </w:r>
      <w:r w:rsidRPr="00004FAD">
        <w:rPr>
          <w:sz w:val="28"/>
          <w:szCs w:val="28"/>
        </w:rPr>
        <w:t>,</w:t>
      </w:r>
      <w:r w:rsidR="00004FAD" w:rsidRPr="00004FAD">
        <w:rPr>
          <w:sz w:val="28"/>
          <w:szCs w:val="28"/>
        </w:rPr>
        <w:t xml:space="preserve"> тому</w:t>
      </w:r>
      <w:r w:rsidRPr="00004FAD">
        <w:rPr>
          <w:sz w:val="28"/>
          <w:szCs w:val="28"/>
        </w:rPr>
        <w:t xml:space="preserve"> використовується право-радикальними політичними силами та популістами як аргумент стосовно можливого відділе</w:t>
      </w:r>
      <w:r w:rsidRPr="00004FAD">
        <w:rPr>
          <w:sz w:val="28"/>
          <w:szCs w:val="28"/>
        </w:rPr>
        <w:t>н</w:t>
      </w:r>
      <w:r w:rsidRPr="00004FAD">
        <w:rPr>
          <w:sz w:val="28"/>
          <w:szCs w:val="28"/>
        </w:rPr>
        <w:t xml:space="preserve">ня від країни (Каталонія) або розширення автономії (Країна Басків, Ломбардія, </w:t>
      </w:r>
      <w:proofErr w:type="spellStart"/>
      <w:r w:rsidRPr="00004FAD">
        <w:rPr>
          <w:sz w:val="28"/>
          <w:szCs w:val="28"/>
        </w:rPr>
        <w:lastRenderedPageBreak/>
        <w:t>Венето</w:t>
      </w:r>
      <w:proofErr w:type="spellEnd"/>
      <w:r w:rsidRPr="00004FAD">
        <w:rPr>
          <w:sz w:val="28"/>
          <w:szCs w:val="28"/>
        </w:rPr>
        <w:t>).</w:t>
      </w:r>
      <w:r w:rsidR="00004FAD" w:rsidRPr="00004FAD">
        <w:rPr>
          <w:sz w:val="28"/>
          <w:szCs w:val="28"/>
        </w:rPr>
        <w:t xml:space="preserve"> </w:t>
      </w:r>
      <w:r w:rsidRPr="00004FAD">
        <w:rPr>
          <w:sz w:val="28"/>
          <w:szCs w:val="28"/>
        </w:rPr>
        <w:t>Проведений аналіз економічної складової дезінтеграційної регіонал</w:t>
      </w:r>
      <w:r w:rsidRPr="00004FAD">
        <w:rPr>
          <w:sz w:val="28"/>
          <w:szCs w:val="28"/>
        </w:rPr>
        <w:t>і</w:t>
      </w:r>
      <w:r w:rsidRPr="00004FAD">
        <w:rPr>
          <w:sz w:val="28"/>
          <w:szCs w:val="28"/>
        </w:rPr>
        <w:t>зації дозволяє зробити висновок, що основним екон</w:t>
      </w:r>
      <w:bookmarkStart w:id="4" w:name="_GoBack"/>
      <w:bookmarkEnd w:id="4"/>
      <w:r w:rsidRPr="00004FAD">
        <w:rPr>
          <w:sz w:val="28"/>
          <w:szCs w:val="28"/>
        </w:rPr>
        <w:t>омічним фактором цього явища виступає нерівномірність розвитку регіонів і небажання більш багатих регіонів «утримувати» більш бідні.</w:t>
      </w:r>
      <w:r w:rsidR="00004FAD" w:rsidRPr="00004FAD">
        <w:rPr>
          <w:sz w:val="28"/>
          <w:szCs w:val="28"/>
        </w:rPr>
        <w:t xml:space="preserve"> </w:t>
      </w:r>
      <w:r w:rsidR="00E769CF">
        <w:rPr>
          <w:sz w:val="28"/>
          <w:szCs w:val="28"/>
        </w:rPr>
        <w:t xml:space="preserve">Подальший аналіз </w:t>
      </w:r>
      <w:r w:rsidR="00E769CF" w:rsidRPr="00004FAD">
        <w:rPr>
          <w:sz w:val="28"/>
          <w:szCs w:val="28"/>
        </w:rPr>
        <w:t>дезінтеграційної регіон</w:t>
      </w:r>
      <w:r w:rsidR="00E769CF" w:rsidRPr="00004FAD">
        <w:rPr>
          <w:sz w:val="28"/>
          <w:szCs w:val="28"/>
        </w:rPr>
        <w:t>а</w:t>
      </w:r>
      <w:r w:rsidR="00E769CF" w:rsidRPr="00004FAD">
        <w:rPr>
          <w:sz w:val="28"/>
          <w:szCs w:val="28"/>
        </w:rPr>
        <w:t>лізації</w:t>
      </w:r>
      <w:r w:rsidR="00E769CF">
        <w:rPr>
          <w:sz w:val="28"/>
          <w:szCs w:val="28"/>
        </w:rPr>
        <w:t xml:space="preserve"> в країнах ЄС передбачає аналіз соціальної та політичної складової.</w:t>
      </w:r>
    </w:p>
    <w:p w:rsidR="00DB1283" w:rsidRPr="000B3763" w:rsidRDefault="00DB1283" w:rsidP="00DB1283">
      <w:pPr>
        <w:widowControl w:val="0"/>
        <w:shd w:val="clear" w:color="auto" w:fill="FFFFFF"/>
        <w:ind w:firstLine="0"/>
        <w:jc w:val="center"/>
        <w:rPr>
          <w:b/>
          <w:i/>
        </w:rPr>
      </w:pPr>
      <w:proofErr w:type="spellStart"/>
      <w:r w:rsidRPr="000B3763">
        <w:rPr>
          <w:b/>
          <w:i/>
          <w:lang w:val="ru-RU"/>
        </w:rPr>
        <w:t>Джерела</w:t>
      </w:r>
      <w:proofErr w:type="spellEnd"/>
      <w:r w:rsidRPr="000B3763">
        <w:rPr>
          <w:b/>
          <w:i/>
          <w:lang w:val="ru-RU"/>
        </w:rPr>
        <w:t xml:space="preserve"> та </w:t>
      </w:r>
      <w:proofErr w:type="gramStart"/>
      <w:r w:rsidRPr="000B3763">
        <w:rPr>
          <w:b/>
          <w:i/>
        </w:rPr>
        <w:t>л</w:t>
      </w:r>
      <w:proofErr w:type="gramEnd"/>
      <w:r w:rsidRPr="000B3763">
        <w:rPr>
          <w:b/>
          <w:i/>
        </w:rPr>
        <w:t>ітература</w:t>
      </w:r>
    </w:p>
    <w:p w:rsidR="00DA136E" w:rsidRPr="00DA136E" w:rsidRDefault="00DA136E" w:rsidP="000F4642">
      <w:pPr>
        <w:numPr>
          <w:ilvl w:val="0"/>
          <w:numId w:val="8"/>
        </w:numPr>
        <w:tabs>
          <w:tab w:val="left" w:pos="993"/>
        </w:tabs>
        <w:ind w:left="993" w:hanging="284"/>
        <w:contextualSpacing/>
        <w:jc w:val="left"/>
        <w:rPr>
          <w:rFonts w:cs="Times New Roman"/>
          <w:szCs w:val="24"/>
        </w:rPr>
      </w:pPr>
      <w:proofErr w:type="spellStart"/>
      <w:r w:rsidRPr="00DA136E">
        <w:rPr>
          <w:rFonts w:cs="Times New Roman"/>
          <w:szCs w:val="24"/>
        </w:rPr>
        <w:t>Gross</w:t>
      </w:r>
      <w:proofErr w:type="spellEnd"/>
      <w:r w:rsidRPr="00DA136E">
        <w:rPr>
          <w:rFonts w:cs="Times New Roman"/>
          <w:szCs w:val="24"/>
        </w:rPr>
        <w:t xml:space="preserve"> </w:t>
      </w:r>
      <w:proofErr w:type="spellStart"/>
      <w:r w:rsidRPr="00DA136E">
        <w:rPr>
          <w:rFonts w:cs="Times New Roman"/>
          <w:szCs w:val="24"/>
        </w:rPr>
        <w:t>domestic</w:t>
      </w:r>
      <w:proofErr w:type="spellEnd"/>
      <w:r w:rsidRPr="00DA136E">
        <w:rPr>
          <w:rFonts w:cs="Times New Roman"/>
          <w:szCs w:val="24"/>
        </w:rPr>
        <w:t xml:space="preserve"> </w:t>
      </w:r>
      <w:proofErr w:type="spellStart"/>
      <w:r w:rsidRPr="00DA136E">
        <w:rPr>
          <w:rFonts w:cs="Times New Roman"/>
          <w:szCs w:val="24"/>
        </w:rPr>
        <w:t>product</w:t>
      </w:r>
      <w:proofErr w:type="spellEnd"/>
      <w:r w:rsidRPr="00DA136E">
        <w:rPr>
          <w:rFonts w:cs="Times New Roman"/>
          <w:szCs w:val="24"/>
        </w:rPr>
        <w:t xml:space="preserve"> (GDP) </w:t>
      </w:r>
      <w:proofErr w:type="spellStart"/>
      <w:r w:rsidRPr="00DA136E">
        <w:rPr>
          <w:rFonts w:cs="Times New Roman"/>
          <w:szCs w:val="24"/>
        </w:rPr>
        <w:t>at</w:t>
      </w:r>
      <w:proofErr w:type="spellEnd"/>
      <w:r w:rsidRPr="00DA136E">
        <w:rPr>
          <w:rFonts w:cs="Times New Roman"/>
          <w:szCs w:val="24"/>
        </w:rPr>
        <w:t xml:space="preserve"> </w:t>
      </w:r>
      <w:proofErr w:type="spellStart"/>
      <w:r w:rsidRPr="00DA136E">
        <w:rPr>
          <w:rFonts w:cs="Times New Roman"/>
          <w:szCs w:val="24"/>
        </w:rPr>
        <w:t>current</w:t>
      </w:r>
      <w:proofErr w:type="spellEnd"/>
      <w:r w:rsidRPr="00DA136E">
        <w:rPr>
          <w:rFonts w:cs="Times New Roman"/>
          <w:szCs w:val="24"/>
        </w:rPr>
        <w:t xml:space="preserve"> </w:t>
      </w:r>
      <w:proofErr w:type="spellStart"/>
      <w:r w:rsidRPr="00DA136E">
        <w:rPr>
          <w:rFonts w:cs="Times New Roman"/>
          <w:szCs w:val="24"/>
        </w:rPr>
        <w:t>market</w:t>
      </w:r>
      <w:proofErr w:type="spellEnd"/>
      <w:r w:rsidRPr="00DA136E">
        <w:rPr>
          <w:rFonts w:cs="Times New Roman"/>
          <w:szCs w:val="24"/>
        </w:rPr>
        <w:t xml:space="preserve"> </w:t>
      </w:r>
      <w:proofErr w:type="spellStart"/>
      <w:r w:rsidRPr="00DA136E">
        <w:rPr>
          <w:rFonts w:cs="Times New Roman"/>
          <w:szCs w:val="24"/>
        </w:rPr>
        <w:t>prices</w:t>
      </w:r>
      <w:proofErr w:type="spellEnd"/>
      <w:r w:rsidRPr="00DA136E">
        <w:rPr>
          <w:rFonts w:cs="Times New Roman"/>
          <w:szCs w:val="24"/>
        </w:rPr>
        <w:t xml:space="preserve"> </w:t>
      </w:r>
      <w:proofErr w:type="spellStart"/>
      <w:r w:rsidRPr="00DA136E">
        <w:rPr>
          <w:rFonts w:cs="Times New Roman"/>
          <w:szCs w:val="24"/>
        </w:rPr>
        <w:t>by</w:t>
      </w:r>
      <w:proofErr w:type="spellEnd"/>
      <w:r w:rsidRPr="00DA136E">
        <w:rPr>
          <w:rFonts w:cs="Times New Roman"/>
          <w:szCs w:val="24"/>
        </w:rPr>
        <w:t xml:space="preserve"> NUTS 2 </w:t>
      </w:r>
      <w:proofErr w:type="spellStart"/>
      <w:r w:rsidRPr="00DA136E">
        <w:rPr>
          <w:rFonts w:cs="Times New Roman"/>
          <w:szCs w:val="24"/>
        </w:rPr>
        <w:t>regions</w:t>
      </w:r>
      <w:proofErr w:type="spellEnd"/>
      <w:r w:rsidRPr="00DA136E">
        <w:rPr>
          <w:rFonts w:cs="Times New Roman"/>
          <w:szCs w:val="24"/>
        </w:rPr>
        <w:t xml:space="preserve"> [nama_10r_2gdp]</w:t>
      </w:r>
      <w:r w:rsidR="00DB1283" w:rsidRPr="000F4642">
        <w:rPr>
          <w:rFonts w:cs="Times New Roman"/>
          <w:szCs w:val="24"/>
          <w:lang w:val="en-US"/>
        </w:rPr>
        <w:t>.</w:t>
      </w:r>
      <w:r w:rsidRPr="00DA136E">
        <w:rPr>
          <w:rFonts w:cs="Times New Roman"/>
          <w:szCs w:val="24"/>
        </w:rPr>
        <w:t xml:space="preserve"> </w:t>
      </w:r>
      <w:r w:rsidR="00DB1283" w:rsidRPr="000F4642">
        <w:rPr>
          <w:rFonts w:cs="Times New Roman"/>
          <w:szCs w:val="24"/>
          <w:lang w:val="en-US"/>
        </w:rPr>
        <w:t>[</w:t>
      </w:r>
      <w:proofErr w:type="spellStart"/>
      <w:r w:rsidR="00DB1283" w:rsidRPr="000F4642">
        <w:rPr>
          <w:rFonts w:cs="Times New Roman"/>
          <w:szCs w:val="24"/>
          <w:lang w:val="en-US"/>
        </w:rPr>
        <w:t>Elektronnyiy</w:t>
      </w:r>
      <w:proofErr w:type="spellEnd"/>
      <w:r w:rsidR="00DB1283" w:rsidRPr="000F4642">
        <w:rPr>
          <w:rFonts w:cs="Times New Roman"/>
          <w:szCs w:val="24"/>
          <w:lang w:val="en-US"/>
        </w:rPr>
        <w:t xml:space="preserve"> </w:t>
      </w:r>
      <w:proofErr w:type="spellStart"/>
      <w:r w:rsidR="00DB1283" w:rsidRPr="000F4642">
        <w:rPr>
          <w:rFonts w:cs="Times New Roman"/>
          <w:szCs w:val="24"/>
          <w:lang w:val="en-US"/>
        </w:rPr>
        <w:t>resurs</w:t>
      </w:r>
      <w:proofErr w:type="spellEnd"/>
      <w:r w:rsidR="00DB1283" w:rsidRPr="000F4642">
        <w:rPr>
          <w:rFonts w:cs="Times New Roman"/>
          <w:szCs w:val="24"/>
          <w:lang w:val="en-US"/>
        </w:rPr>
        <w:t xml:space="preserve">] </w:t>
      </w:r>
      <w:r w:rsidR="00DB1283" w:rsidRPr="000F4642">
        <w:rPr>
          <w:rFonts w:eastAsia="Calibri" w:cs="Times New Roman"/>
          <w:szCs w:val="24"/>
          <w:lang w:eastAsia="uk-UA"/>
        </w:rPr>
        <w:t xml:space="preserve">/ </w:t>
      </w:r>
      <w:r w:rsidR="00DB1283" w:rsidRPr="000F4642">
        <w:rPr>
          <w:rFonts w:eastAsia="Calibri" w:cs="Times New Roman"/>
          <w:szCs w:val="24"/>
          <w:lang w:val="en-US" w:eastAsia="uk-UA"/>
        </w:rPr>
        <w:t xml:space="preserve">Eurostat. </w:t>
      </w:r>
      <w:r w:rsidR="00DB1283" w:rsidRPr="000F4642">
        <w:rPr>
          <w:rFonts w:cs="Times New Roman"/>
          <w:szCs w:val="24"/>
          <w:lang w:val="en-US"/>
        </w:rPr>
        <w:t xml:space="preserve">– </w:t>
      </w:r>
      <w:proofErr w:type="spellStart"/>
      <w:r w:rsidR="00DB1283" w:rsidRPr="000F4642">
        <w:rPr>
          <w:rFonts w:eastAsia="Times New Roman" w:cs="Times New Roman"/>
          <w:szCs w:val="24"/>
          <w:lang w:val="en-US" w:eastAsia="ru-RU"/>
        </w:rPr>
        <w:t>Rezhym</w:t>
      </w:r>
      <w:proofErr w:type="spellEnd"/>
      <w:r w:rsidR="00DB1283" w:rsidRPr="000F4642">
        <w:rPr>
          <w:rFonts w:eastAsia="Times New Roman" w:cs="Times New Roman"/>
          <w:szCs w:val="24"/>
          <w:lang w:val="en-US" w:eastAsia="ru-RU"/>
        </w:rPr>
        <w:t xml:space="preserve"> </w:t>
      </w:r>
      <w:proofErr w:type="spellStart"/>
      <w:r w:rsidR="00DB1283" w:rsidRPr="000F4642">
        <w:rPr>
          <w:rFonts w:eastAsia="Times New Roman" w:cs="Times New Roman"/>
          <w:szCs w:val="24"/>
          <w:lang w:val="en-US" w:eastAsia="ru-RU"/>
        </w:rPr>
        <w:t>dostupu</w:t>
      </w:r>
      <w:proofErr w:type="spellEnd"/>
      <w:r w:rsidR="00DB1283" w:rsidRPr="000F4642">
        <w:rPr>
          <w:rFonts w:eastAsia="Times New Roman" w:cs="Times New Roman"/>
          <w:szCs w:val="24"/>
          <w:lang w:val="en-US" w:eastAsia="ru-RU"/>
        </w:rPr>
        <w:t xml:space="preserve">: </w:t>
      </w:r>
      <w:r w:rsidRPr="00DA136E">
        <w:rPr>
          <w:rFonts w:cs="Times New Roman"/>
          <w:szCs w:val="24"/>
        </w:rPr>
        <w:t>http://appsso.eurostat.ec.europa.eu/nui/setupDownloads.do</w:t>
      </w:r>
    </w:p>
    <w:p w:rsidR="00DA136E" w:rsidRPr="00DA136E" w:rsidRDefault="00DA136E" w:rsidP="000F4642">
      <w:pPr>
        <w:numPr>
          <w:ilvl w:val="0"/>
          <w:numId w:val="8"/>
        </w:numPr>
        <w:tabs>
          <w:tab w:val="left" w:pos="993"/>
        </w:tabs>
        <w:ind w:left="993" w:hanging="284"/>
        <w:contextualSpacing/>
        <w:jc w:val="left"/>
        <w:rPr>
          <w:rFonts w:cs="Times New Roman"/>
          <w:szCs w:val="24"/>
        </w:rPr>
      </w:pPr>
      <w:proofErr w:type="spellStart"/>
      <w:r w:rsidRPr="00DA136E">
        <w:rPr>
          <w:rFonts w:cs="Times New Roman"/>
          <w:szCs w:val="24"/>
        </w:rPr>
        <w:t>Gross</w:t>
      </w:r>
      <w:proofErr w:type="spellEnd"/>
      <w:r w:rsidRPr="00DA136E">
        <w:rPr>
          <w:rFonts w:cs="Times New Roman"/>
          <w:szCs w:val="24"/>
        </w:rPr>
        <w:t xml:space="preserve"> </w:t>
      </w:r>
      <w:proofErr w:type="spellStart"/>
      <w:r w:rsidRPr="00DA136E">
        <w:rPr>
          <w:rFonts w:cs="Times New Roman"/>
          <w:szCs w:val="24"/>
        </w:rPr>
        <w:t>domestic</w:t>
      </w:r>
      <w:proofErr w:type="spellEnd"/>
      <w:r w:rsidRPr="00DA136E">
        <w:rPr>
          <w:rFonts w:cs="Times New Roman"/>
          <w:szCs w:val="24"/>
        </w:rPr>
        <w:t xml:space="preserve"> </w:t>
      </w:r>
      <w:proofErr w:type="spellStart"/>
      <w:r w:rsidRPr="00DA136E">
        <w:rPr>
          <w:rFonts w:cs="Times New Roman"/>
          <w:szCs w:val="24"/>
        </w:rPr>
        <w:t>product</w:t>
      </w:r>
      <w:proofErr w:type="spellEnd"/>
      <w:r w:rsidRPr="00DA136E">
        <w:rPr>
          <w:rFonts w:cs="Times New Roman"/>
          <w:szCs w:val="24"/>
        </w:rPr>
        <w:t xml:space="preserve"> (GDP) </w:t>
      </w:r>
      <w:proofErr w:type="spellStart"/>
      <w:r w:rsidRPr="00DA136E">
        <w:rPr>
          <w:rFonts w:cs="Times New Roman"/>
          <w:szCs w:val="24"/>
        </w:rPr>
        <w:t>at</w:t>
      </w:r>
      <w:proofErr w:type="spellEnd"/>
      <w:r w:rsidRPr="00DA136E">
        <w:rPr>
          <w:rFonts w:cs="Times New Roman"/>
          <w:szCs w:val="24"/>
        </w:rPr>
        <w:t xml:space="preserve"> </w:t>
      </w:r>
      <w:proofErr w:type="spellStart"/>
      <w:r w:rsidRPr="00DA136E">
        <w:rPr>
          <w:rFonts w:cs="Times New Roman"/>
          <w:szCs w:val="24"/>
        </w:rPr>
        <w:t>current</w:t>
      </w:r>
      <w:proofErr w:type="spellEnd"/>
      <w:r w:rsidRPr="00DA136E">
        <w:rPr>
          <w:rFonts w:cs="Times New Roman"/>
          <w:szCs w:val="24"/>
        </w:rPr>
        <w:t xml:space="preserve"> </w:t>
      </w:r>
      <w:proofErr w:type="spellStart"/>
      <w:r w:rsidRPr="00DA136E">
        <w:rPr>
          <w:rFonts w:cs="Times New Roman"/>
          <w:szCs w:val="24"/>
        </w:rPr>
        <w:t>market</w:t>
      </w:r>
      <w:proofErr w:type="spellEnd"/>
      <w:r w:rsidRPr="00DA136E">
        <w:rPr>
          <w:rFonts w:cs="Times New Roman"/>
          <w:szCs w:val="24"/>
        </w:rPr>
        <w:t xml:space="preserve"> </w:t>
      </w:r>
      <w:proofErr w:type="spellStart"/>
      <w:r w:rsidRPr="00DA136E">
        <w:rPr>
          <w:rFonts w:cs="Times New Roman"/>
          <w:szCs w:val="24"/>
        </w:rPr>
        <w:t>prices</w:t>
      </w:r>
      <w:proofErr w:type="spellEnd"/>
      <w:r w:rsidRPr="00DA136E">
        <w:rPr>
          <w:rFonts w:cs="Times New Roman"/>
          <w:szCs w:val="24"/>
        </w:rPr>
        <w:t xml:space="preserve"> </w:t>
      </w:r>
      <w:proofErr w:type="spellStart"/>
      <w:r w:rsidRPr="00DA136E">
        <w:rPr>
          <w:rFonts w:cs="Times New Roman"/>
          <w:szCs w:val="24"/>
        </w:rPr>
        <w:t>by</w:t>
      </w:r>
      <w:proofErr w:type="spellEnd"/>
      <w:r w:rsidRPr="00DA136E">
        <w:rPr>
          <w:rFonts w:cs="Times New Roman"/>
          <w:szCs w:val="24"/>
        </w:rPr>
        <w:t xml:space="preserve"> NUTS 2 </w:t>
      </w:r>
      <w:proofErr w:type="spellStart"/>
      <w:r w:rsidRPr="00DA136E">
        <w:rPr>
          <w:rFonts w:cs="Times New Roman"/>
          <w:szCs w:val="24"/>
        </w:rPr>
        <w:t>regions</w:t>
      </w:r>
      <w:proofErr w:type="spellEnd"/>
      <w:r w:rsidRPr="00DA136E">
        <w:rPr>
          <w:rFonts w:cs="Times New Roman"/>
          <w:szCs w:val="24"/>
        </w:rPr>
        <w:t xml:space="preserve"> [nama_10r_2gdp] </w:t>
      </w:r>
      <w:r w:rsidR="00DB1283" w:rsidRPr="000F4642">
        <w:rPr>
          <w:rFonts w:cs="Times New Roman"/>
          <w:szCs w:val="24"/>
          <w:lang w:val="en-US"/>
        </w:rPr>
        <w:t>[</w:t>
      </w:r>
      <w:proofErr w:type="spellStart"/>
      <w:r w:rsidR="00DB1283" w:rsidRPr="000F4642">
        <w:rPr>
          <w:rFonts w:cs="Times New Roman"/>
          <w:szCs w:val="24"/>
          <w:lang w:val="en-US"/>
        </w:rPr>
        <w:t>Elektronnyiy</w:t>
      </w:r>
      <w:proofErr w:type="spellEnd"/>
      <w:r w:rsidR="00DB1283" w:rsidRPr="000F4642">
        <w:rPr>
          <w:rFonts w:cs="Times New Roman"/>
          <w:szCs w:val="24"/>
          <w:lang w:val="en-US"/>
        </w:rPr>
        <w:t xml:space="preserve"> </w:t>
      </w:r>
      <w:proofErr w:type="spellStart"/>
      <w:r w:rsidR="00DB1283" w:rsidRPr="000F4642">
        <w:rPr>
          <w:rFonts w:cs="Times New Roman"/>
          <w:szCs w:val="24"/>
          <w:lang w:val="en-US"/>
        </w:rPr>
        <w:t>resurs</w:t>
      </w:r>
      <w:proofErr w:type="spellEnd"/>
      <w:r w:rsidR="00DB1283" w:rsidRPr="000F4642">
        <w:rPr>
          <w:rFonts w:cs="Times New Roman"/>
          <w:szCs w:val="24"/>
          <w:lang w:val="en-US"/>
        </w:rPr>
        <w:t xml:space="preserve">] </w:t>
      </w:r>
      <w:r w:rsidR="00DB1283" w:rsidRPr="000F4642">
        <w:rPr>
          <w:rFonts w:eastAsia="Calibri" w:cs="Times New Roman"/>
          <w:szCs w:val="24"/>
          <w:lang w:eastAsia="uk-UA"/>
        </w:rPr>
        <w:t xml:space="preserve">/ </w:t>
      </w:r>
      <w:r w:rsidR="00DB1283" w:rsidRPr="000F4642">
        <w:rPr>
          <w:rFonts w:eastAsia="Calibri" w:cs="Times New Roman"/>
          <w:szCs w:val="24"/>
          <w:lang w:val="en-US" w:eastAsia="uk-UA"/>
        </w:rPr>
        <w:t xml:space="preserve">Eurostat. </w:t>
      </w:r>
      <w:r w:rsidR="00DB1283" w:rsidRPr="000F4642">
        <w:rPr>
          <w:rFonts w:cs="Times New Roman"/>
          <w:szCs w:val="24"/>
          <w:lang w:val="en-US"/>
        </w:rPr>
        <w:t xml:space="preserve">– </w:t>
      </w:r>
      <w:proofErr w:type="spellStart"/>
      <w:r w:rsidR="00DB1283" w:rsidRPr="000F4642">
        <w:rPr>
          <w:rFonts w:eastAsia="Times New Roman" w:cs="Times New Roman"/>
          <w:szCs w:val="24"/>
          <w:lang w:val="en-US" w:eastAsia="ru-RU"/>
        </w:rPr>
        <w:t>Rezhym</w:t>
      </w:r>
      <w:proofErr w:type="spellEnd"/>
      <w:r w:rsidR="00DB1283" w:rsidRPr="000F4642">
        <w:rPr>
          <w:rFonts w:eastAsia="Times New Roman" w:cs="Times New Roman"/>
          <w:szCs w:val="24"/>
          <w:lang w:val="en-US" w:eastAsia="ru-RU"/>
        </w:rPr>
        <w:t xml:space="preserve"> </w:t>
      </w:r>
      <w:proofErr w:type="spellStart"/>
      <w:r w:rsidR="00DB1283" w:rsidRPr="000F4642">
        <w:rPr>
          <w:rFonts w:eastAsia="Times New Roman" w:cs="Times New Roman"/>
          <w:szCs w:val="24"/>
          <w:lang w:val="en-US" w:eastAsia="ru-RU"/>
        </w:rPr>
        <w:t>dostupu</w:t>
      </w:r>
      <w:proofErr w:type="spellEnd"/>
      <w:r w:rsidR="00DB1283" w:rsidRPr="000F4642">
        <w:rPr>
          <w:rFonts w:eastAsia="Times New Roman" w:cs="Times New Roman"/>
          <w:szCs w:val="24"/>
          <w:lang w:val="en-US" w:eastAsia="ru-RU"/>
        </w:rPr>
        <w:t xml:space="preserve">: </w:t>
      </w:r>
      <w:r w:rsidRPr="00DA136E">
        <w:rPr>
          <w:rFonts w:cs="Times New Roman"/>
          <w:szCs w:val="24"/>
        </w:rPr>
        <w:t>http://appsso.eurostat.ec.europa.eu/nui/show.do?dataset=nama_10r_2gdp&amp;lang=en</w:t>
      </w:r>
    </w:p>
    <w:p w:rsidR="00DA136E" w:rsidRPr="00DA136E" w:rsidRDefault="00DA136E" w:rsidP="000F4642">
      <w:pPr>
        <w:numPr>
          <w:ilvl w:val="0"/>
          <w:numId w:val="8"/>
        </w:numPr>
        <w:tabs>
          <w:tab w:val="left" w:pos="993"/>
        </w:tabs>
        <w:ind w:left="993" w:hanging="284"/>
        <w:contextualSpacing/>
        <w:jc w:val="left"/>
        <w:rPr>
          <w:rFonts w:cs="Times New Roman"/>
          <w:szCs w:val="24"/>
        </w:rPr>
      </w:pPr>
      <w:proofErr w:type="spellStart"/>
      <w:r w:rsidRPr="00DA136E">
        <w:rPr>
          <w:rFonts w:cs="Times New Roman"/>
          <w:szCs w:val="24"/>
        </w:rPr>
        <w:t>Purchasing</w:t>
      </w:r>
      <w:proofErr w:type="spellEnd"/>
      <w:r w:rsidRPr="00DA136E">
        <w:rPr>
          <w:rFonts w:cs="Times New Roman"/>
          <w:szCs w:val="24"/>
        </w:rPr>
        <w:t xml:space="preserve"> </w:t>
      </w:r>
      <w:proofErr w:type="spellStart"/>
      <w:r w:rsidRPr="00DA136E">
        <w:rPr>
          <w:rFonts w:cs="Times New Roman"/>
          <w:szCs w:val="24"/>
        </w:rPr>
        <w:t>power</w:t>
      </w:r>
      <w:proofErr w:type="spellEnd"/>
      <w:r w:rsidRPr="00DA136E">
        <w:rPr>
          <w:rFonts w:cs="Times New Roman"/>
          <w:szCs w:val="24"/>
        </w:rPr>
        <w:t xml:space="preserve"> </w:t>
      </w:r>
      <w:proofErr w:type="spellStart"/>
      <w:r w:rsidRPr="00DA136E">
        <w:rPr>
          <w:rFonts w:cs="Times New Roman"/>
          <w:szCs w:val="24"/>
        </w:rPr>
        <w:t>standard</w:t>
      </w:r>
      <w:proofErr w:type="spellEnd"/>
      <w:r w:rsidRPr="00DA136E">
        <w:rPr>
          <w:rFonts w:cs="Times New Roman"/>
          <w:szCs w:val="24"/>
        </w:rPr>
        <w:t xml:space="preserve"> (PPS) </w:t>
      </w:r>
      <w:proofErr w:type="spellStart"/>
      <w:r w:rsidRPr="00DA136E">
        <w:rPr>
          <w:rFonts w:cs="Times New Roman"/>
          <w:szCs w:val="24"/>
        </w:rPr>
        <w:t>per</w:t>
      </w:r>
      <w:proofErr w:type="spellEnd"/>
      <w:r w:rsidRPr="00DA136E">
        <w:rPr>
          <w:rFonts w:cs="Times New Roman"/>
          <w:szCs w:val="24"/>
        </w:rPr>
        <w:t xml:space="preserve"> </w:t>
      </w:r>
      <w:proofErr w:type="spellStart"/>
      <w:r w:rsidRPr="00DA136E">
        <w:rPr>
          <w:rFonts w:cs="Times New Roman"/>
          <w:szCs w:val="24"/>
        </w:rPr>
        <w:t>inhabitant</w:t>
      </w:r>
      <w:proofErr w:type="spellEnd"/>
      <w:r w:rsidRPr="00DA136E">
        <w:rPr>
          <w:rFonts w:cs="Times New Roman"/>
          <w:szCs w:val="24"/>
        </w:rPr>
        <w:t xml:space="preserve"> </w:t>
      </w:r>
      <w:proofErr w:type="spellStart"/>
      <w:r w:rsidRPr="00DA136E">
        <w:rPr>
          <w:rFonts w:cs="Times New Roman"/>
          <w:szCs w:val="24"/>
        </w:rPr>
        <w:t>in</w:t>
      </w:r>
      <w:proofErr w:type="spellEnd"/>
      <w:r w:rsidRPr="00DA136E">
        <w:rPr>
          <w:rFonts w:cs="Times New Roman"/>
          <w:szCs w:val="24"/>
        </w:rPr>
        <w:t xml:space="preserve"> </w:t>
      </w:r>
      <w:proofErr w:type="spellStart"/>
      <w:r w:rsidRPr="00DA136E">
        <w:rPr>
          <w:rFonts w:cs="Times New Roman"/>
          <w:szCs w:val="24"/>
        </w:rPr>
        <w:t>percentage</w:t>
      </w:r>
      <w:proofErr w:type="spellEnd"/>
      <w:r w:rsidRPr="00DA136E">
        <w:rPr>
          <w:rFonts w:cs="Times New Roman"/>
          <w:szCs w:val="24"/>
        </w:rPr>
        <w:t xml:space="preserve"> </w:t>
      </w:r>
      <w:proofErr w:type="spellStart"/>
      <w:r w:rsidRPr="00DA136E">
        <w:rPr>
          <w:rFonts w:cs="Times New Roman"/>
          <w:szCs w:val="24"/>
        </w:rPr>
        <w:t>of</w:t>
      </w:r>
      <w:proofErr w:type="spellEnd"/>
      <w:r w:rsidRPr="00DA136E">
        <w:rPr>
          <w:rFonts w:cs="Times New Roman"/>
          <w:szCs w:val="24"/>
        </w:rPr>
        <w:t xml:space="preserve"> </w:t>
      </w:r>
      <w:proofErr w:type="spellStart"/>
      <w:r w:rsidRPr="00DA136E">
        <w:rPr>
          <w:rFonts w:cs="Times New Roman"/>
          <w:szCs w:val="24"/>
        </w:rPr>
        <w:t>the</w:t>
      </w:r>
      <w:proofErr w:type="spellEnd"/>
      <w:r w:rsidRPr="00DA136E">
        <w:rPr>
          <w:rFonts w:cs="Times New Roman"/>
          <w:szCs w:val="24"/>
        </w:rPr>
        <w:t xml:space="preserve"> EU </w:t>
      </w:r>
      <w:proofErr w:type="spellStart"/>
      <w:r w:rsidRPr="00DA136E">
        <w:rPr>
          <w:rFonts w:cs="Times New Roman"/>
          <w:szCs w:val="24"/>
        </w:rPr>
        <w:t>average</w:t>
      </w:r>
      <w:proofErr w:type="spellEnd"/>
      <w:r w:rsidR="00DB1283" w:rsidRPr="000F4642">
        <w:rPr>
          <w:rFonts w:cs="Times New Roman"/>
          <w:szCs w:val="24"/>
          <w:lang w:val="en-US"/>
        </w:rPr>
        <w:t>. [</w:t>
      </w:r>
      <w:proofErr w:type="spellStart"/>
      <w:r w:rsidR="00DB1283" w:rsidRPr="000F4642">
        <w:rPr>
          <w:rFonts w:cs="Times New Roman"/>
          <w:szCs w:val="24"/>
          <w:lang w:val="en-US"/>
        </w:rPr>
        <w:t>E</w:t>
      </w:r>
      <w:r w:rsidR="00DB1283" w:rsidRPr="000F4642">
        <w:rPr>
          <w:rFonts w:cs="Times New Roman"/>
          <w:szCs w:val="24"/>
          <w:lang w:val="en-US"/>
        </w:rPr>
        <w:t>l</w:t>
      </w:r>
      <w:r w:rsidR="00DB1283" w:rsidRPr="000F4642">
        <w:rPr>
          <w:rFonts w:cs="Times New Roman"/>
          <w:szCs w:val="24"/>
          <w:lang w:val="en-US"/>
        </w:rPr>
        <w:t>ektronnyiy</w:t>
      </w:r>
      <w:proofErr w:type="spellEnd"/>
      <w:r w:rsidR="00DB1283" w:rsidRPr="000F4642">
        <w:rPr>
          <w:rFonts w:cs="Times New Roman"/>
          <w:szCs w:val="24"/>
          <w:lang w:val="en-US"/>
        </w:rPr>
        <w:t xml:space="preserve"> </w:t>
      </w:r>
      <w:proofErr w:type="spellStart"/>
      <w:r w:rsidR="00DB1283" w:rsidRPr="000F4642">
        <w:rPr>
          <w:rFonts w:cs="Times New Roman"/>
          <w:szCs w:val="24"/>
          <w:lang w:val="en-US"/>
        </w:rPr>
        <w:t>resurs</w:t>
      </w:r>
      <w:proofErr w:type="spellEnd"/>
      <w:r w:rsidR="00DB1283" w:rsidRPr="000F4642">
        <w:rPr>
          <w:rFonts w:cs="Times New Roman"/>
          <w:szCs w:val="24"/>
          <w:lang w:val="en-US"/>
        </w:rPr>
        <w:t xml:space="preserve">] </w:t>
      </w:r>
      <w:r w:rsidR="00DB1283" w:rsidRPr="000F4642">
        <w:rPr>
          <w:rFonts w:eastAsia="Calibri" w:cs="Times New Roman"/>
          <w:szCs w:val="24"/>
          <w:lang w:eastAsia="uk-UA"/>
        </w:rPr>
        <w:t xml:space="preserve">/ </w:t>
      </w:r>
      <w:r w:rsidR="00DB1283" w:rsidRPr="000F4642">
        <w:rPr>
          <w:rFonts w:eastAsia="Calibri" w:cs="Times New Roman"/>
          <w:szCs w:val="24"/>
          <w:lang w:val="en-US" w:eastAsia="uk-UA"/>
        </w:rPr>
        <w:t xml:space="preserve">Eurostat. </w:t>
      </w:r>
      <w:r w:rsidR="00DB1283" w:rsidRPr="000F4642">
        <w:rPr>
          <w:rFonts w:cs="Times New Roman"/>
          <w:szCs w:val="24"/>
          <w:lang w:val="en-US"/>
        </w:rPr>
        <w:t xml:space="preserve">– </w:t>
      </w:r>
      <w:proofErr w:type="spellStart"/>
      <w:r w:rsidR="00DB1283" w:rsidRPr="000F4642">
        <w:rPr>
          <w:rFonts w:eastAsia="Times New Roman" w:cs="Times New Roman"/>
          <w:szCs w:val="24"/>
          <w:lang w:val="en-US" w:eastAsia="ru-RU"/>
        </w:rPr>
        <w:t>Rezhym</w:t>
      </w:r>
      <w:proofErr w:type="spellEnd"/>
      <w:r w:rsidR="00DB1283" w:rsidRPr="000F4642">
        <w:rPr>
          <w:rFonts w:eastAsia="Times New Roman" w:cs="Times New Roman"/>
          <w:szCs w:val="24"/>
          <w:lang w:val="en-US" w:eastAsia="ru-RU"/>
        </w:rPr>
        <w:t xml:space="preserve"> </w:t>
      </w:r>
      <w:proofErr w:type="spellStart"/>
      <w:r w:rsidR="00DB1283" w:rsidRPr="000F4642">
        <w:rPr>
          <w:rFonts w:eastAsia="Times New Roman" w:cs="Times New Roman"/>
          <w:szCs w:val="24"/>
          <w:lang w:val="en-US" w:eastAsia="ru-RU"/>
        </w:rPr>
        <w:t>dostupu</w:t>
      </w:r>
      <w:proofErr w:type="spellEnd"/>
      <w:r w:rsidR="00DB1283" w:rsidRPr="000F4642">
        <w:rPr>
          <w:rFonts w:eastAsia="Times New Roman" w:cs="Times New Roman"/>
          <w:szCs w:val="24"/>
          <w:lang w:val="en-US" w:eastAsia="ru-RU"/>
        </w:rPr>
        <w:t xml:space="preserve">: </w:t>
      </w:r>
      <w:r w:rsidRPr="00DA136E">
        <w:rPr>
          <w:rFonts w:cs="Times New Roman"/>
          <w:szCs w:val="24"/>
        </w:rPr>
        <w:t>http://appsso.eurostat.ec.europa.eu/nui/show.do?dataset=nama_10r_2gdp&amp;lang=en</w:t>
      </w:r>
    </w:p>
    <w:p w:rsidR="00DA136E" w:rsidRPr="00DA136E" w:rsidRDefault="00DA136E" w:rsidP="000F4642">
      <w:pPr>
        <w:numPr>
          <w:ilvl w:val="0"/>
          <w:numId w:val="8"/>
        </w:numPr>
        <w:tabs>
          <w:tab w:val="left" w:pos="993"/>
        </w:tabs>
        <w:ind w:left="993" w:hanging="284"/>
        <w:contextualSpacing/>
        <w:jc w:val="left"/>
        <w:rPr>
          <w:rFonts w:cs="Times New Roman"/>
          <w:szCs w:val="24"/>
        </w:rPr>
      </w:pPr>
      <w:proofErr w:type="spellStart"/>
      <w:r w:rsidRPr="00DA136E">
        <w:rPr>
          <w:rFonts w:cs="Times New Roman"/>
          <w:szCs w:val="24"/>
        </w:rPr>
        <w:t>Economic</w:t>
      </w:r>
      <w:proofErr w:type="spellEnd"/>
      <w:r w:rsidRPr="00DA136E">
        <w:rPr>
          <w:rFonts w:cs="Times New Roman"/>
          <w:szCs w:val="24"/>
        </w:rPr>
        <w:t xml:space="preserve"> </w:t>
      </w:r>
      <w:proofErr w:type="spellStart"/>
      <w:r w:rsidRPr="00DA136E">
        <w:rPr>
          <w:rFonts w:cs="Times New Roman"/>
          <w:szCs w:val="24"/>
        </w:rPr>
        <w:t>activity</w:t>
      </w:r>
      <w:proofErr w:type="spellEnd"/>
      <w:r w:rsidRPr="00DA136E">
        <w:rPr>
          <w:rFonts w:cs="Times New Roman"/>
          <w:szCs w:val="24"/>
        </w:rPr>
        <w:t xml:space="preserve"> </w:t>
      </w:r>
      <w:proofErr w:type="spellStart"/>
      <w:r w:rsidRPr="00DA136E">
        <w:rPr>
          <w:rFonts w:cs="Times New Roman"/>
          <w:szCs w:val="24"/>
        </w:rPr>
        <w:t>rates</w:t>
      </w:r>
      <w:proofErr w:type="spellEnd"/>
      <w:r w:rsidRPr="00DA136E">
        <w:rPr>
          <w:rFonts w:cs="Times New Roman"/>
          <w:szCs w:val="24"/>
        </w:rPr>
        <w:t xml:space="preserve"> </w:t>
      </w:r>
      <w:proofErr w:type="spellStart"/>
      <w:r w:rsidRPr="00DA136E">
        <w:rPr>
          <w:rFonts w:cs="Times New Roman"/>
          <w:szCs w:val="24"/>
        </w:rPr>
        <w:t>by</w:t>
      </w:r>
      <w:proofErr w:type="spellEnd"/>
      <w:r w:rsidRPr="00DA136E">
        <w:rPr>
          <w:rFonts w:cs="Times New Roman"/>
          <w:szCs w:val="24"/>
        </w:rPr>
        <w:t xml:space="preserve"> </w:t>
      </w:r>
      <w:proofErr w:type="spellStart"/>
      <w:r w:rsidRPr="00DA136E">
        <w:rPr>
          <w:rFonts w:cs="Times New Roman"/>
          <w:szCs w:val="24"/>
        </w:rPr>
        <w:t>sex</w:t>
      </w:r>
      <w:proofErr w:type="spellEnd"/>
      <w:r w:rsidRPr="00DA136E">
        <w:rPr>
          <w:rFonts w:cs="Times New Roman"/>
          <w:szCs w:val="24"/>
        </w:rPr>
        <w:t xml:space="preserve">, </w:t>
      </w:r>
      <w:proofErr w:type="spellStart"/>
      <w:r w:rsidRPr="00DA136E">
        <w:rPr>
          <w:rFonts w:cs="Times New Roman"/>
          <w:szCs w:val="24"/>
        </w:rPr>
        <w:t>age</w:t>
      </w:r>
      <w:proofErr w:type="spellEnd"/>
      <w:r w:rsidRPr="00DA136E">
        <w:rPr>
          <w:rFonts w:cs="Times New Roman"/>
          <w:szCs w:val="24"/>
        </w:rPr>
        <w:t xml:space="preserve"> </w:t>
      </w:r>
      <w:proofErr w:type="spellStart"/>
      <w:r w:rsidRPr="00DA136E">
        <w:rPr>
          <w:rFonts w:cs="Times New Roman"/>
          <w:szCs w:val="24"/>
        </w:rPr>
        <w:t>and</w:t>
      </w:r>
      <w:proofErr w:type="spellEnd"/>
      <w:r w:rsidRPr="00DA136E">
        <w:rPr>
          <w:rFonts w:cs="Times New Roman"/>
          <w:szCs w:val="24"/>
        </w:rPr>
        <w:t xml:space="preserve"> NUTS 2 </w:t>
      </w:r>
      <w:proofErr w:type="spellStart"/>
      <w:r w:rsidRPr="00DA136E">
        <w:rPr>
          <w:rFonts w:cs="Times New Roman"/>
          <w:szCs w:val="24"/>
        </w:rPr>
        <w:t>regions</w:t>
      </w:r>
      <w:proofErr w:type="spellEnd"/>
      <w:r w:rsidRPr="00DA136E">
        <w:rPr>
          <w:rFonts w:cs="Times New Roman"/>
          <w:szCs w:val="24"/>
        </w:rPr>
        <w:t xml:space="preserve"> (%) [lfst_r_lfp2actrt] </w:t>
      </w:r>
      <w:r w:rsidR="00DB1283" w:rsidRPr="000F4642">
        <w:rPr>
          <w:rFonts w:cs="Times New Roman"/>
          <w:szCs w:val="24"/>
          <w:lang w:val="en-US"/>
        </w:rPr>
        <w:t>[</w:t>
      </w:r>
      <w:proofErr w:type="spellStart"/>
      <w:r w:rsidR="00DB1283" w:rsidRPr="000F4642">
        <w:rPr>
          <w:rFonts w:cs="Times New Roman"/>
          <w:szCs w:val="24"/>
          <w:lang w:val="en-US"/>
        </w:rPr>
        <w:t>E</w:t>
      </w:r>
      <w:r w:rsidR="00DB1283" w:rsidRPr="000F4642">
        <w:rPr>
          <w:rFonts w:cs="Times New Roman"/>
          <w:szCs w:val="24"/>
          <w:lang w:val="en-US"/>
        </w:rPr>
        <w:t>l</w:t>
      </w:r>
      <w:r w:rsidR="00DB1283" w:rsidRPr="000F4642">
        <w:rPr>
          <w:rFonts w:cs="Times New Roman"/>
          <w:szCs w:val="24"/>
          <w:lang w:val="en-US"/>
        </w:rPr>
        <w:t>ektronnyiy</w:t>
      </w:r>
      <w:proofErr w:type="spellEnd"/>
      <w:r w:rsidR="00DB1283" w:rsidRPr="000F4642">
        <w:rPr>
          <w:rFonts w:cs="Times New Roman"/>
          <w:szCs w:val="24"/>
          <w:lang w:val="en-US"/>
        </w:rPr>
        <w:t xml:space="preserve"> </w:t>
      </w:r>
      <w:proofErr w:type="spellStart"/>
      <w:r w:rsidR="00DB1283" w:rsidRPr="000F4642">
        <w:rPr>
          <w:rFonts w:cs="Times New Roman"/>
          <w:szCs w:val="24"/>
          <w:lang w:val="en-US"/>
        </w:rPr>
        <w:t>resurs</w:t>
      </w:r>
      <w:proofErr w:type="spellEnd"/>
      <w:r w:rsidR="00DB1283" w:rsidRPr="000F4642">
        <w:rPr>
          <w:rFonts w:cs="Times New Roman"/>
          <w:szCs w:val="24"/>
          <w:lang w:val="en-US"/>
        </w:rPr>
        <w:t xml:space="preserve">] </w:t>
      </w:r>
      <w:r w:rsidR="00DB1283" w:rsidRPr="000F4642">
        <w:rPr>
          <w:rFonts w:eastAsia="Calibri" w:cs="Times New Roman"/>
          <w:szCs w:val="24"/>
          <w:lang w:eastAsia="uk-UA"/>
        </w:rPr>
        <w:t xml:space="preserve">/ </w:t>
      </w:r>
      <w:r w:rsidR="00DB1283" w:rsidRPr="000F4642">
        <w:rPr>
          <w:rFonts w:eastAsia="Calibri" w:cs="Times New Roman"/>
          <w:szCs w:val="24"/>
          <w:lang w:val="en-US" w:eastAsia="uk-UA"/>
        </w:rPr>
        <w:t xml:space="preserve">Eurostat. </w:t>
      </w:r>
      <w:r w:rsidR="00DB1283" w:rsidRPr="000F4642">
        <w:rPr>
          <w:rFonts w:cs="Times New Roman"/>
          <w:szCs w:val="24"/>
          <w:lang w:val="en-US"/>
        </w:rPr>
        <w:t xml:space="preserve">– </w:t>
      </w:r>
      <w:proofErr w:type="spellStart"/>
      <w:r w:rsidR="00DB1283" w:rsidRPr="000F4642">
        <w:rPr>
          <w:rFonts w:eastAsia="Times New Roman" w:cs="Times New Roman"/>
          <w:szCs w:val="24"/>
          <w:lang w:val="en-US" w:eastAsia="ru-RU"/>
        </w:rPr>
        <w:t>Rezhym</w:t>
      </w:r>
      <w:proofErr w:type="spellEnd"/>
      <w:r w:rsidR="00DB1283" w:rsidRPr="000F4642">
        <w:rPr>
          <w:rFonts w:eastAsia="Times New Roman" w:cs="Times New Roman"/>
          <w:szCs w:val="24"/>
          <w:lang w:val="en-US" w:eastAsia="ru-RU"/>
        </w:rPr>
        <w:t xml:space="preserve"> </w:t>
      </w:r>
      <w:proofErr w:type="spellStart"/>
      <w:r w:rsidR="00DB1283" w:rsidRPr="000F4642">
        <w:rPr>
          <w:rFonts w:eastAsia="Times New Roman" w:cs="Times New Roman"/>
          <w:szCs w:val="24"/>
          <w:lang w:val="en-US" w:eastAsia="ru-RU"/>
        </w:rPr>
        <w:t>dostupu</w:t>
      </w:r>
      <w:proofErr w:type="spellEnd"/>
      <w:r w:rsidR="00DB1283" w:rsidRPr="000F4642">
        <w:rPr>
          <w:rFonts w:eastAsia="Times New Roman" w:cs="Times New Roman"/>
          <w:szCs w:val="24"/>
          <w:lang w:val="en-US" w:eastAsia="ru-RU"/>
        </w:rPr>
        <w:t xml:space="preserve">: </w:t>
      </w:r>
      <w:r w:rsidRPr="00DA136E">
        <w:rPr>
          <w:rFonts w:cs="Times New Roman"/>
          <w:szCs w:val="24"/>
        </w:rPr>
        <w:t>http://appsso.eurostat.ec.europa.eu/nui/setupDownloads.do</w:t>
      </w:r>
    </w:p>
    <w:p w:rsidR="00DA136E" w:rsidRPr="00DA136E" w:rsidRDefault="00DA136E" w:rsidP="000F4642">
      <w:pPr>
        <w:numPr>
          <w:ilvl w:val="0"/>
          <w:numId w:val="8"/>
        </w:numPr>
        <w:tabs>
          <w:tab w:val="left" w:pos="993"/>
        </w:tabs>
        <w:ind w:left="993" w:hanging="284"/>
        <w:contextualSpacing/>
        <w:jc w:val="left"/>
        <w:rPr>
          <w:rFonts w:cs="Times New Roman"/>
          <w:szCs w:val="24"/>
        </w:rPr>
      </w:pPr>
      <w:proofErr w:type="spellStart"/>
      <w:r w:rsidRPr="00DA136E">
        <w:rPr>
          <w:rFonts w:cs="Times New Roman"/>
          <w:szCs w:val="24"/>
        </w:rPr>
        <w:t>Income</w:t>
      </w:r>
      <w:proofErr w:type="spellEnd"/>
      <w:r w:rsidRPr="00DA136E">
        <w:rPr>
          <w:rFonts w:cs="Times New Roman"/>
          <w:szCs w:val="24"/>
        </w:rPr>
        <w:t xml:space="preserve"> </w:t>
      </w:r>
      <w:proofErr w:type="spellStart"/>
      <w:r w:rsidRPr="00DA136E">
        <w:rPr>
          <w:rFonts w:cs="Times New Roman"/>
          <w:szCs w:val="24"/>
        </w:rPr>
        <w:t>of</w:t>
      </w:r>
      <w:proofErr w:type="spellEnd"/>
      <w:r w:rsidRPr="00DA136E">
        <w:rPr>
          <w:rFonts w:cs="Times New Roman"/>
          <w:szCs w:val="24"/>
        </w:rPr>
        <w:t xml:space="preserve"> </w:t>
      </w:r>
      <w:proofErr w:type="spellStart"/>
      <w:r w:rsidRPr="00DA136E">
        <w:rPr>
          <w:rFonts w:cs="Times New Roman"/>
          <w:szCs w:val="24"/>
        </w:rPr>
        <w:t>households</w:t>
      </w:r>
      <w:proofErr w:type="spellEnd"/>
      <w:r w:rsidRPr="00DA136E">
        <w:rPr>
          <w:rFonts w:cs="Times New Roman"/>
          <w:szCs w:val="24"/>
        </w:rPr>
        <w:t xml:space="preserve"> </w:t>
      </w:r>
      <w:proofErr w:type="spellStart"/>
      <w:r w:rsidRPr="00DA136E">
        <w:rPr>
          <w:rFonts w:cs="Times New Roman"/>
          <w:szCs w:val="24"/>
        </w:rPr>
        <w:t>by</w:t>
      </w:r>
      <w:proofErr w:type="spellEnd"/>
      <w:r w:rsidRPr="00DA136E">
        <w:rPr>
          <w:rFonts w:cs="Times New Roman"/>
          <w:szCs w:val="24"/>
        </w:rPr>
        <w:t xml:space="preserve"> NUTS 2 </w:t>
      </w:r>
      <w:proofErr w:type="spellStart"/>
      <w:r w:rsidRPr="00DA136E">
        <w:rPr>
          <w:rFonts w:cs="Times New Roman"/>
          <w:szCs w:val="24"/>
        </w:rPr>
        <w:t>regions</w:t>
      </w:r>
      <w:proofErr w:type="spellEnd"/>
      <w:r w:rsidRPr="00DA136E">
        <w:rPr>
          <w:rFonts w:cs="Times New Roman"/>
          <w:szCs w:val="24"/>
        </w:rPr>
        <w:t xml:space="preserve"> [nama_10r_2hhinc]</w:t>
      </w:r>
      <w:r w:rsidR="00DB1283" w:rsidRPr="000F4642">
        <w:rPr>
          <w:rFonts w:cs="Times New Roman"/>
          <w:szCs w:val="24"/>
          <w:lang w:val="en-US"/>
        </w:rPr>
        <w:t>. [</w:t>
      </w:r>
      <w:proofErr w:type="spellStart"/>
      <w:r w:rsidR="00DB1283" w:rsidRPr="000F4642">
        <w:rPr>
          <w:rFonts w:cs="Times New Roman"/>
          <w:szCs w:val="24"/>
          <w:lang w:val="en-US"/>
        </w:rPr>
        <w:t>Elektronnyiy</w:t>
      </w:r>
      <w:proofErr w:type="spellEnd"/>
      <w:r w:rsidR="00DB1283" w:rsidRPr="000F4642">
        <w:rPr>
          <w:rFonts w:cs="Times New Roman"/>
          <w:szCs w:val="24"/>
          <w:lang w:val="en-US"/>
        </w:rPr>
        <w:t xml:space="preserve"> </w:t>
      </w:r>
      <w:proofErr w:type="spellStart"/>
      <w:r w:rsidR="00DB1283" w:rsidRPr="000F4642">
        <w:rPr>
          <w:rFonts w:cs="Times New Roman"/>
          <w:szCs w:val="24"/>
          <w:lang w:val="en-US"/>
        </w:rPr>
        <w:t>resurs</w:t>
      </w:r>
      <w:proofErr w:type="spellEnd"/>
      <w:r w:rsidR="00DB1283" w:rsidRPr="000F4642">
        <w:rPr>
          <w:rFonts w:cs="Times New Roman"/>
          <w:szCs w:val="24"/>
          <w:lang w:val="en-US"/>
        </w:rPr>
        <w:t xml:space="preserve">] </w:t>
      </w:r>
      <w:r w:rsidR="00DB1283" w:rsidRPr="000F4642">
        <w:rPr>
          <w:rFonts w:eastAsia="Calibri" w:cs="Times New Roman"/>
          <w:szCs w:val="24"/>
          <w:lang w:eastAsia="uk-UA"/>
        </w:rPr>
        <w:t xml:space="preserve">/ </w:t>
      </w:r>
      <w:r w:rsidR="00DB1283" w:rsidRPr="000F4642">
        <w:rPr>
          <w:rFonts w:eastAsia="Calibri" w:cs="Times New Roman"/>
          <w:szCs w:val="24"/>
          <w:lang w:val="en-US" w:eastAsia="uk-UA"/>
        </w:rPr>
        <w:t xml:space="preserve">Eurostat. </w:t>
      </w:r>
      <w:r w:rsidR="00DB1283" w:rsidRPr="000F4642">
        <w:rPr>
          <w:rFonts w:cs="Times New Roman"/>
          <w:szCs w:val="24"/>
          <w:lang w:val="en-US"/>
        </w:rPr>
        <w:t xml:space="preserve">– </w:t>
      </w:r>
      <w:proofErr w:type="spellStart"/>
      <w:r w:rsidR="00DB1283" w:rsidRPr="000F4642">
        <w:rPr>
          <w:rFonts w:eastAsia="Times New Roman" w:cs="Times New Roman"/>
          <w:szCs w:val="24"/>
          <w:lang w:val="en-US" w:eastAsia="ru-RU"/>
        </w:rPr>
        <w:t>Rezhym</w:t>
      </w:r>
      <w:proofErr w:type="spellEnd"/>
      <w:r w:rsidR="00DB1283" w:rsidRPr="000F4642">
        <w:rPr>
          <w:rFonts w:eastAsia="Times New Roman" w:cs="Times New Roman"/>
          <w:szCs w:val="24"/>
          <w:lang w:val="en-US" w:eastAsia="ru-RU"/>
        </w:rPr>
        <w:t xml:space="preserve"> </w:t>
      </w:r>
      <w:proofErr w:type="spellStart"/>
      <w:r w:rsidR="00DB1283" w:rsidRPr="000F4642">
        <w:rPr>
          <w:rFonts w:eastAsia="Times New Roman" w:cs="Times New Roman"/>
          <w:szCs w:val="24"/>
          <w:lang w:val="en-US" w:eastAsia="ru-RU"/>
        </w:rPr>
        <w:t>dostupu</w:t>
      </w:r>
      <w:proofErr w:type="spellEnd"/>
      <w:r w:rsidR="00DB1283" w:rsidRPr="000F4642">
        <w:rPr>
          <w:rFonts w:eastAsia="Times New Roman" w:cs="Times New Roman"/>
          <w:szCs w:val="24"/>
          <w:lang w:val="en-US" w:eastAsia="ru-RU"/>
        </w:rPr>
        <w:t xml:space="preserve">: </w:t>
      </w:r>
      <w:hyperlink r:id="rId16" w:history="1">
        <w:r w:rsidR="000F4642" w:rsidRPr="000F4642">
          <w:rPr>
            <w:rStyle w:val="ac"/>
            <w:rFonts w:cs="Times New Roman"/>
            <w:color w:val="auto"/>
            <w:szCs w:val="24"/>
            <w:u w:val="none"/>
          </w:rPr>
          <w:t>http://ec.europa.eu/eurostat/tgm/table.do?tab=table&amp;init</w:t>
        </w:r>
      </w:hyperlink>
      <w:r w:rsidR="000F4642" w:rsidRPr="000F4642">
        <w:rPr>
          <w:rFonts w:cs="Times New Roman"/>
          <w:szCs w:val="24"/>
          <w:lang w:val="en-US"/>
        </w:rPr>
        <w:t xml:space="preserve"> </w:t>
      </w:r>
      <w:r w:rsidRPr="00DA136E">
        <w:rPr>
          <w:rFonts w:cs="Times New Roman"/>
          <w:szCs w:val="24"/>
        </w:rPr>
        <w:t>=1&amp;</w:t>
      </w:r>
      <w:proofErr w:type="spellStart"/>
      <w:r w:rsidRPr="00DA136E">
        <w:rPr>
          <w:rFonts w:cs="Times New Roman"/>
          <w:szCs w:val="24"/>
        </w:rPr>
        <w:t>language=en</w:t>
      </w:r>
      <w:proofErr w:type="spellEnd"/>
      <w:r w:rsidRPr="00DA136E">
        <w:rPr>
          <w:rFonts w:cs="Times New Roman"/>
          <w:szCs w:val="24"/>
        </w:rPr>
        <w:t>&amp;pcode=tgs00036&amp;plugin=1</w:t>
      </w:r>
    </w:p>
    <w:p w:rsidR="00DA136E" w:rsidRPr="00DA136E" w:rsidRDefault="00DA136E" w:rsidP="000F4642">
      <w:pPr>
        <w:numPr>
          <w:ilvl w:val="0"/>
          <w:numId w:val="8"/>
        </w:numPr>
        <w:tabs>
          <w:tab w:val="left" w:pos="993"/>
        </w:tabs>
        <w:ind w:left="993" w:hanging="284"/>
        <w:contextualSpacing/>
        <w:jc w:val="left"/>
        <w:rPr>
          <w:rFonts w:cs="Times New Roman"/>
          <w:szCs w:val="24"/>
        </w:rPr>
      </w:pPr>
      <w:proofErr w:type="spellStart"/>
      <w:r w:rsidRPr="00DA136E">
        <w:rPr>
          <w:rFonts w:cs="Times New Roman"/>
          <w:szCs w:val="24"/>
        </w:rPr>
        <w:t>Distribución</w:t>
      </w:r>
      <w:proofErr w:type="spellEnd"/>
      <w:r w:rsidRPr="00DA136E">
        <w:rPr>
          <w:rFonts w:cs="Times New Roman"/>
          <w:szCs w:val="24"/>
        </w:rPr>
        <w:t xml:space="preserve"> </w:t>
      </w:r>
      <w:proofErr w:type="spellStart"/>
      <w:r w:rsidRPr="00DA136E">
        <w:rPr>
          <w:rFonts w:cs="Times New Roman"/>
          <w:szCs w:val="24"/>
        </w:rPr>
        <w:t>territorial</w:t>
      </w:r>
      <w:proofErr w:type="spellEnd"/>
      <w:r w:rsidRPr="00DA136E">
        <w:rPr>
          <w:rFonts w:cs="Times New Roman"/>
          <w:szCs w:val="24"/>
        </w:rPr>
        <w:t xml:space="preserve"> </w:t>
      </w:r>
      <w:proofErr w:type="spellStart"/>
      <w:r w:rsidRPr="00DA136E">
        <w:rPr>
          <w:rFonts w:cs="Times New Roman"/>
          <w:szCs w:val="24"/>
        </w:rPr>
        <w:t>de</w:t>
      </w:r>
      <w:proofErr w:type="spellEnd"/>
      <w:r w:rsidRPr="00DA136E">
        <w:rPr>
          <w:rFonts w:cs="Times New Roman"/>
          <w:szCs w:val="24"/>
        </w:rPr>
        <w:t xml:space="preserve"> </w:t>
      </w:r>
      <w:proofErr w:type="spellStart"/>
      <w:r w:rsidRPr="00DA136E">
        <w:rPr>
          <w:rFonts w:cs="Times New Roman"/>
          <w:szCs w:val="24"/>
        </w:rPr>
        <w:t>ingresos</w:t>
      </w:r>
      <w:proofErr w:type="spellEnd"/>
      <w:r w:rsidRPr="00DA136E">
        <w:rPr>
          <w:rFonts w:cs="Times New Roman"/>
          <w:szCs w:val="24"/>
        </w:rPr>
        <w:t xml:space="preserve"> </w:t>
      </w:r>
      <w:proofErr w:type="spellStart"/>
      <w:r w:rsidRPr="00DA136E">
        <w:rPr>
          <w:rFonts w:cs="Times New Roman"/>
          <w:szCs w:val="24"/>
        </w:rPr>
        <w:t>tributarios</w:t>
      </w:r>
      <w:proofErr w:type="spellEnd"/>
      <w:r w:rsidRPr="00DA136E">
        <w:rPr>
          <w:rFonts w:cs="Times New Roman"/>
          <w:szCs w:val="24"/>
        </w:rPr>
        <w:t xml:space="preserve"> </w:t>
      </w:r>
      <w:proofErr w:type="spellStart"/>
      <w:r w:rsidRPr="00DA136E">
        <w:rPr>
          <w:rFonts w:cs="Times New Roman"/>
          <w:szCs w:val="24"/>
        </w:rPr>
        <w:t>líquidos</w:t>
      </w:r>
      <w:proofErr w:type="spellEnd"/>
      <w:r w:rsidRPr="00DA136E">
        <w:rPr>
          <w:rFonts w:cs="Times New Roman"/>
          <w:szCs w:val="24"/>
        </w:rPr>
        <w:t xml:space="preserve"> </w:t>
      </w:r>
      <w:proofErr w:type="spellStart"/>
      <w:r w:rsidRPr="00DA136E">
        <w:rPr>
          <w:rFonts w:cs="Times New Roman"/>
          <w:szCs w:val="24"/>
        </w:rPr>
        <w:t>del</w:t>
      </w:r>
      <w:proofErr w:type="spellEnd"/>
      <w:r w:rsidRPr="00DA136E">
        <w:rPr>
          <w:rFonts w:cs="Times New Roman"/>
          <w:szCs w:val="24"/>
        </w:rPr>
        <w:t xml:space="preserve"> </w:t>
      </w:r>
      <w:proofErr w:type="spellStart"/>
      <w:r w:rsidRPr="00DA136E">
        <w:rPr>
          <w:rFonts w:cs="Times New Roman"/>
          <w:szCs w:val="24"/>
        </w:rPr>
        <w:t>estado</w:t>
      </w:r>
      <w:proofErr w:type="spellEnd"/>
      <w:r w:rsidR="00DB1283" w:rsidRPr="000F4642">
        <w:rPr>
          <w:rFonts w:cs="Times New Roman"/>
          <w:szCs w:val="24"/>
          <w:lang w:val="en-US"/>
        </w:rPr>
        <w:t>. [</w:t>
      </w:r>
      <w:proofErr w:type="spellStart"/>
      <w:r w:rsidR="00DB1283" w:rsidRPr="000F4642">
        <w:rPr>
          <w:rFonts w:cs="Times New Roman"/>
          <w:szCs w:val="24"/>
          <w:lang w:val="en-US"/>
        </w:rPr>
        <w:t>Elektronnyiy</w:t>
      </w:r>
      <w:proofErr w:type="spellEnd"/>
      <w:r w:rsidR="00DB1283" w:rsidRPr="000F4642">
        <w:rPr>
          <w:rFonts w:cs="Times New Roman"/>
          <w:szCs w:val="24"/>
          <w:lang w:val="en-US"/>
        </w:rPr>
        <w:t xml:space="preserve"> </w:t>
      </w:r>
      <w:proofErr w:type="spellStart"/>
      <w:r w:rsidR="00DB1283" w:rsidRPr="000F4642">
        <w:rPr>
          <w:rFonts w:cs="Times New Roman"/>
          <w:szCs w:val="24"/>
          <w:lang w:val="en-US"/>
        </w:rPr>
        <w:t>resurs</w:t>
      </w:r>
      <w:proofErr w:type="spellEnd"/>
      <w:r w:rsidR="00DB1283" w:rsidRPr="000F4642">
        <w:rPr>
          <w:rFonts w:cs="Times New Roman"/>
          <w:szCs w:val="24"/>
          <w:lang w:val="en-US"/>
        </w:rPr>
        <w:t xml:space="preserve">] </w:t>
      </w:r>
      <w:r w:rsidR="00DB1283" w:rsidRPr="000F4642">
        <w:rPr>
          <w:rFonts w:eastAsia="Calibri" w:cs="Times New Roman"/>
          <w:szCs w:val="24"/>
          <w:lang w:eastAsia="uk-UA"/>
        </w:rPr>
        <w:t xml:space="preserve">/ </w:t>
      </w:r>
      <w:proofErr w:type="spellStart"/>
      <w:r w:rsidR="00DB1283" w:rsidRPr="000F4642">
        <w:rPr>
          <w:rFonts w:eastAsia="Calibri" w:cs="Times New Roman"/>
          <w:szCs w:val="24"/>
          <w:lang w:val="en-US" w:eastAsia="uk-UA"/>
        </w:rPr>
        <w:t>Agencia</w:t>
      </w:r>
      <w:proofErr w:type="spellEnd"/>
      <w:r w:rsidR="00DB1283" w:rsidRPr="000F4642">
        <w:rPr>
          <w:rFonts w:eastAsia="Calibri" w:cs="Times New Roman"/>
          <w:szCs w:val="24"/>
          <w:lang w:val="en-US" w:eastAsia="uk-UA"/>
        </w:rPr>
        <w:t xml:space="preserve"> </w:t>
      </w:r>
      <w:proofErr w:type="spellStart"/>
      <w:r w:rsidR="00DB1283" w:rsidRPr="000F4642">
        <w:rPr>
          <w:rFonts w:eastAsia="Calibri" w:cs="Times New Roman"/>
          <w:szCs w:val="24"/>
          <w:lang w:val="en-US" w:eastAsia="uk-UA"/>
        </w:rPr>
        <w:t>Tributaria</w:t>
      </w:r>
      <w:proofErr w:type="spellEnd"/>
      <w:r w:rsidR="00DB1283" w:rsidRPr="000F4642">
        <w:rPr>
          <w:rFonts w:eastAsia="Calibri" w:cs="Times New Roman"/>
          <w:szCs w:val="24"/>
          <w:lang w:val="en-US" w:eastAsia="uk-UA"/>
        </w:rPr>
        <w:t xml:space="preserve">. </w:t>
      </w:r>
      <w:r w:rsidR="00DB1283" w:rsidRPr="000F4642">
        <w:rPr>
          <w:rFonts w:cs="Times New Roman"/>
          <w:szCs w:val="24"/>
          <w:lang w:val="en-US"/>
        </w:rPr>
        <w:t xml:space="preserve">– </w:t>
      </w:r>
      <w:proofErr w:type="spellStart"/>
      <w:r w:rsidR="00DB1283" w:rsidRPr="000F4642">
        <w:rPr>
          <w:rFonts w:eastAsia="Times New Roman" w:cs="Times New Roman"/>
          <w:szCs w:val="24"/>
          <w:lang w:val="en-US" w:eastAsia="ru-RU"/>
        </w:rPr>
        <w:t>Rezhym</w:t>
      </w:r>
      <w:proofErr w:type="spellEnd"/>
      <w:r w:rsidR="00DB1283" w:rsidRPr="000F4642">
        <w:rPr>
          <w:rFonts w:eastAsia="Times New Roman" w:cs="Times New Roman"/>
          <w:szCs w:val="24"/>
          <w:lang w:val="en-US" w:eastAsia="ru-RU"/>
        </w:rPr>
        <w:t xml:space="preserve"> </w:t>
      </w:r>
      <w:proofErr w:type="spellStart"/>
      <w:r w:rsidR="00DB1283" w:rsidRPr="000F4642">
        <w:rPr>
          <w:rFonts w:eastAsia="Times New Roman" w:cs="Times New Roman"/>
          <w:szCs w:val="24"/>
          <w:lang w:val="en-US" w:eastAsia="ru-RU"/>
        </w:rPr>
        <w:t>dostupu</w:t>
      </w:r>
      <w:proofErr w:type="spellEnd"/>
      <w:r w:rsidR="00DB1283" w:rsidRPr="000F4642">
        <w:rPr>
          <w:rFonts w:eastAsia="Times New Roman" w:cs="Times New Roman"/>
          <w:szCs w:val="24"/>
          <w:lang w:val="en-US" w:eastAsia="ru-RU"/>
        </w:rPr>
        <w:t xml:space="preserve">: </w:t>
      </w:r>
      <w:hyperlink r:id="rId17" w:history="1">
        <w:r w:rsidR="000F4642" w:rsidRPr="000F4642">
          <w:rPr>
            <w:rStyle w:val="ac"/>
            <w:rFonts w:cs="Times New Roman"/>
            <w:color w:val="auto"/>
            <w:szCs w:val="24"/>
            <w:u w:val="none"/>
          </w:rPr>
          <w:t>http://www.agenciatributaria.es/static_files/</w:t>
        </w:r>
      </w:hyperlink>
      <w:r w:rsidR="000F4642" w:rsidRPr="000F4642">
        <w:rPr>
          <w:rFonts w:cs="Times New Roman"/>
          <w:szCs w:val="24"/>
          <w:lang w:val="en-US"/>
        </w:rPr>
        <w:t xml:space="preserve"> </w:t>
      </w:r>
      <w:r w:rsidRPr="00DA136E">
        <w:rPr>
          <w:rFonts w:cs="Times New Roman"/>
          <w:szCs w:val="24"/>
        </w:rPr>
        <w:t>AEAT/Estudios/Estadisticas/Informes_Estadisticos/Informes_Anuales_de_Recaudacion_Tributaria/Ejercicio_2016/Anexos%20Informe%20Anual%202016%20(datos).zip</w:t>
      </w:r>
    </w:p>
    <w:p w:rsidR="00DA136E" w:rsidRPr="00DA136E" w:rsidRDefault="00DA136E" w:rsidP="000F4642">
      <w:pPr>
        <w:numPr>
          <w:ilvl w:val="0"/>
          <w:numId w:val="8"/>
        </w:numPr>
        <w:tabs>
          <w:tab w:val="left" w:pos="993"/>
        </w:tabs>
        <w:ind w:left="993" w:hanging="284"/>
        <w:contextualSpacing/>
        <w:jc w:val="left"/>
        <w:rPr>
          <w:rFonts w:cs="Times New Roman"/>
          <w:szCs w:val="24"/>
        </w:rPr>
      </w:pPr>
      <w:proofErr w:type="spellStart"/>
      <w:r w:rsidRPr="00DA136E">
        <w:rPr>
          <w:rFonts w:cs="Times New Roman"/>
          <w:szCs w:val="24"/>
        </w:rPr>
        <w:t>Indicatori</w:t>
      </w:r>
      <w:proofErr w:type="spellEnd"/>
      <w:r w:rsidRPr="00DA136E">
        <w:rPr>
          <w:rFonts w:cs="Times New Roman"/>
          <w:szCs w:val="24"/>
        </w:rPr>
        <w:t xml:space="preserve"> economico-strutturali </w:t>
      </w:r>
      <w:proofErr w:type="spellStart"/>
      <w:r w:rsidRPr="00DA136E">
        <w:rPr>
          <w:rFonts w:cs="Times New Roman"/>
          <w:szCs w:val="24"/>
        </w:rPr>
        <w:t>delle</w:t>
      </w:r>
      <w:proofErr w:type="spellEnd"/>
      <w:r w:rsidRPr="00DA136E">
        <w:rPr>
          <w:rFonts w:cs="Times New Roman"/>
          <w:szCs w:val="24"/>
        </w:rPr>
        <w:t xml:space="preserve"> </w:t>
      </w:r>
      <w:proofErr w:type="spellStart"/>
      <w:r w:rsidRPr="00DA136E">
        <w:rPr>
          <w:rFonts w:cs="Times New Roman"/>
          <w:szCs w:val="24"/>
        </w:rPr>
        <w:t>amministrazioni</w:t>
      </w:r>
      <w:proofErr w:type="spellEnd"/>
      <w:r w:rsidRPr="00DA136E">
        <w:rPr>
          <w:rFonts w:cs="Times New Roman"/>
          <w:szCs w:val="24"/>
        </w:rPr>
        <w:t xml:space="preserve"> </w:t>
      </w:r>
      <w:proofErr w:type="spellStart"/>
      <w:r w:rsidRPr="00DA136E">
        <w:rPr>
          <w:rFonts w:cs="Times New Roman"/>
          <w:szCs w:val="24"/>
        </w:rPr>
        <w:t>provinciali</w:t>
      </w:r>
      <w:proofErr w:type="spellEnd"/>
      <w:r w:rsidRPr="00DA136E">
        <w:rPr>
          <w:rFonts w:cs="Times New Roman"/>
          <w:szCs w:val="24"/>
        </w:rPr>
        <w:t xml:space="preserve"> e </w:t>
      </w:r>
      <w:proofErr w:type="spellStart"/>
      <w:r w:rsidRPr="00DA136E">
        <w:rPr>
          <w:rFonts w:cs="Times New Roman"/>
          <w:szCs w:val="24"/>
        </w:rPr>
        <w:t>delle</w:t>
      </w:r>
      <w:proofErr w:type="spellEnd"/>
      <w:r w:rsidRPr="00DA136E">
        <w:rPr>
          <w:rFonts w:cs="Times New Roman"/>
          <w:szCs w:val="24"/>
        </w:rPr>
        <w:t xml:space="preserve"> </w:t>
      </w:r>
      <w:proofErr w:type="spellStart"/>
      <w:r w:rsidRPr="00DA136E">
        <w:rPr>
          <w:rFonts w:cs="Times New Roman"/>
          <w:szCs w:val="24"/>
        </w:rPr>
        <w:t>citta’</w:t>
      </w:r>
      <w:proofErr w:type="spellEnd"/>
      <w:r w:rsidRPr="00DA136E">
        <w:rPr>
          <w:rFonts w:cs="Times New Roman"/>
          <w:szCs w:val="24"/>
        </w:rPr>
        <w:t xml:space="preserve"> </w:t>
      </w:r>
      <w:proofErr w:type="spellStart"/>
      <w:r w:rsidRPr="00DA136E">
        <w:rPr>
          <w:rFonts w:cs="Times New Roman"/>
          <w:szCs w:val="24"/>
        </w:rPr>
        <w:t>metropolitane</w:t>
      </w:r>
      <w:proofErr w:type="spellEnd"/>
      <w:r w:rsidRPr="00DA136E">
        <w:rPr>
          <w:rFonts w:cs="Times New Roman"/>
          <w:szCs w:val="24"/>
        </w:rPr>
        <w:t xml:space="preserve"> </w:t>
      </w:r>
      <w:proofErr w:type="spellStart"/>
      <w:r w:rsidRPr="00DA136E">
        <w:rPr>
          <w:rFonts w:cs="Times New Roman"/>
          <w:szCs w:val="24"/>
        </w:rPr>
        <w:t>per</w:t>
      </w:r>
      <w:proofErr w:type="spellEnd"/>
      <w:r w:rsidRPr="00DA136E">
        <w:rPr>
          <w:rFonts w:cs="Times New Roman"/>
          <w:szCs w:val="24"/>
        </w:rPr>
        <w:t xml:space="preserve"> </w:t>
      </w:r>
      <w:proofErr w:type="spellStart"/>
      <w:r w:rsidRPr="00DA136E">
        <w:rPr>
          <w:rFonts w:cs="Times New Roman"/>
          <w:szCs w:val="24"/>
        </w:rPr>
        <w:t>regione</w:t>
      </w:r>
      <w:proofErr w:type="spellEnd"/>
      <w:r w:rsidRPr="00DA136E">
        <w:rPr>
          <w:rFonts w:cs="Times New Roman"/>
          <w:szCs w:val="24"/>
        </w:rPr>
        <w:t xml:space="preserve"> e </w:t>
      </w:r>
      <w:proofErr w:type="spellStart"/>
      <w:r w:rsidRPr="00DA136E">
        <w:rPr>
          <w:rFonts w:cs="Times New Roman"/>
          <w:szCs w:val="24"/>
        </w:rPr>
        <w:t>ripartizione</w:t>
      </w:r>
      <w:proofErr w:type="spellEnd"/>
      <w:r w:rsidRPr="00DA136E">
        <w:rPr>
          <w:rFonts w:cs="Times New Roman"/>
          <w:szCs w:val="24"/>
        </w:rPr>
        <w:t xml:space="preserve"> </w:t>
      </w:r>
      <w:proofErr w:type="spellStart"/>
      <w:r w:rsidRPr="00DA136E">
        <w:rPr>
          <w:rFonts w:cs="Times New Roman"/>
          <w:szCs w:val="24"/>
        </w:rPr>
        <w:t>geografica</w:t>
      </w:r>
      <w:proofErr w:type="spellEnd"/>
      <w:r w:rsidRPr="00DA136E">
        <w:rPr>
          <w:rFonts w:cs="Times New Roman"/>
          <w:szCs w:val="24"/>
        </w:rPr>
        <w:t xml:space="preserve">. </w:t>
      </w:r>
      <w:proofErr w:type="spellStart"/>
      <w:r w:rsidRPr="00DA136E">
        <w:rPr>
          <w:rFonts w:cs="Times New Roman"/>
          <w:szCs w:val="24"/>
        </w:rPr>
        <w:t>Anni</w:t>
      </w:r>
      <w:proofErr w:type="spellEnd"/>
      <w:r w:rsidRPr="00DA136E">
        <w:rPr>
          <w:rFonts w:cs="Times New Roman"/>
          <w:szCs w:val="24"/>
        </w:rPr>
        <w:t xml:space="preserve"> 2014 e 2015</w:t>
      </w:r>
      <w:r w:rsidR="00DB1283" w:rsidRPr="000F4642">
        <w:rPr>
          <w:rFonts w:cs="Times New Roman"/>
          <w:szCs w:val="24"/>
          <w:lang w:val="en-US"/>
        </w:rPr>
        <w:t>. [</w:t>
      </w:r>
      <w:proofErr w:type="spellStart"/>
      <w:r w:rsidR="00DB1283" w:rsidRPr="000F4642">
        <w:rPr>
          <w:rFonts w:cs="Times New Roman"/>
          <w:szCs w:val="24"/>
          <w:lang w:val="en-US"/>
        </w:rPr>
        <w:t>Elektronnyiy</w:t>
      </w:r>
      <w:proofErr w:type="spellEnd"/>
      <w:r w:rsidR="00DB1283" w:rsidRPr="000F4642">
        <w:rPr>
          <w:rFonts w:cs="Times New Roman"/>
          <w:szCs w:val="24"/>
          <w:lang w:val="en-US"/>
        </w:rPr>
        <w:t xml:space="preserve"> </w:t>
      </w:r>
      <w:proofErr w:type="spellStart"/>
      <w:r w:rsidR="00DB1283" w:rsidRPr="000F4642">
        <w:rPr>
          <w:rFonts w:cs="Times New Roman"/>
          <w:szCs w:val="24"/>
          <w:lang w:val="en-US"/>
        </w:rPr>
        <w:t>resurs</w:t>
      </w:r>
      <w:proofErr w:type="spellEnd"/>
      <w:r w:rsidR="00DB1283" w:rsidRPr="000F4642">
        <w:rPr>
          <w:rFonts w:cs="Times New Roman"/>
          <w:szCs w:val="24"/>
          <w:lang w:val="en-US"/>
        </w:rPr>
        <w:t xml:space="preserve">] </w:t>
      </w:r>
      <w:r w:rsidR="00DB1283" w:rsidRPr="000F4642">
        <w:rPr>
          <w:rFonts w:eastAsia="Calibri" w:cs="Times New Roman"/>
          <w:szCs w:val="24"/>
          <w:lang w:eastAsia="uk-UA"/>
        </w:rPr>
        <w:t>/</w:t>
      </w:r>
      <w:r w:rsidR="000F4642" w:rsidRPr="000F4642">
        <w:rPr>
          <w:rFonts w:eastAsia="Calibri" w:cs="Times New Roman"/>
          <w:szCs w:val="24"/>
          <w:lang w:val="en-US" w:eastAsia="uk-UA"/>
        </w:rPr>
        <w:t xml:space="preserve"> </w:t>
      </w:r>
      <w:proofErr w:type="spellStart"/>
      <w:r w:rsidR="000F4642" w:rsidRPr="000F4642">
        <w:rPr>
          <w:rFonts w:eastAsia="Calibri" w:cs="Times New Roman"/>
          <w:szCs w:val="24"/>
          <w:lang w:val="en-US" w:eastAsia="uk-UA"/>
        </w:rPr>
        <w:t>Istat</w:t>
      </w:r>
      <w:proofErr w:type="spellEnd"/>
      <w:r w:rsidR="000F4642" w:rsidRPr="000F4642">
        <w:rPr>
          <w:rFonts w:eastAsia="Calibri" w:cs="Times New Roman"/>
          <w:szCs w:val="24"/>
          <w:lang w:val="en-US" w:eastAsia="uk-UA"/>
        </w:rPr>
        <w:t>.</w:t>
      </w:r>
      <w:r w:rsidR="00DB1283" w:rsidRPr="000F4642">
        <w:rPr>
          <w:rFonts w:eastAsia="Calibri" w:cs="Times New Roman"/>
          <w:szCs w:val="24"/>
          <w:lang w:val="en-US" w:eastAsia="uk-UA"/>
        </w:rPr>
        <w:t xml:space="preserve"> </w:t>
      </w:r>
      <w:r w:rsidR="00DB1283" w:rsidRPr="000F4642">
        <w:rPr>
          <w:rFonts w:cs="Times New Roman"/>
          <w:szCs w:val="24"/>
          <w:lang w:val="en-US"/>
        </w:rPr>
        <w:t xml:space="preserve">– </w:t>
      </w:r>
      <w:proofErr w:type="spellStart"/>
      <w:r w:rsidR="00DB1283" w:rsidRPr="000F4642">
        <w:rPr>
          <w:rFonts w:eastAsia="Times New Roman" w:cs="Times New Roman"/>
          <w:szCs w:val="24"/>
          <w:lang w:val="en-US" w:eastAsia="ru-RU"/>
        </w:rPr>
        <w:t>Rezhym</w:t>
      </w:r>
      <w:proofErr w:type="spellEnd"/>
      <w:r w:rsidR="00DB1283" w:rsidRPr="000F4642">
        <w:rPr>
          <w:rFonts w:eastAsia="Times New Roman" w:cs="Times New Roman"/>
          <w:szCs w:val="24"/>
          <w:lang w:val="en-US" w:eastAsia="ru-RU"/>
        </w:rPr>
        <w:t xml:space="preserve"> </w:t>
      </w:r>
      <w:proofErr w:type="spellStart"/>
      <w:r w:rsidR="00DB1283" w:rsidRPr="000F4642">
        <w:rPr>
          <w:rFonts w:eastAsia="Times New Roman" w:cs="Times New Roman"/>
          <w:szCs w:val="24"/>
          <w:lang w:val="en-US" w:eastAsia="ru-RU"/>
        </w:rPr>
        <w:t>dostupu</w:t>
      </w:r>
      <w:proofErr w:type="spellEnd"/>
      <w:r w:rsidR="00DB1283" w:rsidRPr="000F4642">
        <w:rPr>
          <w:rFonts w:eastAsia="Times New Roman" w:cs="Times New Roman"/>
          <w:szCs w:val="24"/>
          <w:lang w:val="en-US" w:eastAsia="ru-RU"/>
        </w:rPr>
        <w:t xml:space="preserve">: </w:t>
      </w:r>
      <w:hyperlink r:id="rId18" w:history="1">
        <w:r w:rsidR="000F4642" w:rsidRPr="000F4642">
          <w:rPr>
            <w:rStyle w:val="ac"/>
            <w:rFonts w:cs="Times New Roman"/>
            <w:color w:val="auto"/>
            <w:szCs w:val="24"/>
            <w:u w:val="none"/>
          </w:rPr>
          <w:t>http://www.istat.it/it/files/2017/11/Tavole_2015.xls</w:t>
        </w:r>
      </w:hyperlink>
      <w:r w:rsidRPr="00DA136E">
        <w:rPr>
          <w:rFonts w:cs="Times New Roman"/>
          <w:szCs w:val="24"/>
        </w:rPr>
        <w:t>?</w:t>
      </w:r>
      <w:r w:rsidR="000F4642">
        <w:rPr>
          <w:rFonts w:cs="Times New Roman"/>
          <w:szCs w:val="24"/>
          <w:lang w:val="en-US"/>
        </w:rPr>
        <w:t xml:space="preserve"> </w:t>
      </w:r>
      <w:r w:rsidRPr="00DA136E">
        <w:rPr>
          <w:rFonts w:cs="Times New Roman"/>
          <w:szCs w:val="24"/>
        </w:rPr>
        <w:t>title=Bilanci+enti+locali+-+03%2Fnov%2F2017+-+Tavole.xls</w:t>
      </w:r>
    </w:p>
    <w:p w:rsidR="00DA136E" w:rsidRPr="00DA136E" w:rsidRDefault="00DA136E" w:rsidP="000F4642">
      <w:pPr>
        <w:numPr>
          <w:ilvl w:val="0"/>
          <w:numId w:val="8"/>
        </w:numPr>
        <w:tabs>
          <w:tab w:val="left" w:pos="993"/>
        </w:tabs>
        <w:ind w:left="993" w:hanging="284"/>
        <w:contextualSpacing/>
        <w:jc w:val="left"/>
        <w:rPr>
          <w:rFonts w:cs="Times New Roman"/>
          <w:szCs w:val="24"/>
        </w:rPr>
      </w:pPr>
      <w:r w:rsidRPr="00DA136E">
        <w:rPr>
          <w:rFonts w:cs="Times New Roman"/>
          <w:szCs w:val="24"/>
        </w:rPr>
        <w:t xml:space="preserve">I </w:t>
      </w:r>
      <w:proofErr w:type="spellStart"/>
      <w:r w:rsidRPr="00DA136E">
        <w:rPr>
          <w:rFonts w:cs="Times New Roman"/>
          <w:szCs w:val="24"/>
        </w:rPr>
        <w:t>bilanci</w:t>
      </w:r>
      <w:proofErr w:type="spellEnd"/>
      <w:r w:rsidRPr="00DA136E">
        <w:rPr>
          <w:rFonts w:cs="Times New Roman"/>
          <w:szCs w:val="24"/>
        </w:rPr>
        <w:t xml:space="preserve"> </w:t>
      </w:r>
      <w:proofErr w:type="spellStart"/>
      <w:r w:rsidRPr="00DA136E">
        <w:rPr>
          <w:rFonts w:cs="Times New Roman"/>
          <w:szCs w:val="24"/>
        </w:rPr>
        <w:t>consuntivi</w:t>
      </w:r>
      <w:proofErr w:type="spellEnd"/>
      <w:r w:rsidRPr="00DA136E">
        <w:rPr>
          <w:rFonts w:cs="Times New Roman"/>
          <w:szCs w:val="24"/>
        </w:rPr>
        <w:t xml:space="preserve"> </w:t>
      </w:r>
      <w:proofErr w:type="spellStart"/>
      <w:r w:rsidRPr="00DA136E">
        <w:rPr>
          <w:rFonts w:cs="Times New Roman"/>
          <w:szCs w:val="24"/>
        </w:rPr>
        <w:t>di</w:t>
      </w:r>
      <w:proofErr w:type="spellEnd"/>
      <w:r w:rsidRPr="00DA136E">
        <w:rPr>
          <w:rFonts w:cs="Times New Roman"/>
          <w:szCs w:val="24"/>
        </w:rPr>
        <w:t xml:space="preserve"> </w:t>
      </w:r>
      <w:proofErr w:type="spellStart"/>
      <w:r w:rsidRPr="00DA136E">
        <w:rPr>
          <w:rFonts w:cs="Times New Roman"/>
          <w:szCs w:val="24"/>
        </w:rPr>
        <w:t>comuni</w:t>
      </w:r>
      <w:proofErr w:type="spellEnd"/>
      <w:r w:rsidRPr="00DA136E">
        <w:rPr>
          <w:rFonts w:cs="Times New Roman"/>
          <w:szCs w:val="24"/>
        </w:rPr>
        <w:t xml:space="preserve">, </w:t>
      </w:r>
      <w:proofErr w:type="spellStart"/>
      <w:r w:rsidRPr="00DA136E">
        <w:rPr>
          <w:rFonts w:cs="Times New Roman"/>
          <w:szCs w:val="24"/>
        </w:rPr>
        <w:t>province</w:t>
      </w:r>
      <w:proofErr w:type="spellEnd"/>
      <w:r w:rsidRPr="00DA136E">
        <w:rPr>
          <w:rFonts w:cs="Times New Roman"/>
          <w:szCs w:val="24"/>
        </w:rPr>
        <w:t xml:space="preserve">, </w:t>
      </w:r>
      <w:proofErr w:type="spellStart"/>
      <w:r w:rsidRPr="00DA136E">
        <w:rPr>
          <w:rFonts w:cs="Times New Roman"/>
          <w:szCs w:val="24"/>
        </w:rPr>
        <w:t>aree</w:t>
      </w:r>
      <w:proofErr w:type="spellEnd"/>
      <w:r w:rsidRPr="00DA136E">
        <w:rPr>
          <w:rFonts w:cs="Times New Roman"/>
          <w:szCs w:val="24"/>
        </w:rPr>
        <w:t xml:space="preserve"> </w:t>
      </w:r>
      <w:proofErr w:type="spellStart"/>
      <w:r w:rsidRPr="00DA136E">
        <w:rPr>
          <w:rFonts w:cs="Times New Roman"/>
          <w:szCs w:val="24"/>
        </w:rPr>
        <w:t>metropolitane</w:t>
      </w:r>
      <w:proofErr w:type="spellEnd"/>
      <w:r w:rsidRPr="00DA136E">
        <w:rPr>
          <w:rFonts w:cs="Times New Roman"/>
          <w:szCs w:val="24"/>
        </w:rPr>
        <w:t xml:space="preserve"> </w:t>
      </w:r>
      <w:r w:rsidR="000F4642" w:rsidRPr="000F4642">
        <w:rPr>
          <w:rFonts w:cs="Times New Roman"/>
          <w:szCs w:val="24"/>
          <w:lang w:val="en-US"/>
        </w:rPr>
        <w:t>[</w:t>
      </w:r>
      <w:proofErr w:type="spellStart"/>
      <w:r w:rsidR="000F4642" w:rsidRPr="000F4642">
        <w:rPr>
          <w:rFonts w:cs="Times New Roman"/>
          <w:szCs w:val="24"/>
          <w:lang w:val="en-US"/>
        </w:rPr>
        <w:t>Elektronnyiy</w:t>
      </w:r>
      <w:proofErr w:type="spellEnd"/>
      <w:r w:rsidR="000F4642" w:rsidRPr="000F4642">
        <w:rPr>
          <w:rFonts w:cs="Times New Roman"/>
          <w:szCs w:val="24"/>
          <w:lang w:val="en-US"/>
        </w:rPr>
        <w:t xml:space="preserve"> </w:t>
      </w:r>
      <w:proofErr w:type="spellStart"/>
      <w:r w:rsidR="000F4642" w:rsidRPr="000F4642">
        <w:rPr>
          <w:rFonts w:cs="Times New Roman"/>
          <w:szCs w:val="24"/>
          <w:lang w:val="en-US"/>
        </w:rPr>
        <w:t>resurs</w:t>
      </w:r>
      <w:proofErr w:type="spellEnd"/>
      <w:r w:rsidR="000F4642" w:rsidRPr="000F4642">
        <w:rPr>
          <w:rFonts w:cs="Times New Roman"/>
          <w:szCs w:val="24"/>
          <w:lang w:val="en-US"/>
        </w:rPr>
        <w:t xml:space="preserve">] </w:t>
      </w:r>
      <w:r w:rsidR="000F4642" w:rsidRPr="000F4642">
        <w:rPr>
          <w:rFonts w:eastAsia="Calibri" w:cs="Times New Roman"/>
          <w:szCs w:val="24"/>
          <w:lang w:eastAsia="uk-UA"/>
        </w:rPr>
        <w:t>/</w:t>
      </w:r>
      <w:r w:rsidR="000F4642" w:rsidRPr="000F4642">
        <w:rPr>
          <w:rFonts w:eastAsia="Calibri" w:cs="Times New Roman"/>
          <w:szCs w:val="24"/>
          <w:lang w:val="en-US" w:eastAsia="uk-UA"/>
        </w:rPr>
        <w:t xml:space="preserve"> </w:t>
      </w:r>
      <w:proofErr w:type="spellStart"/>
      <w:r w:rsidR="000F4642" w:rsidRPr="000F4642">
        <w:rPr>
          <w:rFonts w:eastAsia="Calibri" w:cs="Times New Roman"/>
          <w:szCs w:val="24"/>
          <w:lang w:val="en-US" w:eastAsia="uk-UA"/>
        </w:rPr>
        <w:t>Istat</w:t>
      </w:r>
      <w:proofErr w:type="spellEnd"/>
      <w:r w:rsidR="000F4642" w:rsidRPr="000F4642">
        <w:rPr>
          <w:rFonts w:eastAsia="Calibri" w:cs="Times New Roman"/>
          <w:szCs w:val="24"/>
          <w:lang w:val="en-US" w:eastAsia="uk-UA"/>
        </w:rPr>
        <w:t xml:space="preserve">. </w:t>
      </w:r>
      <w:r w:rsidR="00DB1283" w:rsidRPr="000F4642">
        <w:rPr>
          <w:rFonts w:cs="Times New Roman"/>
          <w:szCs w:val="24"/>
          <w:lang w:val="en-US"/>
        </w:rPr>
        <w:t xml:space="preserve">– </w:t>
      </w:r>
      <w:proofErr w:type="spellStart"/>
      <w:r w:rsidR="00DB1283" w:rsidRPr="000F4642">
        <w:rPr>
          <w:rFonts w:eastAsia="Times New Roman" w:cs="Times New Roman"/>
          <w:szCs w:val="24"/>
          <w:lang w:val="en-US" w:eastAsia="ru-RU"/>
        </w:rPr>
        <w:t>Rezhym</w:t>
      </w:r>
      <w:proofErr w:type="spellEnd"/>
      <w:r w:rsidR="00DB1283" w:rsidRPr="000F4642">
        <w:rPr>
          <w:rFonts w:eastAsia="Times New Roman" w:cs="Times New Roman"/>
          <w:szCs w:val="24"/>
          <w:lang w:val="en-US" w:eastAsia="ru-RU"/>
        </w:rPr>
        <w:t xml:space="preserve"> </w:t>
      </w:r>
      <w:proofErr w:type="spellStart"/>
      <w:r w:rsidR="00DB1283" w:rsidRPr="000F4642">
        <w:rPr>
          <w:rFonts w:eastAsia="Times New Roman" w:cs="Times New Roman"/>
          <w:szCs w:val="24"/>
          <w:lang w:val="en-US" w:eastAsia="ru-RU"/>
        </w:rPr>
        <w:t>dostupu</w:t>
      </w:r>
      <w:proofErr w:type="spellEnd"/>
      <w:r w:rsidR="00DB1283" w:rsidRPr="000F4642">
        <w:rPr>
          <w:rFonts w:eastAsia="Times New Roman" w:cs="Times New Roman"/>
          <w:szCs w:val="24"/>
          <w:lang w:val="en-US" w:eastAsia="ru-RU"/>
        </w:rPr>
        <w:t xml:space="preserve">: </w:t>
      </w:r>
      <w:r w:rsidRPr="00DA136E">
        <w:rPr>
          <w:rFonts w:cs="Times New Roman"/>
          <w:szCs w:val="24"/>
        </w:rPr>
        <w:t>http://www.istat.it/it/archivio/205278</w:t>
      </w:r>
    </w:p>
    <w:p w:rsidR="00FD3777" w:rsidRPr="0081192D" w:rsidRDefault="00FD3777" w:rsidP="00FD3777">
      <w:pPr>
        <w:rPr>
          <w:lang w:val="en-US"/>
        </w:rPr>
      </w:pPr>
    </w:p>
    <w:sectPr w:rsidR="00FD3777" w:rsidRPr="0081192D" w:rsidSect="00FE27A7">
      <w:pgSz w:w="11906" w:h="16838"/>
      <w:pgMar w:top="1134" w:right="851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F7135" w:rsidRDefault="007F7135" w:rsidP="001F03BC">
      <w:pPr>
        <w:spacing w:line="240" w:lineRule="auto"/>
      </w:pPr>
      <w:r>
        <w:separator/>
      </w:r>
    </w:p>
  </w:endnote>
  <w:endnote w:type="continuationSeparator" w:id="0">
    <w:p w:rsidR="007F7135" w:rsidRDefault="007F7135" w:rsidP="001F03B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F7135" w:rsidRDefault="007F7135" w:rsidP="001F03BC">
      <w:pPr>
        <w:spacing w:line="240" w:lineRule="auto"/>
      </w:pPr>
      <w:r>
        <w:separator/>
      </w:r>
    </w:p>
  </w:footnote>
  <w:footnote w:type="continuationSeparator" w:id="0">
    <w:p w:rsidR="007F7135" w:rsidRDefault="007F7135" w:rsidP="001F03BC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7E3494"/>
    <w:multiLevelType w:val="hybridMultilevel"/>
    <w:tmpl w:val="981AC1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B2604A3"/>
    <w:multiLevelType w:val="hybridMultilevel"/>
    <w:tmpl w:val="3BA0D5A4"/>
    <w:lvl w:ilvl="0" w:tplc="2DFA5F22">
      <w:start w:val="22"/>
      <w:numFmt w:val="bullet"/>
      <w:suff w:val="space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FFB6634"/>
    <w:multiLevelType w:val="multilevel"/>
    <w:tmpl w:val="73A05CF4"/>
    <w:lvl w:ilvl="0">
      <w:start w:val="1"/>
      <w:numFmt w:val="decimal"/>
      <w:pStyle w:val="1"/>
      <w:suff w:val="space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2"/>
      <w:suff w:val="space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3"/>
      <w:suff w:val="space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3">
    <w:nsid w:val="484C3D92"/>
    <w:multiLevelType w:val="hybridMultilevel"/>
    <w:tmpl w:val="8E80466C"/>
    <w:lvl w:ilvl="0" w:tplc="2DFA5F22">
      <w:start w:val="22"/>
      <w:numFmt w:val="bullet"/>
      <w:lvlText w:val="-"/>
      <w:lvlJc w:val="left"/>
      <w:pPr>
        <w:ind w:left="142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>
    <w:nsid w:val="5A192B79"/>
    <w:multiLevelType w:val="hybridMultilevel"/>
    <w:tmpl w:val="B48CFFA2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645B3F25"/>
    <w:multiLevelType w:val="hybridMultilevel"/>
    <w:tmpl w:val="5114D94A"/>
    <w:lvl w:ilvl="0" w:tplc="FB14D82E">
      <w:numFmt w:val="bullet"/>
      <w:lvlText w:val="–"/>
      <w:lvlJc w:val="left"/>
      <w:pPr>
        <w:ind w:left="1429" w:hanging="360"/>
      </w:pPr>
      <w:rPr>
        <w:rFonts w:ascii="Calibri" w:eastAsia="Calibri" w:hAnsi="Calibri" w:cs="Calibri" w:hint="default"/>
        <w:w w:val="112"/>
        <w:sz w:val="18"/>
        <w:szCs w:val="18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79D35382"/>
    <w:multiLevelType w:val="hybridMultilevel"/>
    <w:tmpl w:val="E948254E"/>
    <w:lvl w:ilvl="0" w:tplc="FB14D82E">
      <w:numFmt w:val="bullet"/>
      <w:lvlText w:val="–"/>
      <w:lvlJc w:val="left"/>
      <w:pPr>
        <w:ind w:left="1429" w:hanging="360"/>
      </w:pPr>
      <w:rPr>
        <w:rFonts w:ascii="Calibri" w:eastAsia="Calibri" w:hAnsi="Calibri" w:cs="Calibri" w:hint="default"/>
        <w:w w:val="112"/>
        <w:sz w:val="18"/>
        <w:szCs w:val="18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7EA84AB7"/>
    <w:multiLevelType w:val="hybridMultilevel"/>
    <w:tmpl w:val="00982F0E"/>
    <w:lvl w:ilvl="0" w:tplc="6DA8654E">
      <w:start w:val="5"/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5"/>
  </w:num>
  <w:num w:numId="3">
    <w:abstractNumId w:val="2"/>
  </w:num>
  <w:num w:numId="4">
    <w:abstractNumId w:val="6"/>
  </w:num>
  <w:num w:numId="5">
    <w:abstractNumId w:val="4"/>
  </w:num>
  <w:num w:numId="6">
    <w:abstractNumId w:val="1"/>
  </w:num>
  <w:num w:numId="7">
    <w:abstractNumId w:val="3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03BC"/>
    <w:rsid w:val="00004FAD"/>
    <w:rsid w:val="00005641"/>
    <w:rsid w:val="00006F36"/>
    <w:rsid w:val="000118C0"/>
    <w:rsid w:val="00012623"/>
    <w:rsid w:val="00017A6E"/>
    <w:rsid w:val="00022A67"/>
    <w:rsid w:val="000247EF"/>
    <w:rsid w:val="00024AA3"/>
    <w:rsid w:val="00025871"/>
    <w:rsid w:val="00034252"/>
    <w:rsid w:val="00035CBB"/>
    <w:rsid w:val="0003718F"/>
    <w:rsid w:val="00037650"/>
    <w:rsid w:val="00045195"/>
    <w:rsid w:val="000466EA"/>
    <w:rsid w:val="00050F21"/>
    <w:rsid w:val="0005353E"/>
    <w:rsid w:val="00054C8F"/>
    <w:rsid w:val="0005717A"/>
    <w:rsid w:val="00061385"/>
    <w:rsid w:val="00072D88"/>
    <w:rsid w:val="00072EBE"/>
    <w:rsid w:val="000759C5"/>
    <w:rsid w:val="0007670A"/>
    <w:rsid w:val="00077724"/>
    <w:rsid w:val="000810CB"/>
    <w:rsid w:val="00084632"/>
    <w:rsid w:val="00090942"/>
    <w:rsid w:val="00091106"/>
    <w:rsid w:val="0009752A"/>
    <w:rsid w:val="00097763"/>
    <w:rsid w:val="000A36C9"/>
    <w:rsid w:val="000A4508"/>
    <w:rsid w:val="000B2FD6"/>
    <w:rsid w:val="000C27DC"/>
    <w:rsid w:val="000C4F27"/>
    <w:rsid w:val="000D1B8C"/>
    <w:rsid w:val="000D579F"/>
    <w:rsid w:val="000E28C3"/>
    <w:rsid w:val="000E2FD8"/>
    <w:rsid w:val="000E345F"/>
    <w:rsid w:val="000E47D8"/>
    <w:rsid w:val="000E4F4E"/>
    <w:rsid w:val="000E5A54"/>
    <w:rsid w:val="000F1575"/>
    <w:rsid w:val="000F23E9"/>
    <w:rsid w:val="000F4642"/>
    <w:rsid w:val="00101E0C"/>
    <w:rsid w:val="001126FF"/>
    <w:rsid w:val="00125716"/>
    <w:rsid w:val="0012576E"/>
    <w:rsid w:val="001337EB"/>
    <w:rsid w:val="00135BAC"/>
    <w:rsid w:val="001375B7"/>
    <w:rsid w:val="00141E03"/>
    <w:rsid w:val="00143FA6"/>
    <w:rsid w:val="001456EF"/>
    <w:rsid w:val="001458AF"/>
    <w:rsid w:val="00145C28"/>
    <w:rsid w:val="0015019A"/>
    <w:rsid w:val="00151982"/>
    <w:rsid w:val="0015245C"/>
    <w:rsid w:val="001534A3"/>
    <w:rsid w:val="00164DDF"/>
    <w:rsid w:val="001711D4"/>
    <w:rsid w:val="00174BFB"/>
    <w:rsid w:val="00176B94"/>
    <w:rsid w:val="00182511"/>
    <w:rsid w:val="00184481"/>
    <w:rsid w:val="00187705"/>
    <w:rsid w:val="00187BBE"/>
    <w:rsid w:val="0019008E"/>
    <w:rsid w:val="00196699"/>
    <w:rsid w:val="001A448C"/>
    <w:rsid w:val="001A4FAA"/>
    <w:rsid w:val="001B2029"/>
    <w:rsid w:val="001B4F6C"/>
    <w:rsid w:val="001B77A1"/>
    <w:rsid w:val="001C2044"/>
    <w:rsid w:val="001C325A"/>
    <w:rsid w:val="001C3DFE"/>
    <w:rsid w:val="001C5DE0"/>
    <w:rsid w:val="001C772D"/>
    <w:rsid w:val="001D236B"/>
    <w:rsid w:val="001D4F63"/>
    <w:rsid w:val="001D7E92"/>
    <w:rsid w:val="001E1BBF"/>
    <w:rsid w:val="001E5388"/>
    <w:rsid w:val="001E5C6C"/>
    <w:rsid w:val="001E68AC"/>
    <w:rsid w:val="001F03BC"/>
    <w:rsid w:val="001F33E4"/>
    <w:rsid w:val="001F38AE"/>
    <w:rsid w:val="001F5DE7"/>
    <w:rsid w:val="00201D4F"/>
    <w:rsid w:val="00203F3A"/>
    <w:rsid w:val="0020442E"/>
    <w:rsid w:val="00204D53"/>
    <w:rsid w:val="00210752"/>
    <w:rsid w:val="00210AC4"/>
    <w:rsid w:val="002147B8"/>
    <w:rsid w:val="00214EC0"/>
    <w:rsid w:val="00222494"/>
    <w:rsid w:val="002225E0"/>
    <w:rsid w:val="00226BBD"/>
    <w:rsid w:val="00227F6D"/>
    <w:rsid w:val="00227F95"/>
    <w:rsid w:val="00232193"/>
    <w:rsid w:val="00236277"/>
    <w:rsid w:val="00236975"/>
    <w:rsid w:val="0024183D"/>
    <w:rsid w:val="00250E24"/>
    <w:rsid w:val="00251390"/>
    <w:rsid w:val="0025680B"/>
    <w:rsid w:val="002644A8"/>
    <w:rsid w:val="00270ED0"/>
    <w:rsid w:val="00276CA7"/>
    <w:rsid w:val="00277E9D"/>
    <w:rsid w:val="00280308"/>
    <w:rsid w:val="00285E0C"/>
    <w:rsid w:val="002867BB"/>
    <w:rsid w:val="00293DC1"/>
    <w:rsid w:val="00294A25"/>
    <w:rsid w:val="002B02A8"/>
    <w:rsid w:val="002B0867"/>
    <w:rsid w:val="002B0F9A"/>
    <w:rsid w:val="002B5210"/>
    <w:rsid w:val="002B560E"/>
    <w:rsid w:val="002C0853"/>
    <w:rsid w:val="002C430F"/>
    <w:rsid w:val="002D2C81"/>
    <w:rsid w:val="002E1605"/>
    <w:rsid w:val="002E56D2"/>
    <w:rsid w:val="002F0EC1"/>
    <w:rsid w:val="002F1618"/>
    <w:rsid w:val="002F1622"/>
    <w:rsid w:val="002F201C"/>
    <w:rsid w:val="002F587A"/>
    <w:rsid w:val="00301CD2"/>
    <w:rsid w:val="0030282C"/>
    <w:rsid w:val="003039A9"/>
    <w:rsid w:val="00305ECC"/>
    <w:rsid w:val="00306039"/>
    <w:rsid w:val="0030618F"/>
    <w:rsid w:val="00307BE0"/>
    <w:rsid w:val="00310B58"/>
    <w:rsid w:val="00310BEA"/>
    <w:rsid w:val="00314EBC"/>
    <w:rsid w:val="00315F87"/>
    <w:rsid w:val="00316A47"/>
    <w:rsid w:val="00321171"/>
    <w:rsid w:val="00321631"/>
    <w:rsid w:val="00324189"/>
    <w:rsid w:val="00331978"/>
    <w:rsid w:val="00331A9F"/>
    <w:rsid w:val="00332F2B"/>
    <w:rsid w:val="003355E7"/>
    <w:rsid w:val="0033565D"/>
    <w:rsid w:val="00341147"/>
    <w:rsid w:val="0034629D"/>
    <w:rsid w:val="00347504"/>
    <w:rsid w:val="00354B20"/>
    <w:rsid w:val="003557EF"/>
    <w:rsid w:val="003566DD"/>
    <w:rsid w:val="00362DB8"/>
    <w:rsid w:val="00365A1A"/>
    <w:rsid w:val="00373127"/>
    <w:rsid w:val="003755B0"/>
    <w:rsid w:val="00380CD6"/>
    <w:rsid w:val="00380DE9"/>
    <w:rsid w:val="00381AAE"/>
    <w:rsid w:val="00381DAC"/>
    <w:rsid w:val="003823A3"/>
    <w:rsid w:val="00383710"/>
    <w:rsid w:val="00383DB2"/>
    <w:rsid w:val="00384818"/>
    <w:rsid w:val="00385DB1"/>
    <w:rsid w:val="00386470"/>
    <w:rsid w:val="00392F53"/>
    <w:rsid w:val="0039321D"/>
    <w:rsid w:val="00393FE0"/>
    <w:rsid w:val="0039493C"/>
    <w:rsid w:val="00394F40"/>
    <w:rsid w:val="003A047A"/>
    <w:rsid w:val="003A3320"/>
    <w:rsid w:val="003A61A6"/>
    <w:rsid w:val="003B43B7"/>
    <w:rsid w:val="003B551C"/>
    <w:rsid w:val="003C4F2F"/>
    <w:rsid w:val="003C5203"/>
    <w:rsid w:val="003D1681"/>
    <w:rsid w:val="003D5016"/>
    <w:rsid w:val="003D56B0"/>
    <w:rsid w:val="003D5DFF"/>
    <w:rsid w:val="003D7A10"/>
    <w:rsid w:val="003E05BF"/>
    <w:rsid w:val="003E1300"/>
    <w:rsid w:val="003E3A40"/>
    <w:rsid w:val="003E5CF9"/>
    <w:rsid w:val="003E678E"/>
    <w:rsid w:val="003E78E4"/>
    <w:rsid w:val="003E7DC0"/>
    <w:rsid w:val="003F25BB"/>
    <w:rsid w:val="003F53D9"/>
    <w:rsid w:val="00400D0A"/>
    <w:rsid w:val="004155D6"/>
    <w:rsid w:val="00415CA1"/>
    <w:rsid w:val="004167AC"/>
    <w:rsid w:val="0042743D"/>
    <w:rsid w:val="00430B93"/>
    <w:rsid w:val="00432310"/>
    <w:rsid w:val="004342FA"/>
    <w:rsid w:val="00437152"/>
    <w:rsid w:val="004429F8"/>
    <w:rsid w:val="004530B7"/>
    <w:rsid w:val="004531AB"/>
    <w:rsid w:val="00466CF0"/>
    <w:rsid w:val="00466E67"/>
    <w:rsid w:val="00471371"/>
    <w:rsid w:val="004719D9"/>
    <w:rsid w:val="004729B8"/>
    <w:rsid w:val="00480564"/>
    <w:rsid w:val="00490DAD"/>
    <w:rsid w:val="00493F22"/>
    <w:rsid w:val="004B6A8D"/>
    <w:rsid w:val="004C5FD6"/>
    <w:rsid w:val="004C71E9"/>
    <w:rsid w:val="004D2098"/>
    <w:rsid w:val="004D3A59"/>
    <w:rsid w:val="004D4FCC"/>
    <w:rsid w:val="004E2298"/>
    <w:rsid w:val="004E2CEA"/>
    <w:rsid w:val="004E4049"/>
    <w:rsid w:val="004F32C3"/>
    <w:rsid w:val="004F430C"/>
    <w:rsid w:val="0050216D"/>
    <w:rsid w:val="00502441"/>
    <w:rsid w:val="00502773"/>
    <w:rsid w:val="00505588"/>
    <w:rsid w:val="005066CD"/>
    <w:rsid w:val="0050798D"/>
    <w:rsid w:val="00516278"/>
    <w:rsid w:val="00516EAE"/>
    <w:rsid w:val="005201F6"/>
    <w:rsid w:val="00521245"/>
    <w:rsid w:val="005212DF"/>
    <w:rsid w:val="005234A8"/>
    <w:rsid w:val="005258A1"/>
    <w:rsid w:val="00537B98"/>
    <w:rsid w:val="005502F4"/>
    <w:rsid w:val="00553C66"/>
    <w:rsid w:val="005552C2"/>
    <w:rsid w:val="0055669E"/>
    <w:rsid w:val="005604EE"/>
    <w:rsid w:val="00560900"/>
    <w:rsid w:val="00562629"/>
    <w:rsid w:val="00571AEA"/>
    <w:rsid w:val="00572C04"/>
    <w:rsid w:val="00575090"/>
    <w:rsid w:val="005856C9"/>
    <w:rsid w:val="00585AD1"/>
    <w:rsid w:val="00596FED"/>
    <w:rsid w:val="005A3FFD"/>
    <w:rsid w:val="005A5F06"/>
    <w:rsid w:val="005C0C74"/>
    <w:rsid w:val="005C2F79"/>
    <w:rsid w:val="005C368E"/>
    <w:rsid w:val="005C4545"/>
    <w:rsid w:val="005C5B90"/>
    <w:rsid w:val="005C7A3A"/>
    <w:rsid w:val="005D038E"/>
    <w:rsid w:val="005D383D"/>
    <w:rsid w:val="005E46D8"/>
    <w:rsid w:val="005E6F6C"/>
    <w:rsid w:val="005F1F0B"/>
    <w:rsid w:val="005F3580"/>
    <w:rsid w:val="005F4384"/>
    <w:rsid w:val="00601A2B"/>
    <w:rsid w:val="00601B67"/>
    <w:rsid w:val="006065A9"/>
    <w:rsid w:val="0061342B"/>
    <w:rsid w:val="00615746"/>
    <w:rsid w:val="00617B0C"/>
    <w:rsid w:val="00625840"/>
    <w:rsid w:val="006273CC"/>
    <w:rsid w:val="00640831"/>
    <w:rsid w:val="00641347"/>
    <w:rsid w:val="00645E34"/>
    <w:rsid w:val="00657179"/>
    <w:rsid w:val="0065721C"/>
    <w:rsid w:val="00661799"/>
    <w:rsid w:val="00671279"/>
    <w:rsid w:val="00674BE6"/>
    <w:rsid w:val="00677B95"/>
    <w:rsid w:val="00682B1B"/>
    <w:rsid w:val="00686319"/>
    <w:rsid w:val="00687C7F"/>
    <w:rsid w:val="00691664"/>
    <w:rsid w:val="00694916"/>
    <w:rsid w:val="006A1235"/>
    <w:rsid w:val="006A13D3"/>
    <w:rsid w:val="006A1A8F"/>
    <w:rsid w:val="006A35DC"/>
    <w:rsid w:val="006B0E1B"/>
    <w:rsid w:val="006B5577"/>
    <w:rsid w:val="006B697C"/>
    <w:rsid w:val="006B75C1"/>
    <w:rsid w:val="006C32F9"/>
    <w:rsid w:val="006D0EEE"/>
    <w:rsid w:val="006D0EF1"/>
    <w:rsid w:val="006D1005"/>
    <w:rsid w:val="006D522C"/>
    <w:rsid w:val="006D5C8D"/>
    <w:rsid w:val="006D7141"/>
    <w:rsid w:val="006E09AE"/>
    <w:rsid w:val="006E45D6"/>
    <w:rsid w:val="006F0689"/>
    <w:rsid w:val="006F06C0"/>
    <w:rsid w:val="006F2BBC"/>
    <w:rsid w:val="00704609"/>
    <w:rsid w:val="00711693"/>
    <w:rsid w:val="00713D91"/>
    <w:rsid w:val="0071473D"/>
    <w:rsid w:val="0072555F"/>
    <w:rsid w:val="00726622"/>
    <w:rsid w:val="00726D5A"/>
    <w:rsid w:val="00731987"/>
    <w:rsid w:val="00731E9C"/>
    <w:rsid w:val="0073286F"/>
    <w:rsid w:val="00734799"/>
    <w:rsid w:val="0073560F"/>
    <w:rsid w:val="007429CB"/>
    <w:rsid w:val="00747ECA"/>
    <w:rsid w:val="00751D09"/>
    <w:rsid w:val="00753F6E"/>
    <w:rsid w:val="00754575"/>
    <w:rsid w:val="007614CD"/>
    <w:rsid w:val="00767221"/>
    <w:rsid w:val="00771DB0"/>
    <w:rsid w:val="007750E9"/>
    <w:rsid w:val="007773B8"/>
    <w:rsid w:val="00782C98"/>
    <w:rsid w:val="0078556C"/>
    <w:rsid w:val="00785F1E"/>
    <w:rsid w:val="00795361"/>
    <w:rsid w:val="007960E8"/>
    <w:rsid w:val="007A28B5"/>
    <w:rsid w:val="007B0144"/>
    <w:rsid w:val="007B0C44"/>
    <w:rsid w:val="007C0078"/>
    <w:rsid w:val="007C0C7F"/>
    <w:rsid w:val="007C14EE"/>
    <w:rsid w:val="007C23EE"/>
    <w:rsid w:val="007C7940"/>
    <w:rsid w:val="007D0A39"/>
    <w:rsid w:val="007D26A5"/>
    <w:rsid w:val="007D2837"/>
    <w:rsid w:val="007D3873"/>
    <w:rsid w:val="007D5508"/>
    <w:rsid w:val="007D5558"/>
    <w:rsid w:val="007D5ADE"/>
    <w:rsid w:val="007E33FA"/>
    <w:rsid w:val="007E37FC"/>
    <w:rsid w:val="007E3FE1"/>
    <w:rsid w:val="007E4383"/>
    <w:rsid w:val="007E6A9D"/>
    <w:rsid w:val="007F21C7"/>
    <w:rsid w:val="007F520D"/>
    <w:rsid w:val="007F7135"/>
    <w:rsid w:val="007F7D50"/>
    <w:rsid w:val="00801C90"/>
    <w:rsid w:val="00801FB9"/>
    <w:rsid w:val="00807DB0"/>
    <w:rsid w:val="00810B50"/>
    <w:rsid w:val="0081192D"/>
    <w:rsid w:val="00820E9B"/>
    <w:rsid w:val="008218C8"/>
    <w:rsid w:val="0082210A"/>
    <w:rsid w:val="00822650"/>
    <w:rsid w:val="00822DA7"/>
    <w:rsid w:val="00824745"/>
    <w:rsid w:val="00824BEA"/>
    <w:rsid w:val="0083339F"/>
    <w:rsid w:val="0084052F"/>
    <w:rsid w:val="00845F57"/>
    <w:rsid w:val="00846167"/>
    <w:rsid w:val="00850AE4"/>
    <w:rsid w:val="008545E0"/>
    <w:rsid w:val="008605A6"/>
    <w:rsid w:val="00860CC7"/>
    <w:rsid w:val="008638EA"/>
    <w:rsid w:val="00865225"/>
    <w:rsid w:val="008702F4"/>
    <w:rsid w:val="0087299B"/>
    <w:rsid w:val="00875350"/>
    <w:rsid w:val="00893F10"/>
    <w:rsid w:val="0089577E"/>
    <w:rsid w:val="008971DC"/>
    <w:rsid w:val="00897BA8"/>
    <w:rsid w:val="008A305B"/>
    <w:rsid w:val="008A5344"/>
    <w:rsid w:val="008A6AF0"/>
    <w:rsid w:val="008B0444"/>
    <w:rsid w:val="008B0530"/>
    <w:rsid w:val="008D2237"/>
    <w:rsid w:val="008D2971"/>
    <w:rsid w:val="008D4767"/>
    <w:rsid w:val="008E0A5C"/>
    <w:rsid w:val="008E0EE2"/>
    <w:rsid w:val="008E5C85"/>
    <w:rsid w:val="008E67D4"/>
    <w:rsid w:val="008E696E"/>
    <w:rsid w:val="008E7702"/>
    <w:rsid w:val="008F219E"/>
    <w:rsid w:val="008F4871"/>
    <w:rsid w:val="008F5B27"/>
    <w:rsid w:val="00902C4F"/>
    <w:rsid w:val="00904DF8"/>
    <w:rsid w:val="00906BFD"/>
    <w:rsid w:val="00910106"/>
    <w:rsid w:val="0091158B"/>
    <w:rsid w:val="00933A17"/>
    <w:rsid w:val="00936DB2"/>
    <w:rsid w:val="0093705B"/>
    <w:rsid w:val="00942480"/>
    <w:rsid w:val="00945204"/>
    <w:rsid w:val="00947C7C"/>
    <w:rsid w:val="00951D63"/>
    <w:rsid w:val="00960DE5"/>
    <w:rsid w:val="00962B4A"/>
    <w:rsid w:val="00965688"/>
    <w:rsid w:val="00967B0C"/>
    <w:rsid w:val="009708C5"/>
    <w:rsid w:val="00976590"/>
    <w:rsid w:val="009925BC"/>
    <w:rsid w:val="0099360B"/>
    <w:rsid w:val="00995661"/>
    <w:rsid w:val="0099571B"/>
    <w:rsid w:val="0099734A"/>
    <w:rsid w:val="009976B2"/>
    <w:rsid w:val="009A0DFC"/>
    <w:rsid w:val="009A3071"/>
    <w:rsid w:val="009A67D3"/>
    <w:rsid w:val="009A7491"/>
    <w:rsid w:val="009A7B62"/>
    <w:rsid w:val="009A7B82"/>
    <w:rsid w:val="009B76B8"/>
    <w:rsid w:val="009C1B5B"/>
    <w:rsid w:val="009C4288"/>
    <w:rsid w:val="009C65E3"/>
    <w:rsid w:val="009D128B"/>
    <w:rsid w:val="009D3A6B"/>
    <w:rsid w:val="009E0A71"/>
    <w:rsid w:val="009F3DFA"/>
    <w:rsid w:val="009F41C6"/>
    <w:rsid w:val="009F5C33"/>
    <w:rsid w:val="009F5DFC"/>
    <w:rsid w:val="009F62C7"/>
    <w:rsid w:val="00A035B1"/>
    <w:rsid w:val="00A110FE"/>
    <w:rsid w:val="00A13492"/>
    <w:rsid w:val="00A16B32"/>
    <w:rsid w:val="00A1747F"/>
    <w:rsid w:val="00A2300A"/>
    <w:rsid w:val="00A2443C"/>
    <w:rsid w:val="00A24D1F"/>
    <w:rsid w:val="00A2593A"/>
    <w:rsid w:val="00A478F5"/>
    <w:rsid w:val="00A52A6F"/>
    <w:rsid w:val="00A60952"/>
    <w:rsid w:val="00A66918"/>
    <w:rsid w:val="00A71FAB"/>
    <w:rsid w:val="00A827B3"/>
    <w:rsid w:val="00A833B6"/>
    <w:rsid w:val="00A83EF4"/>
    <w:rsid w:val="00A85FC8"/>
    <w:rsid w:val="00A86DD5"/>
    <w:rsid w:val="00A93F93"/>
    <w:rsid w:val="00A944D5"/>
    <w:rsid w:val="00A96284"/>
    <w:rsid w:val="00A967A2"/>
    <w:rsid w:val="00AA0F11"/>
    <w:rsid w:val="00AA1010"/>
    <w:rsid w:val="00AA24D9"/>
    <w:rsid w:val="00AA28C2"/>
    <w:rsid w:val="00AB36A2"/>
    <w:rsid w:val="00AB4D6E"/>
    <w:rsid w:val="00AB5501"/>
    <w:rsid w:val="00AC317A"/>
    <w:rsid w:val="00AC5E6F"/>
    <w:rsid w:val="00AD1813"/>
    <w:rsid w:val="00AD2D0F"/>
    <w:rsid w:val="00AD2F33"/>
    <w:rsid w:val="00AD3861"/>
    <w:rsid w:val="00AD4D1B"/>
    <w:rsid w:val="00AF0BCA"/>
    <w:rsid w:val="00AF1B7B"/>
    <w:rsid w:val="00B01ED3"/>
    <w:rsid w:val="00B057B6"/>
    <w:rsid w:val="00B115BA"/>
    <w:rsid w:val="00B15142"/>
    <w:rsid w:val="00B17351"/>
    <w:rsid w:val="00B17C8A"/>
    <w:rsid w:val="00B203D1"/>
    <w:rsid w:val="00B211DE"/>
    <w:rsid w:val="00B23E0B"/>
    <w:rsid w:val="00B30035"/>
    <w:rsid w:val="00B32F5A"/>
    <w:rsid w:val="00B36BB5"/>
    <w:rsid w:val="00B36E52"/>
    <w:rsid w:val="00B44026"/>
    <w:rsid w:val="00B44AA5"/>
    <w:rsid w:val="00B50B70"/>
    <w:rsid w:val="00B53717"/>
    <w:rsid w:val="00B57934"/>
    <w:rsid w:val="00B65CD4"/>
    <w:rsid w:val="00B66406"/>
    <w:rsid w:val="00B67FF1"/>
    <w:rsid w:val="00B7104E"/>
    <w:rsid w:val="00B75A90"/>
    <w:rsid w:val="00B80055"/>
    <w:rsid w:val="00B8477B"/>
    <w:rsid w:val="00B87275"/>
    <w:rsid w:val="00B87F39"/>
    <w:rsid w:val="00B9011E"/>
    <w:rsid w:val="00B9285B"/>
    <w:rsid w:val="00BA1351"/>
    <w:rsid w:val="00BA1D30"/>
    <w:rsid w:val="00BA5B8D"/>
    <w:rsid w:val="00BB166E"/>
    <w:rsid w:val="00BB1696"/>
    <w:rsid w:val="00BD0C7D"/>
    <w:rsid w:val="00BD4FB1"/>
    <w:rsid w:val="00BD729E"/>
    <w:rsid w:val="00BE11AE"/>
    <w:rsid w:val="00BE2E03"/>
    <w:rsid w:val="00BE3C36"/>
    <w:rsid w:val="00BE42C8"/>
    <w:rsid w:val="00BE4701"/>
    <w:rsid w:val="00BE5028"/>
    <w:rsid w:val="00BE5F4B"/>
    <w:rsid w:val="00BE79F7"/>
    <w:rsid w:val="00BF020F"/>
    <w:rsid w:val="00BF2DCA"/>
    <w:rsid w:val="00C0299C"/>
    <w:rsid w:val="00C03046"/>
    <w:rsid w:val="00C051BB"/>
    <w:rsid w:val="00C119A4"/>
    <w:rsid w:val="00C13682"/>
    <w:rsid w:val="00C13D8A"/>
    <w:rsid w:val="00C239AA"/>
    <w:rsid w:val="00C27323"/>
    <w:rsid w:val="00C30637"/>
    <w:rsid w:val="00C328B3"/>
    <w:rsid w:val="00C32BD4"/>
    <w:rsid w:val="00C33E6F"/>
    <w:rsid w:val="00C35519"/>
    <w:rsid w:val="00C361B2"/>
    <w:rsid w:val="00C4211D"/>
    <w:rsid w:val="00C50C23"/>
    <w:rsid w:val="00C5281B"/>
    <w:rsid w:val="00C53879"/>
    <w:rsid w:val="00C633CC"/>
    <w:rsid w:val="00C7094B"/>
    <w:rsid w:val="00C71042"/>
    <w:rsid w:val="00C71769"/>
    <w:rsid w:val="00C71AB6"/>
    <w:rsid w:val="00C71AD7"/>
    <w:rsid w:val="00C71F6E"/>
    <w:rsid w:val="00C7399C"/>
    <w:rsid w:val="00C73F99"/>
    <w:rsid w:val="00C74E00"/>
    <w:rsid w:val="00C8278D"/>
    <w:rsid w:val="00C85C9B"/>
    <w:rsid w:val="00C85EB6"/>
    <w:rsid w:val="00C942E4"/>
    <w:rsid w:val="00CA2C67"/>
    <w:rsid w:val="00CA5AF3"/>
    <w:rsid w:val="00CA5E75"/>
    <w:rsid w:val="00CC5C95"/>
    <w:rsid w:val="00CC79B7"/>
    <w:rsid w:val="00CD0AD4"/>
    <w:rsid w:val="00CD512D"/>
    <w:rsid w:val="00CD57CD"/>
    <w:rsid w:val="00CD6A6B"/>
    <w:rsid w:val="00CE37F9"/>
    <w:rsid w:val="00CF11E6"/>
    <w:rsid w:val="00D010FE"/>
    <w:rsid w:val="00D0235C"/>
    <w:rsid w:val="00D04EEA"/>
    <w:rsid w:val="00D060CC"/>
    <w:rsid w:val="00D07C12"/>
    <w:rsid w:val="00D10749"/>
    <w:rsid w:val="00D1476F"/>
    <w:rsid w:val="00D15F14"/>
    <w:rsid w:val="00D22A88"/>
    <w:rsid w:val="00D25EDD"/>
    <w:rsid w:val="00D262B8"/>
    <w:rsid w:val="00D32094"/>
    <w:rsid w:val="00D363E7"/>
    <w:rsid w:val="00D3729C"/>
    <w:rsid w:val="00D37FF9"/>
    <w:rsid w:val="00D42DD2"/>
    <w:rsid w:val="00D44EDA"/>
    <w:rsid w:val="00D45361"/>
    <w:rsid w:val="00D45602"/>
    <w:rsid w:val="00D4564A"/>
    <w:rsid w:val="00D46847"/>
    <w:rsid w:val="00D50507"/>
    <w:rsid w:val="00D51952"/>
    <w:rsid w:val="00D54372"/>
    <w:rsid w:val="00D54BC5"/>
    <w:rsid w:val="00D6356A"/>
    <w:rsid w:val="00D71695"/>
    <w:rsid w:val="00D73C79"/>
    <w:rsid w:val="00D75BF1"/>
    <w:rsid w:val="00D81149"/>
    <w:rsid w:val="00D82F00"/>
    <w:rsid w:val="00D84A60"/>
    <w:rsid w:val="00D86807"/>
    <w:rsid w:val="00D91BD3"/>
    <w:rsid w:val="00D9497D"/>
    <w:rsid w:val="00DA0717"/>
    <w:rsid w:val="00DA10D7"/>
    <w:rsid w:val="00DA136E"/>
    <w:rsid w:val="00DA3C5F"/>
    <w:rsid w:val="00DA59B9"/>
    <w:rsid w:val="00DA5B8D"/>
    <w:rsid w:val="00DA6DE0"/>
    <w:rsid w:val="00DA7858"/>
    <w:rsid w:val="00DB1283"/>
    <w:rsid w:val="00DB6BCA"/>
    <w:rsid w:val="00DC135D"/>
    <w:rsid w:val="00DC374E"/>
    <w:rsid w:val="00DC5AA4"/>
    <w:rsid w:val="00DC6DB8"/>
    <w:rsid w:val="00DD2004"/>
    <w:rsid w:val="00DD297A"/>
    <w:rsid w:val="00DE0413"/>
    <w:rsid w:val="00DE19BA"/>
    <w:rsid w:val="00DE2DF8"/>
    <w:rsid w:val="00DE59C4"/>
    <w:rsid w:val="00DF30FC"/>
    <w:rsid w:val="00DF4A8A"/>
    <w:rsid w:val="00DF54CF"/>
    <w:rsid w:val="00DF6814"/>
    <w:rsid w:val="00E0040A"/>
    <w:rsid w:val="00E005B0"/>
    <w:rsid w:val="00E02103"/>
    <w:rsid w:val="00E03CA9"/>
    <w:rsid w:val="00E0461A"/>
    <w:rsid w:val="00E048A1"/>
    <w:rsid w:val="00E057B6"/>
    <w:rsid w:val="00E134FF"/>
    <w:rsid w:val="00E14215"/>
    <w:rsid w:val="00E15C3E"/>
    <w:rsid w:val="00E204A2"/>
    <w:rsid w:val="00E21121"/>
    <w:rsid w:val="00E22305"/>
    <w:rsid w:val="00E37CEA"/>
    <w:rsid w:val="00E40CA5"/>
    <w:rsid w:val="00E4296A"/>
    <w:rsid w:val="00E55F80"/>
    <w:rsid w:val="00E60471"/>
    <w:rsid w:val="00E63597"/>
    <w:rsid w:val="00E63B9E"/>
    <w:rsid w:val="00E769CF"/>
    <w:rsid w:val="00E778E7"/>
    <w:rsid w:val="00E81C3F"/>
    <w:rsid w:val="00E81F04"/>
    <w:rsid w:val="00E861B4"/>
    <w:rsid w:val="00E94E1F"/>
    <w:rsid w:val="00E96F75"/>
    <w:rsid w:val="00EA55E5"/>
    <w:rsid w:val="00EB2EF6"/>
    <w:rsid w:val="00EB4268"/>
    <w:rsid w:val="00EB7CD5"/>
    <w:rsid w:val="00EC6C63"/>
    <w:rsid w:val="00EC70EB"/>
    <w:rsid w:val="00ED0098"/>
    <w:rsid w:val="00ED36B9"/>
    <w:rsid w:val="00EE0EA3"/>
    <w:rsid w:val="00EF01C5"/>
    <w:rsid w:val="00EF4837"/>
    <w:rsid w:val="00EF7BE7"/>
    <w:rsid w:val="00F00B26"/>
    <w:rsid w:val="00F02E2F"/>
    <w:rsid w:val="00F059E6"/>
    <w:rsid w:val="00F1240D"/>
    <w:rsid w:val="00F22649"/>
    <w:rsid w:val="00F26558"/>
    <w:rsid w:val="00F3398E"/>
    <w:rsid w:val="00F33D59"/>
    <w:rsid w:val="00F41306"/>
    <w:rsid w:val="00F43EFB"/>
    <w:rsid w:val="00F449F7"/>
    <w:rsid w:val="00F5047C"/>
    <w:rsid w:val="00F50E15"/>
    <w:rsid w:val="00F54A17"/>
    <w:rsid w:val="00F5503E"/>
    <w:rsid w:val="00F616EF"/>
    <w:rsid w:val="00F63931"/>
    <w:rsid w:val="00F653A3"/>
    <w:rsid w:val="00F6664D"/>
    <w:rsid w:val="00F671F5"/>
    <w:rsid w:val="00F7295E"/>
    <w:rsid w:val="00F73157"/>
    <w:rsid w:val="00F74C98"/>
    <w:rsid w:val="00F75860"/>
    <w:rsid w:val="00F762F3"/>
    <w:rsid w:val="00F76429"/>
    <w:rsid w:val="00F83CA7"/>
    <w:rsid w:val="00F850C5"/>
    <w:rsid w:val="00F8651F"/>
    <w:rsid w:val="00F86F63"/>
    <w:rsid w:val="00F87A00"/>
    <w:rsid w:val="00FA2DF3"/>
    <w:rsid w:val="00FA3CA6"/>
    <w:rsid w:val="00FA5F1A"/>
    <w:rsid w:val="00FB2EA3"/>
    <w:rsid w:val="00FB3D8D"/>
    <w:rsid w:val="00FB4315"/>
    <w:rsid w:val="00FB43BA"/>
    <w:rsid w:val="00FB449F"/>
    <w:rsid w:val="00FC19FC"/>
    <w:rsid w:val="00FC4EC8"/>
    <w:rsid w:val="00FD3777"/>
    <w:rsid w:val="00FD5D9C"/>
    <w:rsid w:val="00FD6CF2"/>
    <w:rsid w:val="00FD70E0"/>
    <w:rsid w:val="00FD74EB"/>
    <w:rsid w:val="00FE27A7"/>
    <w:rsid w:val="00FE5AA5"/>
    <w:rsid w:val="00FF4A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1" w:qFormat="1"/>
    <w:lsdException w:name="heading 3" w:uiPriority="1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aliases w:val="_Обычный"/>
    <w:qFormat/>
    <w:rsid w:val="001F03BC"/>
    <w:pPr>
      <w:spacing w:after="0" w:line="360" w:lineRule="auto"/>
      <w:ind w:firstLine="709"/>
      <w:jc w:val="both"/>
    </w:pPr>
    <w:rPr>
      <w:rFonts w:ascii="Times New Roman" w:hAnsi="Times New Roman"/>
      <w:sz w:val="24"/>
      <w:lang w:val="uk-UA"/>
    </w:rPr>
  </w:style>
  <w:style w:type="paragraph" w:styleId="1">
    <w:name w:val="heading 1"/>
    <w:basedOn w:val="a"/>
    <w:next w:val="a"/>
    <w:link w:val="10"/>
    <w:uiPriority w:val="9"/>
    <w:qFormat/>
    <w:rsid w:val="00A24D1F"/>
    <w:pPr>
      <w:keepNext/>
      <w:keepLines/>
      <w:numPr>
        <w:numId w:val="3"/>
      </w:numPr>
      <w:jc w:val="center"/>
      <w:outlineLvl w:val="0"/>
    </w:pPr>
    <w:rPr>
      <w:rFonts w:eastAsiaTheme="majorEastAsia" w:cstheme="majorBidi"/>
      <w:b/>
      <w:caps/>
      <w:szCs w:val="32"/>
    </w:rPr>
  </w:style>
  <w:style w:type="paragraph" w:styleId="2">
    <w:name w:val="heading 2"/>
    <w:basedOn w:val="a"/>
    <w:next w:val="a"/>
    <w:link w:val="20"/>
    <w:uiPriority w:val="1"/>
    <w:unhideWhenUsed/>
    <w:qFormat/>
    <w:rsid w:val="00A24D1F"/>
    <w:pPr>
      <w:numPr>
        <w:ilvl w:val="1"/>
        <w:numId w:val="3"/>
      </w:numPr>
      <w:ind w:firstLine="133"/>
      <w:outlineLvl w:val="1"/>
    </w:pPr>
    <w:rPr>
      <w:b/>
      <w:szCs w:val="26"/>
    </w:rPr>
  </w:style>
  <w:style w:type="paragraph" w:styleId="3">
    <w:name w:val="heading 3"/>
    <w:basedOn w:val="a"/>
    <w:next w:val="a"/>
    <w:link w:val="30"/>
    <w:uiPriority w:val="1"/>
    <w:unhideWhenUsed/>
    <w:qFormat/>
    <w:rsid w:val="00A24D1F"/>
    <w:pPr>
      <w:keepNext/>
      <w:keepLines/>
      <w:numPr>
        <w:ilvl w:val="2"/>
        <w:numId w:val="3"/>
      </w:numPr>
      <w:outlineLvl w:val="2"/>
    </w:pPr>
    <w:rPr>
      <w:rFonts w:eastAsiaTheme="majorEastAsia" w:cstheme="majorBidi"/>
      <w:b/>
      <w:szCs w:val="24"/>
    </w:rPr>
  </w:style>
  <w:style w:type="paragraph" w:styleId="4">
    <w:name w:val="heading 4"/>
    <w:basedOn w:val="a"/>
    <w:next w:val="a"/>
    <w:link w:val="40"/>
    <w:uiPriority w:val="9"/>
    <w:unhideWhenUsed/>
    <w:qFormat/>
    <w:rsid w:val="00A24D1F"/>
    <w:pPr>
      <w:keepNext/>
      <w:keepLines/>
      <w:numPr>
        <w:ilvl w:val="3"/>
        <w:numId w:val="3"/>
      </w:numPr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A24D1F"/>
    <w:pPr>
      <w:keepNext/>
      <w:keepLines/>
      <w:numPr>
        <w:ilvl w:val="4"/>
        <w:numId w:val="3"/>
      </w:numPr>
      <w:spacing w:before="4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A24D1F"/>
    <w:pPr>
      <w:keepNext/>
      <w:keepLines/>
      <w:numPr>
        <w:ilvl w:val="5"/>
        <w:numId w:val="3"/>
      </w:numPr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A24D1F"/>
    <w:pPr>
      <w:keepNext/>
      <w:keepLines/>
      <w:numPr>
        <w:ilvl w:val="6"/>
        <w:numId w:val="3"/>
      </w:numPr>
      <w:spacing w:before="40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A24D1F"/>
    <w:pPr>
      <w:keepNext/>
      <w:keepLines/>
      <w:numPr>
        <w:ilvl w:val="7"/>
        <w:numId w:val="3"/>
      </w:numPr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A24D1F"/>
    <w:pPr>
      <w:keepNext/>
      <w:keepLines/>
      <w:numPr>
        <w:ilvl w:val="8"/>
        <w:numId w:val="3"/>
      </w:numP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endnote text"/>
    <w:basedOn w:val="a"/>
    <w:link w:val="a4"/>
    <w:uiPriority w:val="99"/>
    <w:unhideWhenUsed/>
    <w:rsid w:val="001F03BC"/>
    <w:pPr>
      <w:spacing w:line="240" w:lineRule="auto"/>
      <w:ind w:firstLine="0"/>
      <w:jc w:val="left"/>
    </w:pPr>
    <w:rPr>
      <w:rFonts w:asciiTheme="minorHAnsi" w:hAnsiTheme="minorHAnsi"/>
      <w:sz w:val="20"/>
      <w:szCs w:val="20"/>
    </w:rPr>
  </w:style>
  <w:style w:type="character" w:customStyle="1" w:styleId="a4">
    <w:name w:val="Текст концевой сноски Знак"/>
    <w:basedOn w:val="a0"/>
    <w:link w:val="a3"/>
    <w:uiPriority w:val="99"/>
    <w:rsid w:val="001F03BC"/>
    <w:rPr>
      <w:sz w:val="20"/>
      <w:szCs w:val="20"/>
      <w:lang w:val="uk-UA"/>
    </w:rPr>
  </w:style>
  <w:style w:type="character" w:styleId="a5">
    <w:name w:val="endnote reference"/>
    <w:basedOn w:val="a0"/>
    <w:uiPriority w:val="99"/>
    <w:semiHidden/>
    <w:unhideWhenUsed/>
    <w:rsid w:val="001F03BC"/>
    <w:rPr>
      <w:vertAlign w:val="superscript"/>
    </w:rPr>
  </w:style>
  <w:style w:type="paragraph" w:styleId="a6">
    <w:name w:val="List Paragraph"/>
    <w:basedOn w:val="a"/>
    <w:link w:val="a7"/>
    <w:uiPriority w:val="1"/>
    <w:qFormat/>
    <w:rsid w:val="00D6356A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A24D1F"/>
    <w:rPr>
      <w:rFonts w:ascii="Times New Roman" w:eastAsiaTheme="majorEastAsia" w:hAnsi="Times New Roman" w:cstheme="majorBidi"/>
      <w:b/>
      <w:caps/>
      <w:sz w:val="24"/>
      <w:szCs w:val="32"/>
      <w:lang w:val="uk-UA"/>
    </w:rPr>
  </w:style>
  <w:style w:type="character" w:customStyle="1" w:styleId="20">
    <w:name w:val="Заголовок 2 Знак"/>
    <w:basedOn w:val="a0"/>
    <w:link w:val="2"/>
    <w:uiPriority w:val="9"/>
    <w:rsid w:val="00A24D1F"/>
    <w:rPr>
      <w:rFonts w:ascii="Times New Roman" w:hAnsi="Times New Roman"/>
      <w:b/>
      <w:sz w:val="24"/>
      <w:szCs w:val="26"/>
      <w:lang w:val="uk-UA"/>
    </w:rPr>
  </w:style>
  <w:style w:type="character" w:customStyle="1" w:styleId="30">
    <w:name w:val="Заголовок 3 Знак"/>
    <w:basedOn w:val="a0"/>
    <w:link w:val="3"/>
    <w:uiPriority w:val="9"/>
    <w:rsid w:val="00A24D1F"/>
    <w:rPr>
      <w:rFonts w:ascii="Times New Roman" w:eastAsiaTheme="majorEastAsia" w:hAnsi="Times New Roman" w:cstheme="majorBidi"/>
      <w:b/>
      <w:sz w:val="24"/>
      <w:szCs w:val="24"/>
      <w:lang w:val="uk-UA"/>
    </w:rPr>
  </w:style>
  <w:style w:type="character" w:customStyle="1" w:styleId="40">
    <w:name w:val="Заголовок 4 Знак"/>
    <w:basedOn w:val="a0"/>
    <w:link w:val="4"/>
    <w:uiPriority w:val="9"/>
    <w:rsid w:val="00A24D1F"/>
    <w:rPr>
      <w:rFonts w:asciiTheme="majorHAnsi" w:eastAsiaTheme="majorEastAsia" w:hAnsiTheme="majorHAnsi" w:cstheme="majorBidi"/>
      <w:i/>
      <w:iCs/>
      <w:color w:val="365F91" w:themeColor="accent1" w:themeShade="BF"/>
      <w:sz w:val="24"/>
      <w:lang w:val="uk-UA"/>
    </w:rPr>
  </w:style>
  <w:style w:type="character" w:customStyle="1" w:styleId="50">
    <w:name w:val="Заголовок 5 Знак"/>
    <w:basedOn w:val="a0"/>
    <w:link w:val="5"/>
    <w:uiPriority w:val="9"/>
    <w:semiHidden/>
    <w:rsid w:val="00A24D1F"/>
    <w:rPr>
      <w:rFonts w:asciiTheme="majorHAnsi" w:eastAsiaTheme="majorEastAsia" w:hAnsiTheme="majorHAnsi" w:cstheme="majorBidi"/>
      <w:color w:val="365F91" w:themeColor="accent1" w:themeShade="BF"/>
      <w:sz w:val="24"/>
      <w:lang w:val="uk-UA"/>
    </w:rPr>
  </w:style>
  <w:style w:type="character" w:customStyle="1" w:styleId="60">
    <w:name w:val="Заголовок 6 Знак"/>
    <w:basedOn w:val="a0"/>
    <w:link w:val="6"/>
    <w:uiPriority w:val="9"/>
    <w:semiHidden/>
    <w:rsid w:val="00A24D1F"/>
    <w:rPr>
      <w:rFonts w:asciiTheme="majorHAnsi" w:eastAsiaTheme="majorEastAsia" w:hAnsiTheme="majorHAnsi" w:cstheme="majorBidi"/>
      <w:color w:val="243F60" w:themeColor="accent1" w:themeShade="7F"/>
      <w:sz w:val="24"/>
      <w:lang w:val="uk-UA"/>
    </w:rPr>
  </w:style>
  <w:style w:type="character" w:customStyle="1" w:styleId="70">
    <w:name w:val="Заголовок 7 Знак"/>
    <w:basedOn w:val="a0"/>
    <w:link w:val="7"/>
    <w:uiPriority w:val="9"/>
    <w:semiHidden/>
    <w:rsid w:val="00A24D1F"/>
    <w:rPr>
      <w:rFonts w:asciiTheme="majorHAnsi" w:eastAsiaTheme="majorEastAsia" w:hAnsiTheme="majorHAnsi" w:cstheme="majorBidi"/>
      <w:i/>
      <w:iCs/>
      <w:color w:val="243F60" w:themeColor="accent1" w:themeShade="7F"/>
      <w:sz w:val="24"/>
      <w:lang w:val="uk-UA"/>
    </w:rPr>
  </w:style>
  <w:style w:type="character" w:customStyle="1" w:styleId="80">
    <w:name w:val="Заголовок 8 Знак"/>
    <w:basedOn w:val="a0"/>
    <w:link w:val="8"/>
    <w:uiPriority w:val="9"/>
    <w:semiHidden/>
    <w:rsid w:val="00A24D1F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uk-UA"/>
    </w:rPr>
  </w:style>
  <w:style w:type="character" w:customStyle="1" w:styleId="90">
    <w:name w:val="Заголовок 9 Знак"/>
    <w:basedOn w:val="a0"/>
    <w:link w:val="9"/>
    <w:uiPriority w:val="9"/>
    <w:semiHidden/>
    <w:rsid w:val="00A24D1F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val="uk-UA"/>
    </w:rPr>
  </w:style>
  <w:style w:type="character" w:customStyle="1" w:styleId="a7">
    <w:name w:val="Абзац списка Знак"/>
    <w:basedOn w:val="a0"/>
    <w:link w:val="a6"/>
    <w:uiPriority w:val="1"/>
    <w:rsid w:val="00A24D1F"/>
    <w:rPr>
      <w:rFonts w:ascii="Times New Roman" w:hAnsi="Times New Roman"/>
      <w:sz w:val="24"/>
      <w:lang w:val="uk-UA"/>
    </w:rPr>
  </w:style>
  <w:style w:type="paragraph" w:styleId="a8">
    <w:name w:val="No Spacing"/>
    <w:basedOn w:val="a"/>
    <w:uiPriority w:val="1"/>
    <w:qFormat/>
    <w:rsid w:val="00FA3CA6"/>
    <w:pPr>
      <w:ind w:firstLine="0"/>
    </w:pPr>
  </w:style>
  <w:style w:type="table" w:styleId="a9">
    <w:name w:val="Table Grid"/>
    <w:basedOn w:val="a1"/>
    <w:uiPriority w:val="39"/>
    <w:rsid w:val="00FA3CA6"/>
    <w:pPr>
      <w:spacing w:after="0" w:line="240" w:lineRule="auto"/>
    </w:pPr>
    <w:rPr>
      <w:lang w:val="uk-U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a">
    <w:name w:val="Balloon Text"/>
    <w:basedOn w:val="a"/>
    <w:link w:val="ab"/>
    <w:uiPriority w:val="99"/>
    <w:semiHidden/>
    <w:unhideWhenUsed/>
    <w:rsid w:val="00FA3CA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FA3CA6"/>
    <w:rPr>
      <w:rFonts w:ascii="Tahoma" w:hAnsi="Tahoma" w:cs="Tahoma"/>
      <w:sz w:val="16"/>
      <w:szCs w:val="16"/>
      <w:lang w:val="uk-UA"/>
    </w:rPr>
  </w:style>
  <w:style w:type="character" w:styleId="ac">
    <w:name w:val="Hyperlink"/>
    <w:basedOn w:val="a0"/>
    <w:uiPriority w:val="99"/>
    <w:unhideWhenUsed/>
    <w:rsid w:val="006C32F9"/>
    <w:rPr>
      <w:color w:val="0000FF" w:themeColor="hyperlink"/>
      <w:u w:val="single"/>
    </w:rPr>
  </w:style>
  <w:style w:type="character" w:styleId="ad">
    <w:name w:val="FollowedHyperlink"/>
    <w:basedOn w:val="a0"/>
    <w:uiPriority w:val="99"/>
    <w:semiHidden/>
    <w:unhideWhenUsed/>
    <w:rsid w:val="006C32F9"/>
    <w:rPr>
      <w:color w:val="800080" w:themeColor="followedHyperlink"/>
      <w:u w:val="single"/>
    </w:rPr>
  </w:style>
  <w:style w:type="character" w:styleId="ae">
    <w:name w:val="Strong"/>
    <w:basedOn w:val="a0"/>
    <w:uiPriority w:val="22"/>
    <w:qFormat/>
    <w:rsid w:val="00077724"/>
    <w:rPr>
      <w:b/>
      <w:bCs/>
    </w:rPr>
  </w:style>
  <w:style w:type="paragraph" w:styleId="af">
    <w:name w:val="Normal (Web)"/>
    <w:basedOn w:val="a"/>
    <w:uiPriority w:val="99"/>
    <w:semiHidden/>
    <w:unhideWhenUsed/>
    <w:rsid w:val="00203F3A"/>
    <w:pPr>
      <w:spacing w:before="100" w:beforeAutospacing="1" w:after="100" w:afterAutospacing="1" w:line="240" w:lineRule="auto"/>
      <w:ind w:firstLine="0"/>
      <w:jc w:val="left"/>
    </w:pPr>
    <w:rPr>
      <w:rFonts w:eastAsia="Times New Roman" w:cs="Times New Roman"/>
      <w:szCs w:val="24"/>
      <w:lang w:val="ru-RU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1" w:qFormat="1"/>
    <w:lsdException w:name="heading 3" w:uiPriority="1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aliases w:val="_Обычный"/>
    <w:qFormat/>
    <w:rsid w:val="001F03BC"/>
    <w:pPr>
      <w:spacing w:after="0" w:line="360" w:lineRule="auto"/>
      <w:ind w:firstLine="709"/>
      <w:jc w:val="both"/>
    </w:pPr>
    <w:rPr>
      <w:rFonts w:ascii="Times New Roman" w:hAnsi="Times New Roman"/>
      <w:sz w:val="24"/>
      <w:lang w:val="uk-UA"/>
    </w:rPr>
  </w:style>
  <w:style w:type="paragraph" w:styleId="1">
    <w:name w:val="heading 1"/>
    <w:basedOn w:val="a"/>
    <w:next w:val="a"/>
    <w:link w:val="10"/>
    <w:uiPriority w:val="9"/>
    <w:qFormat/>
    <w:rsid w:val="00A24D1F"/>
    <w:pPr>
      <w:keepNext/>
      <w:keepLines/>
      <w:numPr>
        <w:numId w:val="3"/>
      </w:numPr>
      <w:jc w:val="center"/>
      <w:outlineLvl w:val="0"/>
    </w:pPr>
    <w:rPr>
      <w:rFonts w:eastAsiaTheme="majorEastAsia" w:cstheme="majorBidi"/>
      <w:b/>
      <w:caps/>
      <w:szCs w:val="32"/>
    </w:rPr>
  </w:style>
  <w:style w:type="paragraph" w:styleId="2">
    <w:name w:val="heading 2"/>
    <w:basedOn w:val="a"/>
    <w:next w:val="a"/>
    <w:link w:val="20"/>
    <w:uiPriority w:val="1"/>
    <w:unhideWhenUsed/>
    <w:qFormat/>
    <w:rsid w:val="00A24D1F"/>
    <w:pPr>
      <w:numPr>
        <w:ilvl w:val="1"/>
        <w:numId w:val="3"/>
      </w:numPr>
      <w:ind w:firstLine="133"/>
      <w:outlineLvl w:val="1"/>
    </w:pPr>
    <w:rPr>
      <w:b/>
      <w:szCs w:val="26"/>
    </w:rPr>
  </w:style>
  <w:style w:type="paragraph" w:styleId="3">
    <w:name w:val="heading 3"/>
    <w:basedOn w:val="a"/>
    <w:next w:val="a"/>
    <w:link w:val="30"/>
    <w:uiPriority w:val="1"/>
    <w:unhideWhenUsed/>
    <w:qFormat/>
    <w:rsid w:val="00A24D1F"/>
    <w:pPr>
      <w:keepNext/>
      <w:keepLines/>
      <w:numPr>
        <w:ilvl w:val="2"/>
        <w:numId w:val="3"/>
      </w:numPr>
      <w:outlineLvl w:val="2"/>
    </w:pPr>
    <w:rPr>
      <w:rFonts w:eastAsiaTheme="majorEastAsia" w:cstheme="majorBidi"/>
      <w:b/>
      <w:szCs w:val="24"/>
    </w:rPr>
  </w:style>
  <w:style w:type="paragraph" w:styleId="4">
    <w:name w:val="heading 4"/>
    <w:basedOn w:val="a"/>
    <w:next w:val="a"/>
    <w:link w:val="40"/>
    <w:uiPriority w:val="9"/>
    <w:unhideWhenUsed/>
    <w:qFormat/>
    <w:rsid w:val="00A24D1F"/>
    <w:pPr>
      <w:keepNext/>
      <w:keepLines/>
      <w:numPr>
        <w:ilvl w:val="3"/>
        <w:numId w:val="3"/>
      </w:numPr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A24D1F"/>
    <w:pPr>
      <w:keepNext/>
      <w:keepLines/>
      <w:numPr>
        <w:ilvl w:val="4"/>
        <w:numId w:val="3"/>
      </w:numPr>
      <w:spacing w:before="4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A24D1F"/>
    <w:pPr>
      <w:keepNext/>
      <w:keepLines/>
      <w:numPr>
        <w:ilvl w:val="5"/>
        <w:numId w:val="3"/>
      </w:numPr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A24D1F"/>
    <w:pPr>
      <w:keepNext/>
      <w:keepLines/>
      <w:numPr>
        <w:ilvl w:val="6"/>
        <w:numId w:val="3"/>
      </w:numPr>
      <w:spacing w:before="40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A24D1F"/>
    <w:pPr>
      <w:keepNext/>
      <w:keepLines/>
      <w:numPr>
        <w:ilvl w:val="7"/>
        <w:numId w:val="3"/>
      </w:numPr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A24D1F"/>
    <w:pPr>
      <w:keepNext/>
      <w:keepLines/>
      <w:numPr>
        <w:ilvl w:val="8"/>
        <w:numId w:val="3"/>
      </w:numP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endnote text"/>
    <w:basedOn w:val="a"/>
    <w:link w:val="a4"/>
    <w:uiPriority w:val="99"/>
    <w:unhideWhenUsed/>
    <w:rsid w:val="001F03BC"/>
    <w:pPr>
      <w:spacing w:line="240" w:lineRule="auto"/>
      <w:ind w:firstLine="0"/>
      <w:jc w:val="left"/>
    </w:pPr>
    <w:rPr>
      <w:rFonts w:asciiTheme="minorHAnsi" w:hAnsiTheme="minorHAnsi"/>
      <w:sz w:val="20"/>
      <w:szCs w:val="20"/>
    </w:rPr>
  </w:style>
  <w:style w:type="character" w:customStyle="1" w:styleId="a4">
    <w:name w:val="Текст концевой сноски Знак"/>
    <w:basedOn w:val="a0"/>
    <w:link w:val="a3"/>
    <w:uiPriority w:val="99"/>
    <w:rsid w:val="001F03BC"/>
    <w:rPr>
      <w:sz w:val="20"/>
      <w:szCs w:val="20"/>
      <w:lang w:val="uk-UA"/>
    </w:rPr>
  </w:style>
  <w:style w:type="character" w:styleId="a5">
    <w:name w:val="endnote reference"/>
    <w:basedOn w:val="a0"/>
    <w:uiPriority w:val="99"/>
    <w:semiHidden/>
    <w:unhideWhenUsed/>
    <w:rsid w:val="001F03BC"/>
    <w:rPr>
      <w:vertAlign w:val="superscript"/>
    </w:rPr>
  </w:style>
  <w:style w:type="paragraph" w:styleId="a6">
    <w:name w:val="List Paragraph"/>
    <w:basedOn w:val="a"/>
    <w:link w:val="a7"/>
    <w:uiPriority w:val="1"/>
    <w:qFormat/>
    <w:rsid w:val="00D6356A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A24D1F"/>
    <w:rPr>
      <w:rFonts w:ascii="Times New Roman" w:eastAsiaTheme="majorEastAsia" w:hAnsi="Times New Roman" w:cstheme="majorBidi"/>
      <w:b/>
      <w:caps/>
      <w:sz w:val="24"/>
      <w:szCs w:val="32"/>
      <w:lang w:val="uk-UA"/>
    </w:rPr>
  </w:style>
  <w:style w:type="character" w:customStyle="1" w:styleId="20">
    <w:name w:val="Заголовок 2 Знак"/>
    <w:basedOn w:val="a0"/>
    <w:link w:val="2"/>
    <w:uiPriority w:val="9"/>
    <w:rsid w:val="00A24D1F"/>
    <w:rPr>
      <w:rFonts w:ascii="Times New Roman" w:hAnsi="Times New Roman"/>
      <w:b/>
      <w:sz w:val="24"/>
      <w:szCs w:val="26"/>
      <w:lang w:val="uk-UA"/>
    </w:rPr>
  </w:style>
  <w:style w:type="character" w:customStyle="1" w:styleId="30">
    <w:name w:val="Заголовок 3 Знак"/>
    <w:basedOn w:val="a0"/>
    <w:link w:val="3"/>
    <w:uiPriority w:val="9"/>
    <w:rsid w:val="00A24D1F"/>
    <w:rPr>
      <w:rFonts w:ascii="Times New Roman" w:eastAsiaTheme="majorEastAsia" w:hAnsi="Times New Roman" w:cstheme="majorBidi"/>
      <w:b/>
      <w:sz w:val="24"/>
      <w:szCs w:val="24"/>
      <w:lang w:val="uk-UA"/>
    </w:rPr>
  </w:style>
  <w:style w:type="character" w:customStyle="1" w:styleId="40">
    <w:name w:val="Заголовок 4 Знак"/>
    <w:basedOn w:val="a0"/>
    <w:link w:val="4"/>
    <w:uiPriority w:val="9"/>
    <w:rsid w:val="00A24D1F"/>
    <w:rPr>
      <w:rFonts w:asciiTheme="majorHAnsi" w:eastAsiaTheme="majorEastAsia" w:hAnsiTheme="majorHAnsi" w:cstheme="majorBidi"/>
      <w:i/>
      <w:iCs/>
      <w:color w:val="365F91" w:themeColor="accent1" w:themeShade="BF"/>
      <w:sz w:val="24"/>
      <w:lang w:val="uk-UA"/>
    </w:rPr>
  </w:style>
  <w:style w:type="character" w:customStyle="1" w:styleId="50">
    <w:name w:val="Заголовок 5 Знак"/>
    <w:basedOn w:val="a0"/>
    <w:link w:val="5"/>
    <w:uiPriority w:val="9"/>
    <w:semiHidden/>
    <w:rsid w:val="00A24D1F"/>
    <w:rPr>
      <w:rFonts w:asciiTheme="majorHAnsi" w:eastAsiaTheme="majorEastAsia" w:hAnsiTheme="majorHAnsi" w:cstheme="majorBidi"/>
      <w:color w:val="365F91" w:themeColor="accent1" w:themeShade="BF"/>
      <w:sz w:val="24"/>
      <w:lang w:val="uk-UA"/>
    </w:rPr>
  </w:style>
  <w:style w:type="character" w:customStyle="1" w:styleId="60">
    <w:name w:val="Заголовок 6 Знак"/>
    <w:basedOn w:val="a0"/>
    <w:link w:val="6"/>
    <w:uiPriority w:val="9"/>
    <w:semiHidden/>
    <w:rsid w:val="00A24D1F"/>
    <w:rPr>
      <w:rFonts w:asciiTheme="majorHAnsi" w:eastAsiaTheme="majorEastAsia" w:hAnsiTheme="majorHAnsi" w:cstheme="majorBidi"/>
      <w:color w:val="243F60" w:themeColor="accent1" w:themeShade="7F"/>
      <w:sz w:val="24"/>
      <w:lang w:val="uk-UA"/>
    </w:rPr>
  </w:style>
  <w:style w:type="character" w:customStyle="1" w:styleId="70">
    <w:name w:val="Заголовок 7 Знак"/>
    <w:basedOn w:val="a0"/>
    <w:link w:val="7"/>
    <w:uiPriority w:val="9"/>
    <w:semiHidden/>
    <w:rsid w:val="00A24D1F"/>
    <w:rPr>
      <w:rFonts w:asciiTheme="majorHAnsi" w:eastAsiaTheme="majorEastAsia" w:hAnsiTheme="majorHAnsi" w:cstheme="majorBidi"/>
      <w:i/>
      <w:iCs/>
      <w:color w:val="243F60" w:themeColor="accent1" w:themeShade="7F"/>
      <w:sz w:val="24"/>
      <w:lang w:val="uk-UA"/>
    </w:rPr>
  </w:style>
  <w:style w:type="character" w:customStyle="1" w:styleId="80">
    <w:name w:val="Заголовок 8 Знак"/>
    <w:basedOn w:val="a0"/>
    <w:link w:val="8"/>
    <w:uiPriority w:val="9"/>
    <w:semiHidden/>
    <w:rsid w:val="00A24D1F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uk-UA"/>
    </w:rPr>
  </w:style>
  <w:style w:type="character" w:customStyle="1" w:styleId="90">
    <w:name w:val="Заголовок 9 Знак"/>
    <w:basedOn w:val="a0"/>
    <w:link w:val="9"/>
    <w:uiPriority w:val="9"/>
    <w:semiHidden/>
    <w:rsid w:val="00A24D1F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val="uk-UA"/>
    </w:rPr>
  </w:style>
  <w:style w:type="character" w:customStyle="1" w:styleId="a7">
    <w:name w:val="Абзац списка Знак"/>
    <w:basedOn w:val="a0"/>
    <w:link w:val="a6"/>
    <w:uiPriority w:val="1"/>
    <w:rsid w:val="00A24D1F"/>
    <w:rPr>
      <w:rFonts w:ascii="Times New Roman" w:hAnsi="Times New Roman"/>
      <w:sz w:val="24"/>
      <w:lang w:val="uk-UA"/>
    </w:rPr>
  </w:style>
  <w:style w:type="paragraph" w:styleId="a8">
    <w:name w:val="No Spacing"/>
    <w:basedOn w:val="a"/>
    <w:uiPriority w:val="1"/>
    <w:qFormat/>
    <w:rsid w:val="00FA3CA6"/>
    <w:pPr>
      <w:ind w:firstLine="0"/>
    </w:pPr>
  </w:style>
  <w:style w:type="table" w:styleId="a9">
    <w:name w:val="Table Grid"/>
    <w:basedOn w:val="a1"/>
    <w:uiPriority w:val="39"/>
    <w:rsid w:val="00FA3CA6"/>
    <w:pPr>
      <w:spacing w:after="0" w:line="240" w:lineRule="auto"/>
    </w:pPr>
    <w:rPr>
      <w:lang w:val="uk-U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a">
    <w:name w:val="Balloon Text"/>
    <w:basedOn w:val="a"/>
    <w:link w:val="ab"/>
    <w:uiPriority w:val="99"/>
    <w:semiHidden/>
    <w:unhideWhenUsed/>
    <w:rsid w:val="00FA3CA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FA3CA6"/>
    <w:rPr>
      <w:rFonts w:ascii="Tahoma" w:hAnsi="Tahoma" w:cs="Tahoma"/>
      <w:sz w:val="16"/>
      <w:szCs w:val="16"/>
      <w:lang w:val="uk-UA"/>
    </w:rPr>
  </w:style>
  <w:style w:type="character" w:styleId="ac">
    <w:name w:val="Hyperlink"/>
    <w:basedOn w:val="a0"/>
    <w:uiPriority w:val="99"/>
    <w:unhideWhenUsed/>
    <w:rsid w:val="006C32F9"/>
    <w:rPr>
      <w:color w:val="0000FF" w:themeColor="hyperlink"/>
      <w:u w:val="single"/>
    </w:rPr>
  </w:style>
  <w:style w:type="character" w:styleId="ad">
    <w:name w:val="FollowedHyperlink"/>
    <w:basedOn w:val="a0"/>
    <w:uiPriority w:val="99"/>
    <w:semiHidden/>
    <w:unhideWhenUsed/>
    <w:rsid w:val="006C32F9"/>
    <w:rPr>
      <w:color w:val="800080" w:themeColor="followedHyperlink"/>
      <w:u w:val="single"/>
    </w:rPr>
  </w:style>
  <w:style w:type="character" w:styleId="ae">
    <w:name w:val="Strong"/>
    <w:basedOn w:val="a0"/>
    <w:uiPriority w:val="22"/>
    <w:qFormat/>
    <w:rsid w:val="00077724"/>
    <w:rPr>
      <w:b/>
      <w:bCs/>
    </w:rPr>
  </w:style>
  <w:style w:type="paragraph" w:styleId="af">
    <w:name w:val="Normal (Web)"/>
    <w:basedOn w:val="a"/>
    <w:uiPriority w:val="99"/>
    <w:semiHidden/>
    <w:unhideWhenUsed/>
    <w:rsid w:val="00203F3A"/>
    <w:pPr>
      <w:spacing w:before="100" w:beforeAutospacing="1" w:after="100" w:afterAutospacing="1" w:line="240" w:lineRule="auto"/>
      <w:ind w:firstLine="0"/>
      <w:jc w:val="left"/>
    </w:pPr>
    <w:rPr>
      <w:rFonts w:eastAsia="Times New Roman" w:cs="Times New Roman"/>
      <w:szCs w:val="24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9115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7267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1182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4174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9534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84393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242083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8779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110388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chart" Target="charts/chart6.xml"/><Relationship Id="rId18" Type="http://schemas.openxmlformats.org/officeDocument/2006/relationships/hyperlink" Target="http://www.istat.it/it/files/2017/11/Tavole_2015.xls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chart" Target="charts/chart5.xml"/><Relationship Id="rId17" Type="http://schemas.openxmlformats.org/officeDocument/2006/relationships/hyperlink" Target="http://www.agenciatributaria.es/static_files/" TargetMode="External"/><Relationship Id="rId2" Type="http://schemas.openxmlformats.org/officeDocument/2006/relationships/styles" Target="styles.xml"/><Relationship Id="rId16" Type="http://schemas.openxmlformats.org/officeDocument/2006/relationships/hyperlink" Target="http://ec.europa.eu/eurostat/tgm/table.do?tab=table&amp;init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chart" Target="charts/chart4.xml"/><Relationship Id="rId5" Type="http://schemas.openxmlformats.org/officeDocument/2006/relationships/webSettings" Target="webSettings.xml"/><Relationship Id="rId15" Type="http://schemas.openxmlformats.org/officeDocument/2006/relationships/chart" Target="charts/chart8.xml"/><Relationship Id="rId10" Type="http://schemas.openxmlformats.org/officeDocument/2006/relationships/chart" Target="charts/chart3.xm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chart" Target="charts/chart2.xml"/><Relationship Id="rId14" Type="http://schemas.openxmlformats.org/officeDocument/2006/relationships/chart" Target="charts/chart7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NULL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NULL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NULL" TargetMode="External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oleObject" Target="NULL" TargetMode="External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oleObject" Target="NULL" TargetMode="External"/></Relationships>
</file>

<file path=word/charts/_rels/chart6.xml.rels><?xml version="1.0" encoding="UTF-8" standalone="yes"?>
<Relationships xmlns="http://schemas.openxmlformats.org/package/2006/relationships"><Relationship Id="rId1" Type="http://schemas.openxmlformats.org/officeDocument/2006/relationships/oleObject" Target="NULL" TargetMode="External"/></Relationships>
</file>

<file path=word/charts/_rels/chart7.xml.rels><?xml version="1.0" encoding="UTF-8" standalone="yes"?>
<Relationships xmlns="http://schemas.openxmlformats.org/package/2006/relationships"><Relationship Id="rId1" Type="http://schemas.openxmlformats.org/officeDocument/2006/relationships/oleObject" Target="NULL" TargetMode="External"/></Relationships>
</file>

<file path=word/charts/_rels/chart8.xml.rels><?xml version="1.0" encoding="UTF-8" standalone="yes"?>
<Relationships xmlns="http://schemas.openxmlformats.org/package/2006/relationships"><Relationship Id="rId1" Type="http://schemas.openxmlformats.org/officeDocument/2006/relationships/oleObject" Target="NULL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bar"/>
        <c:grouping val="clustered"/>
        <c:varyColors val="0"/>
        <c:ser>
          <c:idx val="0"/>
          <c:order val="0"/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dLbl>
              <c:idx val="5"/>
              <c:layout>
                <c:manualLayout>
                  <c:x val="-1.0185067526415994E-16"/>
                  <c:y val="-4.1666666666666664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numFmt formatCode="0.0%" sourceLinked="0"/>
            <c:spPr>
              <a:noFill/>
              <a:ln>
                <a:noFill/>
              </a:ln>
              <a:effectLst/>
            </c:spPr>
            <c:txPr>
              <a:bodyPr rot="0" vert="horz"/>
              <a:lstStyle/>
              <a:p>
                <a:pPr>
                  <a:defRPr/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multiLvlStrRef>
              <c:f>GDP!$Q$124:$R$132</c:f>
              <c:multiLvlStrCache>
                <c:ptCount val="9"/>
                <c:lvl>
                  <c:pt idx="0">
                    <c:v>Фландрія</c:v>
                  </c:pt>
                  <c:pt idx="1">
                    <c:v>Валлонія</c:v>
                  </c:pt>
                  <c:pt idx="2">
                    <c:v>Брюссель</c:v>
                  </c:pt>
                  <c:pt idx="3">
                    <c:v>Країна Басків</c:v>
                  </c:pt>
                  <c:pt idx="4">
                    <c:v>Каталонія</c:v>
                  </c:pt>
                  <c:pt idx="5">
                    <c:v>Решта 12 регіонів</c:v>
                  </c:pt>
                  <c:pt idx="6">
                    <c:v>Ломбардія</c:v>
                  </c:pt>
                  <c:pt idx="7">
                    <c:v>Венето</c:v>
                  </c:pt>
                  <c:pt idx="8">
                    <c:v>Решта 12 регіонів</c:v>
                  </c:pt>
                </c:lvl>
                <c:lvl>
                  <c:pt idx="0">
                    <c:v>Бельгія</c:v>
                  </c:pt>
                  <c:pt idx="3">
                    <c:v>Іспанія</c:v>
                  </c:pt>
                  <c:pt idx="6">
                    <c:v>Італія</c:v>
                  </c:pt>
                </c:lvl>
              </c:multiLvlStrCache>
            </c:multiLvlStrRef>
          </c:cat>
          <c:val>
            <c:numRef>
              <c:f>GDP!$S$124:$S$132</c:f>
              <c:numCache>
                <c:formatCode>General</c:formatCode>
                <c:ptCount val="9"/>
                <c:pt idx="0">
                  <c:v>0.58639554917619308</c:v>
                </c:pt>
                <c:pt idx="1">
                  <c:v>0.23115089277228518</c:v>
                </c:pt>
                <c:pt idx="2">
                  <c:v>0.1824535580515218</c:v>
                </c:pt>
                <c:pt idx="3">
                  <c:v>6.1872988986081762E-2</c:v>
                </c:pt>
                <c:pt idx="4">
                  <c:v>0.18983041708231105</c:v>
                </c:pt>
                <c:pt idx="5">
                  <c:v>0.7482965939316073</c:v>
                </c:pt>
                <c:pt idx="6">
                  <c:v>0.2170849238409932</c:v>
                </c:pt>
                <c:pt idx="7">
                  <c:v>9.2154130295927089E-2</c:v>
                </c:pt>
                <c:pt idx="8">
                  <c:v>0.69076094586307979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D1E3-472E-9D69-96C2B15DE7C6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176888448"/>
        <c:axId val="79798656"/>
      </c:barChart>
      <c:catAx>
        <c:axId val="176888448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vert="horz"/>
          <a:lstStyle/>
          <a:p>
            <a:pPr>
              <a:defRPr/>
            </a:pPr>
            <a:endParaRPr lang="ru-RU"/>
          </a:p>
        </c:txPr>
        <c:crossAx val="79798656"/>
        <c:crosses val="autoZero"/>
        <c:auto val="1"/>
        <c:lblAlgn val="ctr"/>
        <c:lblOffset val="100"/>
        <c:noMultiLvlLbl val="0"/>
      </c:catAx>
      <c:valAx>
        <c:axId val="79798656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%" sourceLinked="0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vert="horz"/>
          <a:lstStyle/>
          <a:p>
            <a:pPr>
              <a:defRPr/>
            </a:pPr>
            <a:endParaRPr lang="ru-RU"/>
          </a:p>
        </c:txPr>
        <c:crossAx val="176888448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ysClr val="window" lastClr="FFFFFF"/>
    </a:solidFill>
    <a:ln w="9525" cap="flat" cmpd="sng" algn="ctr">
      <a:noFill/>
      <a:round/>
    </a:ln>
    <a:effectLst/>
    <a:extLst>
      <a:ext uri="{91240B29-F687-4F45-9708-019B960494DF}">
        <a14:hiddenLine xmlns:a14="http://schemas.microsoft.com/office/drawing/2010/main" w="9525" cap="flat" cmpd="sng" algn="ctr">
          <a:solidFill>
            <a:sysClr val="windowText" lastClr="000000">
              <a:lumMod val="15000"/>
              <a:lumOff val="85000"/>
            </a:sysClr>
          </a:solidFill>
          <a:round/>
        </a14:hiddenLine>
      </a:ext>
    </a:extLst>
  </c:spPr>
  <c:txPr>
    <a:bodyPr/>
    <a:lstStyle/>
    <a:p>
      <a:pPr>
        <a:defRPr sz="1400" baseline="0">
          <a:solidFill>
            <a:sysClr val="windowText" lastClr="000000"/>
          </a:solidFill>
          <a:latin typeface="Times New Roman"/>
          <a:ea typeface="Times New Roman"/>
          <a:cs typeface="Times New Roman"/>
        </a:defRPr>
      </a:pPr>
      <a:endParaRPr lang="ru-RU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GDP!$D$175</c:f>
              <c:strCache>
                <c:ptCount val="1"/>
                <c:pt idx="0">
                  <c:v>Регіони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dLbl>
              <c:idx val="1"/>
              <c:layout>
                <c:manualLayout>
                  <c:x val="4.4444444444444446E-2"/>
                  <c:y val="0.106278213203291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D5EF-4B81-A5DC-8DEB03DE3B07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vert="horz"/>
              <a:lstStyle/>
              <a:p>
                <a:pPr>
                  <a:defRPr/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multiLvlStrRef>
              <c:f>GDP!$B$176:$C$181</c:f>
              <c:multiLvlStrCache>
                <c:ptCount val="6"/>
                <c:lvl>
                  <c:pt idx="0">
                    <c:v>Фландрія</c:v>
                  </c:pt>
                  <c:pt idx="1">
                    <c:v>Валлонія</c:v>
                  </c:pt>
                  <c:pt idx="2">
                    <c:v>Країна Басків</c:v>
                  </c:pt>
                  <c:pt idx="3">
                    <c:v>Каталонія</c:v>
                  </c:pt>
                  <c:pt idx="4">
                    <c:v>Ломбардія</c:v>
                  </c:pt>
                  <c:pt idx="5">
                    <c:v>Венето</c:v>
                  </c:pt>
                </c:lvl>
                <c:lvl>
                  <c:pt idx="0">
                    <c:v>Бельгія</c:v>
                  </c:pt>
                  <c:pt idx="2">
                    <c:v>Іспанія</c:v>
                  </c:pt>
                  <c:pt idx="4">
                    <c:v>Італія</c:v>
                  </c:pt>
                </c:lvl>
              </c:multiLvlStrCache>
            </c:multiLvlStrRef>
          </c:cat>
          <c:val>
            <c:numRef>
              <c:f>GDP!$D$176:$D$181</c:f>
              <c:numCache>
                <c:formatCode>General</c:formatCode>
                <c:ptCount val="6"/>
                <c:pt idx="0">
                  <c:v>121</c:v>
                </c:pt>
                <c:pt idx="1">
                  <c:v>86</c:v>
                </c:pt>
                <c:pt idx="2">
                  <c:v>119</c:v>
                </c:pt>
                <c:pt idx="3">
                  <c:v>107</c:v>
                </c:pt>
                <c:pt idx="4">
                  <c:v>127</c:v>
                </c:pt>
                <c:pt idx="5">
                  <c:v>110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D5EF-4B81-A5DC-8DEB03DE3B07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87536000"/>
        <c:axId val="87537536"/>
      </c:barChart>
      <c:lineChart>
        <c:grouping val="standard"/>
        <c:varyColors val="0"/>
        <c:ser>
          <c:idx val="1"/>
          <c:order val="1"/>
          <c:tx>
            <c:strRef>
              <c:f>GDP!$E$175</c:f>
              <c:strCache>
                <c:ptCount val="1"/>
                <c:pt idx="0">
                  <c:v>Бельгія</c:v>
                </c:pt>
              </c:strCache>
            </c:strRef>
          </c:tx>
          <c:spPr>
            <a:ln w="28575" cap="rnd">
              <a:solidFill>
                <a:schemeClr val="tx1">
                  <a:lumMod val="65000"/>
                  <a:lumOff val="35000"/>
                </a:schemeClr>
              </a:solidFill>
              <a:prstDash val="sysDash"/>
              <a:round/>
            </a:ln>
            <a:effectLst/>
          </c:spPr>
          <c:marker>
            <c:symbol val="none"/>
          </c:marker>
          <c:dLbls>
            <c:dLbl>
              <c:idx val="0"/>
              <c:delete val="1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2-D5EF-4B81-A5DC-8DEB03DE3B07}"/>
                </c:ext>
              </c:extLst>
            </c:dLbl>
            <c:dLbl>
              <c:idx val="1"/>
              <c:layout>
                <c:manualLayout>
                  <c:x val="-1.9444444444444445E-2"/>
                  <c:y val="-6.6394258517285504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D5EF-4B81-A5DC-8DEB03DE3B07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vert="horz"/>
              <a:lstStyle/>
              <a:p>
                <a:pPr>
                  <a:defRPr/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multiLvlStrRef>
              <c:f>GDP!$B$176:$C$181</c:f>
              <c:multiLvlStrCache>
                <c:ptCount val="6"/>
                <c:lvl>
                  <c:pt idx="0">
                    <c:v>Фландрія</c:v>
                  </c:pt>
                  <c:pt idx="1">
                    <c:v>Валлонія</c:v>
                  </c:pt>
                  <c:pt idx="2">
                    <c:v>Країна Басків</c:v>
                  </c:pt>
                  <c:pt idx="3">
                    <c:v>Каталонія</c:v>
                  </c:pt>
                  <c:pt idx="4">
                    <c:v>Ломбардія</c:v>
                  </c:pt>
                  <c:pt idx="5">
                    <c:v>Венето</c:v>
                  </c:pt>
                </c:lvl>
                <c:lvl>
                  <c:pt idx="0">
                    <c:v>Бельгія</c:v>
                  </c:pt>
                  <c:pt idx="2">
                    <c:v>Іспанія</c:v>
                  </c:pt>
                  <c:pt idx="4">
                    <c:v>Італія</c:v>
                  </c:pt>
                </c:lvl>
              </c:multiLvlStrCache>
            </c:multiLvlStrRef>
          </c:cat>
          <c:val>
            <c:numRef>
              <c:f>GDP!$E$176:$E$181</c:f>
              <c:numCache>
                <c:formatCode>General</c:formatCode>
                <c:ptCount val="6"/>
                <c:pt idx="0">
                  <c:v>119</c:v>
                </c:pt>
                <c:pt idx="1">
                  <c:v>119</c:v>
                </c:pt>
              </c:numCache>
            </c:numRef>
          </c: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4-D5EF-4B81-A5DC-8DEB03DE3B07}"/>
            </c:ext>
          </c:extLst>
        </c:ser>
        <c:ser>
          <c:idx val="2"/>
          <c:order val="2"/>
          <c:tx>
            <c:strRef>
              <c:f>GDP!$F$175</c:f>
              <c:strCache>
                <c:ptCount val="1"/>
                <c:pt idx="0">
                  <c:v>Іспанія</c:v>
                </c:pt>
              </c:strCache>
            </c:strRef>
          </c:tx>
          <c:spPr>
            <a:ln w="28575" cap="rnd">
              <a:solidFill>
                <a:schemeClr val="tx1">
                  <a:lumMod val="65000"/>
                  <a:lumOff val="35000"/>
                </a:schemeClr>
              </a:solidFill>
              <a:round/>
            </a:ln>
            <a:effectLst/>
          </c:spPr>
          <c:marker>
            <c:symbol val="none"/>
          </c:marker>
          <c:dLbls>
            <c:dLbl>
              <c:idx val="2"/>
              <c:layout>
                <c:manualLayout>
                  <c:x val="3.6111111111111108E-2"/>
                  <c:y val="5.0925925925925902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D5EF-4B81-A5DC-8DEB03DE3B07}"/>
                </c:ext>
              </c:extLst>
            </c:dLbl>
            <c:dLbl>
              <c:idx val="3"/>
              <c:delete val="1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6-D5EF-4B81-A5DC-8DEB03DE3B07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vert="horz"/>
              <a:lstStyle/>
              <a:p>
                <a:pPr>
                  <a:defRPr/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multiLvlStrRef>
              <c:f>GDP!$B$176:$C$181</c:f>
              <c:multiLvlStrCache>
                <c:ptCount val="6"/>
                <c:lvl>
                  <c:pt idx="0">
                    <c:v>Фландрія</c:v>
                  </c:pt>
                  <c:pt idx="1">
                    <c:v>Валлонія</c:v>
                  </c:pt>
                  <c:pt idx="2">
                    <c:v>Країна Басків</c:v>
                  </c:pt>
                  <c:pt idx="3">
                    <c:v>Каталонія</c:v>
                  </c:pt>
                  <c:pt idx="4">
                    <c:v>Ломбардія</c:v>
                  </c:pt>
                  <c:pt idx="5">
                    <c:v>Венето</c:v>
                  </c:pt>
                </c:lvl>
                <c:lvl>
                  <c:pt idx="0">
                    <c:v>Бельгія</c:v>
                  </c:pt>
                  <c:pt idx="2">
                    <c:v>Іспанія</c:v>
                  </c:pt>
                  <c:pt idx="4">
                    <c:v>Італія</c:v>
                  </c:pt>
                </c:lvl>
              </c:multiLvlStrCache>
            </c:multiLvlStrRef>
          </c:cat>
          <c:val>
            <c:numRef>
              <c:f>GDP!$F$176:$F$181</c:f>
              <c:numCache>
                <c:formatCode>General</c:formatCode>
                <c:ptCount val="6"/>
                <c:pt idx="2">
                  <c:v>90</c:v>
                </c:pt>
                <c:pt idx="3">
                  <c:v>90</c:v>
                </c:pt>
              </c:numCache>
            </c:numRef>
          </c: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7-D5EF-4B81-A5DC-8DEB03DE3B07}"/>
            </c:ext>
          </c:extLst>
        </c:ser>
        <c:ser>
          <c:idx val="3"/>
          <c:order val="3"/>
          <c:tx>
            <c:strRef>
              <c:f>GDP!$G$175</c:f>
              <c:strCache>
                <c:ptCount val="1"/>
                <c:pt idx="0">
                  <c:v>Італія</c:v>
                </c:pt>
              </c:strCache>
            </c:strRef>
          </c:tx>
          <c:spPr>
            <a:ln w="28575" cap="rnd">
              <a:solidFill>
                <a:schemeClr val="accent4"/>
              </a:solidFill>
              <a:round/>
            </a:ln>
            <a:effectLst/>
          </c:spPr>
          <c:marker>
            <c:symbol val="none"/>
          </c:marker>
          <c:dLbls>
            <c:dLbl>
              <c:idx val="4"/>
              <c:layout>
                <c:manualLayout>
                  <c:x val="3.0555555555555555E-2"/>
                  <c:y val="5.5555555555555532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8-D5EF-4B81-A5DC-8DEB03DE3B07}"/>
                </c:ext>
              </c:extLst>
            </c:dLbl>
            <c:dLbl>
              <c:idx val="5"/>
              <c:delete val="1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9-D5EF-4B81-A5DC-8DEB03DE3B07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vert="horz"/>
              <a:lstStyle/>
              <a:p>
                <a:pPr>
                  <a:defRPr/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multiLvlStrRef>
              <c:f>GDP!$B$176:$C$181</c:f>
              <c:multiLvlStrCache>
                <c:ptCount val="6"/>
                <c:lvl>
                  <c:pt idx="0">
                    <c:v>Фландрія</c:v>
                  </c:pt>
                  <c:pt idx="1">
                    <c:v>Валлонія</c:v>
                  </c:pt>
                  <c:pt idx="2">
                    <c:v>Країна Басків</c:v>
                  </c:pt>
                  <c:pt idx="3">
                    <c:v>Каталонія</c:v>
                  </c:pt>
                  <c:pt idx="4">
                    <c:v>Ломбардія</c:v>
                  </c:pt>
                  <c:pt idx="5">
                    <c:v>Венето</c:v>
                  </c:pt>
                </c:lvl>
                <c:lvl>
                  <c:pt idx="0">
                    <c:v>Бельгія</c:v>
                  </c:pt>
                  <c:pt idx="2">
                    <c:v>Іспанія</c:v>
                  </c:pt>
                  <c:pt idx="4">
                    <c:v>Італія</c:v>
                  </c:pt>
                </c:lvl>
              </c:multiLvlStrCache>
            </c:multiLvlStrRef>
          </c:cat>
          <c:val>
            <c:numRef>
              <c:f>GDP!$G$176:$G$181</c:f>
              <c:numCache>
                <c:formatCode>General</c:formatCode>
                <c:ptCount val="6"/>
                <c:pt idx="4">
                  <c:v>96</c:v>
                </c:pt>
                <c:pt idx="5">
                  <c:v>96</c:v>
                </c:pt>
              </c:numCache>
            </c:numRef>
          </c: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A-D5EF-4B81-A5DC-8DEB03DE3B07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87536000"/>
        <c:axId val="87537536"/>
      </c:lineChart>
      <c:catAx>
        <c:axId val="87536000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vert="horz"/>
          <a:lstStyle/>
          <a:p>
            <a:pPr>
              <a:defRPr/>
            </a:pPr>
            <a:endParaRPr lang="ru-RU"/>
          </a:p>
        </c:txPr>
        <c:crossAx val="87537536"/>
        <c:crosses val="autoZero"/>
        <c:auto val="1"/>
        <c:lblAlgn val="ctr"/>
        <c:lblOffset val="100"/>
        <c:noMultiLvlLbl val="0"/>
      </c:catAx>
      <c:valAx>
        <c:axId val="87537536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vert="horz"/>
          <a:lstStyle/>
          <a:p>
            <a:pPr>
              <a:defRPr/>
            </a:pPr>
            <a:endParaRPr lang="ru-RU"/>
          </a:p>
        </c:txPr>
        <c:crossAx val="87536000"/>
        <c:crosses val="autoZero"/>
        <c:crossBetween val="between"/>
        <c:majorUnit val="40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vert="horz"/>
        <a:lstStyle/>
        <a:p>
          <a:pPr>
            <a:defRPr sz="1200"/>
          </a:pPr>
          <a:endParaRPr lang="ru-RU"/>
        </a:p>
      </c:txPr>
    </c:legend>
    <c:plotVisOnly val="1"/>
    <c:dispBlanksAs val="gap"/>
    <c:showDLblsOverMax val="0"/>
  </c:chart>
  <c:spPr>
    <a:solidFill>
      <a:sysClr val="window" lastClr="FFFFFF"/>
    </a:solidFill>
    <a:ln w="9525" cap="flat" cmpd="sng" algn="ctr">
      <a:noFill/>
      <a:round/>
    </a:ln>
    <a:effectLst/>
    <a:extLst>
      <a:ext uri="{91240B29-F687-4F45-9708-019B960494DF}">
        <a14:hiddenLine xmlns:a14="http://schemas.microsoft.com/office/drawing/2010/main" w="9525" cap="flat" cmpd="sng" algn="ctr">
          <a:solidFill>
            <a:sysClr val="windowText" lastClr="000000">
              <a:lumMod val="15000"/>
              <a:lumOff val="85000"/>
            </a:sysClr>
          </a:solidFill>
          <a:round/>
        </a14:hiddenLine>
      </a:ext>
    </a:extLst>
  </c:spPr>
  <c:txPr>
    <a:bodyPr/>
    <a:lstStyle/>
    <a:p>
      <a:pPr>
        <a:defRPr sz="1400" baseline="0">
          <a:solidFill>
            <a:sysClr val="windowText" lastClr="000000"/>
          </a:solidFill>
          <a:latin typeface="Times New Roman"/>
          <a:ea typeface="Times New Roman"/>
          <a:cs typeface="Times New Roman"/>
        </a:defRPr>
      </a:pPr>
      <a:endParaRPr lang="ru-RU"/>
    </a:p>
  </c:txPr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Data2!$M$51</c:f>
              <c:strCache>
                <c:ptCount val="1"/>
                <c:pt idx="0">
                  <c:v>Регіони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dLbl>
              <c:idx val="0"/>
              <c:layout>
                <c:manualLayout>
                  <c:x val="0"/>
                  <c:y val="-4.5351473922902912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E9CF-4ED4-8DE8-42E207AE4257}"/>
                </c:ext>
              </c:extLst>
            </c:dLbl>
            <c:dLbl>
              <c:idx val="1"/>
              <c:layout>
                <c:manualLayout>
                  <c:x val="6.3888888888888884E-2"/>
                  <c:y val="0.1315192743764172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E9CF-4ED4-8DE8-42E207AE4257}"/>
                </c:ext>
              </c:extLst>
            </c:dLbl>
            <c:dLbl>
              <c:idx val="2"/>
              <c:layout>
                <c:manualLayout>
                  <c:x val="2.777777777777676E-3"/>
                  <c:y val="9.0702947845804887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2-E9CF-4ED4-8DE8-42E207AE4257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vert="horz"/>
              <a:lstStyle/>
              <a:p>
                <a:pPr>
                  <a:defRPr/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multiLvlStrRef>
              <c:f>Data2!$K$52:$L$56</c:f>
              <c:multiLvlStrCache>
                <c:ptCount val="5"/>
                <c:lvl>
                  <c:pt idx="0">
                    <c:v>Фландрія</c:v>
                  </c:pt>
                  <c:pt idx="1">
                    <c:v>Країна Басків</c:v>
                  </c:pt>
                  <c:pt idx="2">
                    <c:v>Каталонія</c:v>
                  </c:pt>
                  <c:pt idx="3">
                    <c:v>Ломбардія</c:v>
                  </c:pt>
                  <c:pt idx="4">
                    <c:v>Венето</c:v>
                  </c:pt>
                </c:lvl>
                <c:lvl>
                  <c:pt idx="0">
                    <c:v>Бельгія</c:v>
                  </c:pt>
                  <c:pt idx="1">
                    <c:v>Іспанія</c:v>
                  </c:pt>
                  <c:pt idx="3">
                    <c:v>Італія</c:v>
                  </c:pt>
                </c:lvl>
              </c:multiLvlStrCache>
            </c:multiLvlStrRef>
          </c:cat>
          <c:val>
            <c:numRef>
              <c:f>Data2!$M$52:$M$56</c:f>
              <c:numCache>
                <c:formatCode>General</c:formatCode>
                <c:ptCount val="5"/>
                <c:pt idx="0">
                  <c:v>61</c:v>
                </c:pt>
                <c:pt idx="1">
                  <c:v>64</c:v>
                </c:pt>
                <c:pt idx="2">
                  <c:v>68.400000000000006</c:v>
                </c:pt>
                <c:pt idx="3">
                  <c:v>62.4</c:v>
                </c:pt>
                <c:pt idx="4">
                  <c:v>60.6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E9CF-4ED4-8DE8-42E207AE4257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90149248"/>
        <c:axId val="90150784"/>
      </c:barChart>
      <c:lineChart>
        <c:grouping val="standard"/>
        <c:varyColors val="0"/>
        <c:ser>
          <c:idx val="2"/>
          <c:order val="2"/>
          <c:tx>
            <c:strRef>
              <c:f>Data2!$O$51</c:f>
              <c:strCache>
                <c:ptCount val="1"/>
                <c:pt idx="0">
                  <c:v>Середнє по Іспанії</c:v>
                </c:pt>
              </c:strCache>
            </c:strRef>
          </c:tx>
          <c:spPr>
            <a:ln w="28575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dLbls>
            <c:dLbl>
              <c:idx val="1"/>
              <c:layout>
                <c:manualLayout>
                  <c:x val="3.7220843672456497E-2"/>
                  <c:y val="-5.8956916099773243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4-E9CF-4ED4-8DE8-42E207AE4257}"/>
                </c:ext>
              </c:extLst>
            </c:dLbl>
            <c:dLbl>
              <c:idx val="2"/>
              <c:delete val="1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E9CF-4ED4-8DE8-42E207AE4257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vert="horz"/>
              <a:lstStyle/>
              <a:p>
                <a:pPr>
                  <a:defRPr/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multiLvlStrRef>
              <c:f>Data2!$K$52:$L$56</c:f>
              <c:multiLvlStrCache>
                <c:ptCount val="5"/>
                <c:lvl>
                  <c:pt idx="0">
                    <c:v>Фландрія</c:v>
                  </c:pt>
                  <c:pt idx="1">
                    <c:v>Країна Басків</c:v>
                  </c:pt>
                  <c:pt idx="2">
                    <c:v>Каталонія</c:v>
                  </c:pt>
                  <c:pt idx="3">
                    <c:v>Ломбардія</c:v>
                  </c:pt>
                  <c:pt idx="4">
                    <c:v>Венето</c:v>
                  </c:pt>
                </c:lvl>
                <c:lvl>
                  <c:pt idx="0">
                    <c:v>Бельгія</c:v>
                  </c:pt>
                  <c:pt idx="1">
                    <c:v>Іспанія</c:v>
                  </c:pt>
                  <c:pt idx="3">
                    <c:v>Італія</c:v>
                  </c:pt>
                </c:lvl>
              </c:multiLvlStrCache>
            </c:multiLvlStrRef>
          </c:cat>
          <c:val>
            <c:numRef>
              <c:f>Data2!$O$52:$O$56</c:f>
              <c:numCache>
                <c:formatCode>General</c:formatCode>
                <c:ptCount val="5"/>
                <c:pt idx="1">
                  <c:v>65.400000000000006</c:v>
                </c:pt>
                <c:pt idx="2">
                  <c:v>65.400000000000006</c:v>
                </c:pt>
              </c:numCache>
            </c:numRef>
          </c: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6-E9CF-4ED4-8DE8-42E207AE4257}"/>
            </c:ext>
          </c:extLst>
        </c:ser>
        <c:ser>
          <c:idx val="3"/>
          <c:order val="3"/>
          <c:tx>
            <c:strRef>
              <c:f>Data2!$P$51</c:f>
              <c:strCache>
                <c:ptCount val="1"/>
                <c:pt idx="0">
                  <c:v>Середнє по Італії</c:v>
                </c:pt>
              </c:strCache>
            </c:strRef>
          </c:tx>
          <c:spPr>
            <a:ln w="28575" cap="rnd">
              <a:solidFill>
                <a:schemeClr val="accent4"/>
              </a:solidFill>
              <a:round/>
            </a:ln>
            <a:effectLst/>
          </c:spPr>
          <c:marker>
            <c:symbol val="none"/>
          </c:marker>
          <c:dLbls>
            <c:dLbl>
              <c:idx val="3"/>
              <c:layout>
                <c:manualLayout>
                  <c:x val="5.1695616211745093E-2"/>
                  <c:y val="-5.4421768707483033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E9CF-4ED4-8DE8-42E207AE4257}"/>
                </c:ext>
              </c:extLst>
            </c:dLbl>
            <c:dLbl>
              <c:idx val="4"/>
              <c:delete val="1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8-E9CF-4ED4-8DE8-42E207AE4257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vert="horz"/>
              <a:lstStyle/>
              <a:p>
                <a:pPr>
                  <a:defRPr/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multiLvlStrRef>
              <c:f>Data2!$K$52:$L$56</c:f>
              <c:multiLvlStrCache>
                <c:ptCount val="5"/>
                <c:lvl>
                  <c:pt idx="0">
                    <c:v>Фландрія</c:v>
                  </c:pt>
                  <c:pt idx="1">
                    <c:v>Країна Басків</c:v>
                  </c:pt>
                  <c:pt idx="2">
                    <c:v>Каталонія</c:v>
                  </c:pt>
                  <c:pt idx="3">
                    <c:v>Ломбардія</c:v>
                  </c:pt>
                  <c:pt idx="4">
                    <c:v>Венето</c:v>
                  </c:pt>
                </c:lvl>
                <c:lvl>
                  <c:pt idx="0">
                    <c:v>Бельгія</c:v>
                  </c:pt>
                  <c:pt idx="1">
                    <c:v>Іспанія</c:v>
                  </c:pt>
                  <c:pt idx="3">
                    <c:v>Італія</c:v>
                  </c:pt>
                </c:lvl>
              </c:multiLvlStrCache>
            </c:multiLvlStrRef>
          </c:cat>
          <c:val>
            <c:numRef>
              <c:f>Data2!$P$52:$P$56</c:f>
              <c:numCache>
                <c:formatCode>General</c:formatCode>
                <c:ptCount val="5"/>
                <c:pt idx="3">
                  <c:v>56.6</c:v>
                </c:pt>
                <c:pt idx="4">
                  <c:v>56.6</c:v>
                </c:pt>
              </c:numCache>
            </c:numRef>
          </c: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9-E9CF-4ED4-8DE8-42E207AE4257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90149248"/>
        <c:axId val="90150784"/>
      </c:lineChart>
      <c:scatterChart>
        <c:scatterStyle val="lineMarker"/>
        <c:varyColors val="0"/>
        <c:ser>
          <c:idx val="1"/>
          <c:order val="1"/>
          <c:tx>
            <c:strRef>
              <c:f>Data2!$N$51</c:f>
              <c:strCache>
                <c:ptCount val="1"/>
                <c:pt idx="0">
                  <c:v>Середнє по Бельгії</c:v>
                </c:pt>
              </c:strCache>
            </c:strRef>
          </c:tx>
          <c:spPr>
            <a:ln w="25400" cap="rnd">
              <a:noFill/>
              <a:round/>
            </a:ln>
            <a:effectLst/>
          </c:spPr>
          <c:marker>
            <c:symbol val="dash"/>
            <c:size val="26"/>
            <c:spPr>
              <a:solidFill>
                <a:schemeClr val="bg1"/>
              </a:solidFill>
              <a:ln w="9525" cap="sq" cmpd="sng">
                <a:solidFill>
                  <a:schemeClr val="accent2"/>
                </a:solidFill>
                <a:miter lim="800000"/>
              </a:ln>
              <a:effectLst/>
            </c:spPr>
          </c:marker>
          <c:dPt>
            <c:idx val="0"/>
            <c:marker>
              <c:spPr>
                <a:solidFill>
                  <a:schemeClr val="accent1">
                    <a:lumMod val="20000"/>
                    <a:lumOff val="80000"/>
                  </a:schemeClr>
                </a:solidFill>
                <a:ln w="9525" cap="sq" cmpd="sng">
                  <a:solidFill>
                    <a:schemeClr val="accent2"/>
                  </a:solidFill>
                  <a:miter lim="800000"/>
                </a:ln>
                <a:effectLst/>
              </c:spPr>
            </c:marker>
            <c:bubble3D val="0"/>
          </c:dPt>
          <c:dLbls>
            <c:dLbl>
              <c:idx val="0"/>
              <c:layout>
                <c:manualLayout>
                  <c:x val="1.1111111111111086E-2"/>
                  <c:y val="9.0702947845804991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A-E9CF-4ED4-8DE8-42E207AE4257}"/>
                </c:ext>
              </c:extLst>
            </c:dLbl>
            <c:dLbl>
              <c:idx val="1"/>
              <c:layout>
                <c:manualLayout>
                  <c:x val="-6.9444444444444448E-2"/>
                  <c:y val="-6.3492063492063502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B-E9CF-4ED4-8DE8-42E207AE4257}"/>
                </c:ext>
              </c:extLst>
            </c:dLbl>
            <c:dLbl>
              <c:idx val="2"/>
              <c:layout>
                <c:manualLayout>
                  <c:x val="2.7777777777777779E-3"/>
                  <c:y val="1.8140589569160998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C-E9CF-4ED4-8DE8-42E207AE4257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vert="horz"/>
              <a:lstStyle/>
              <a:p>
                <a:pPr>
                  <a:defRPr/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0"/>
              </c:ext>
            </c:extLst>
          </c:dLbls>
          <c:xVal>
            <c:multiLvlStrRef>
              <c:f>Data2!$K$52:$L$56</c:f>
              <c:multiLvlStrCache>
                <c:ptCount val="5"/>
                <c:lvl>
                  <c:pt idx="0">
                    <c:v>Фландрія</c:v>
                  </c:pt>
                  <c:pt idx="1">
                    <c:v>Країна Басків</c:v>
                  </c:pt>
                  <c:pt idx="2">
                    <c:v>Каталонія</c:v>
                  </c:pt>
                  <c:pt idx="3">
                    <c:v>Ломбардія</c:v>
                  </c:pt>
                  <c:pt idx="4">
                    <c:v>Венето</c:v>
                  </c:pt>
                </c:lvl>
                <c:lvl>
                  <c:pt idx="0">
                    <c:v>Бельгія</c:v>
                  </c:pt>
                  <c:pt idx="1">
                    <c:v>Іспанія</c:v>
                  </c:pt>
                  <c:pt idx="3">
                    <c:v>Італія</c:v>
                  </c:pt>
                </c:lvl>
              </c:multiLvlStrCache>
            </c:multiLvlStrRef>
          </c:xVal>
          <c:yVal>
            <c:numRef>
              <c:f>Data2!$N$52:$N$56</c:f>
              <c:numCache>
                <c:formatCode>General</c:formatCode>
                <c:ptCount val="5"/>
                <c:pt idx="0">
                  <c:v>59.4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D-E9CF-4ED4-8DE8-42E207AE4257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90149248"/>
        <c:axId val="90150784"/>
      </c:scatterChart>
      <c:catAx>
        <c:axId val="9014924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vert="horz"/>
          <a:lstStyle/>
          <a:p>
            <a:pPr>
              <a:defRPr/>
            </a:pPr>
            <a:endParaRPr lang="ru-RU"/>
          </a:p>
        </c:txPr>
        <c:crossAx val="90150784"/>
        <c:crosses val="autoZero"/>
        <c:auto val="1"/>
        <c:lblAlgn val="ctr"/>
        <c:lblOffset val="100"/>
        <c:noMultiLvlLbl val="0"/>
      </c:catAx>
      <c:valAx>
        <c:axId val="90150784"/>
        <c:scaling>
          <c:orientation val="minMax"/>
          <c:min val="5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vert="horz"/>
          <a:lstStyle/>
          <a:p>
            <a:pPr>
              <a:defRPr/>
            </a:pPr>
            <a:endParaRPr lang="ru-RU"/>
          </a:p>
        </c:txPr>
        <c:crossAx val="90149248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vert="horz"/>
        <a:lstStyle/>
        <a:p>
          <a:pPr>
            <a:defRPr sz="1200"/>
          </a:pPr>
          <a:endParaRPr lang="ru-RU"/>
        </a:p>
      </c:txPr>
    </c:legend>
    <c:plotVisOnly val="1"/>
    <c:dispBlanksAs val="gap"/>
    <c:showDLblsOverMax val="0"/>
  </c:chart>
  <c:spPr>
    <a:solidFill>
      <a:sysClr val="window" lastClr="FFFFFF"/>
    </a:solidFill>
    <a:ln w="9525" cap="flat" cmpd="sng" algn="ctr">
      <a:noFill/>
      <a:round/>
    </a:ln>
    <a:effectLst/>
    <a:extLst>
      <a:ext uri="{91240B29-F687-4F45-9708-019B960494DF}">
        <a14:hiddenLine xmlns:a14="http://schemas.microsoft.com/office/drawing/2010/main" w="9525" cap="flat" cmpd="sng" algn="ctr">
          <a:solidFill>
            <a:sysClr val="windowText" lastClr="000000">
              <a:lumMod val="15000"/>
              <a:lumOff val="85000"/>
            </a:sysClr>
          </a:solidFill>
          <a:round/>
        </a14:hiddenLine>
      </a:ext>
    </a:extLst>
  </c:spPr>
  <c:txPr>
    <a:bodyPr/>
    <a:lstStyle/>
    <a:p>
      <a:pPr>
        <a:defRPr sz="1400" baseline="0">
          <a:solidFill>
            <a:sysClr val="windowText" lastClr="000000"/>
          </a:solidFill>
          <a:latin typeface="Times New Roman"/>
          <a:ea typeface="Times New Roman"/>
          <a:cs typeface="Times New Roman"/>
        </a:defRPr>
      </a:pPr>
      <a:endParaRPr lang="ru-RU"/>
    </a:p>
  </c:txPr>
  <c:externalData r:id="rId1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Data3!$L$59</c:f>
              <c:strCache>
                <c:ptCount val="1"/>
                <c:pt idx="0">
                  <c:v>Регіони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dLbl>
              <c:idx val="0"/>
              <c:layout>
                <c:manualLayout>
                  <c:x val="-2.2222222222222223E-2"/>
                  <c:y val="0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4D53-4D47-8DF6-689AD86E33AB}"/>
                </c:ext>
              </c:extLst>
            </c:dLbl>
            <c:dLbl>
              <c:idx val="1"/>
              <c:layout>
                <c:manualLayout>
                  <c:x val="0"/>
                  <c:y val="-1.3605442176870737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4D53-4D47-8DF6-689AD86E33AB}"/>
                </c:ext>
              </c:extLst>
            </c:dLbl>
            <c:dLbl>
              <c:idx val="2"/>
              <c:layout>
                <c:manualLayout>
                  <c:x val="2.777777777777676E-3"/>
                  <c:y val="9.0702947845804887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2-4D53-4D47-8DF6-689AD86E33AB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vert="horz"/>
              <a:lstStyle/>
              <a:p>
                <a:pPr>
                  <a:defRPr/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multiLvlStrRef>
              <c:f>Data3!$J$60:$K$64</c:f>
              <c:multiLvlStrCache>
                <c:ptCount val="5"/>
                <c:lvl>
                  <c:pt idx="0">
                    <c:v>Фландрія</c:v>
                  </c:pt>
                  <c:pt idx="1">
                    <c:v>Країна Басків</c:v>
                  </c:pt>
                  <c:pt idx="2">
                    <c:v>Каталонія</c:v>
                  </c:pt>
                  <c:pt idx="3">
                    <c:v>Ломбардія</c:v>
                  </c:pt>
                  <c:pt idx="4">
                    <c:v>Венето</c:v>
                  </c:pt>
                </c:lvl>
                <c:lvl>
                  <c:pt idx="0">
                    <c:v>Бельгія</c:v>
                  </c:pt>
                  <c:pt idx="1">
                    <c:v>Іспанія</c:v>
                  </c:pt>
                  <c:pt idx="3">
                    <c:v>Італія</c:v>
                  </c:pt>
                </c:lvl>
              </c:multiLvlStrCache>
            </c:multiLvlStrRef>
          </c:cat>
          <c:val>
            <c:numRef>
              <c:f>Data3!$L$60:$L$64</c:f>
              <c:numCache>
                <c:formatCode>General</c:formatCode>
                <c:ptCount val="5"/>
                <c:pt idx="0">
                  <c:v>89</c:v>
                </c:pt>
                <c:pt idx="1">
                  <c:v>88.9</c:v>
                </c:pt>
                <c:pt idx="2">
                  <c:v>90.1</c:v>
                </c:pt>
                <c:pt idx="3">
                  <c:v>83.5</c:v>
                </c:pt>
                <c:pt idx="4">
                  <c:v>81.900000000000006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4D53-4D47-8DF6-689AD86E33AB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90836992"/>
        <c:axId val="90838528"/>
      </c:barChart>
      <c:lineChart>
        <c:grouping val="standard"/>
        <c:varyColors val="0"/>
        <c:ser>
          <c:idx val="2"/>
          <c:order val="2"/>
          <c:tx>
            <c:strRef>
              <c:f>Data3!$N$59</c:f>
              <c:strCache>
                <c:ptCount val="1"/>
                <c:pt idx="0">
                  <c:v>Середнє по Іспанії</c:v>
                </c:pt>
              </c:strCache>
            </c:strRef>
          </c:tx>
          <c:spPr>
            <a:ln w="28575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dLbls>
            <c:dLbl>
              <c:idx val="1"/>
              <c:layout>
                <c:manualLayout>
                  <c:x val="4.8611111111111112E-2"/>
                  <c:y val="5.8956916099773243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4-4D53-4D47-8DF6-689AD86E33AB}"/>
                </c:ext>
              </c:extLst>
            </c:dLbl>
            <c:dLbl>
              <c:idx val="2"/>
              <c:delete val="1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4D53-4D47-8DF6-689AD86E33AB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vert="horz"/>
              <a:lstStyle/>
              <a:p>
                <a:pPr>
                  <a:defRPr/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multiLvlStrRef>
              <c:f>Data3!$J$60:$K$64</c:f>
              <c:multiLvlStrCache>
                <c:ptCount val="5"/>
                <c:lvl>
                  <c:pt idx="0">
                    <c:v>Фландрія</c:v>
                  </c:pt>
                  <c:pt idx="1">
                    <c:v>Країна Басків</c:v>
                  </c:pt>
                  <c:pt idx="2">
                    <c:v>Каталонія</c:v>
                  </c:pt>
                  <c:pt idx="3">
                    <c:v>Ломбардія</c:v>
                  </c:pt>
                  <c:pt idx="4">
                    <c:v>Венето</c:v>
                  </c:pt>
                </c:lvl>
                <c:lvl>
                  <c:pt idx="0">
                    <c:v>Бельгія</c:v>
                  </c:pt>
                  <c:pt idx="1">
                    <c:v>Іспанія</c:v>
                  </c:pt>
                  <c:pt idx="3">
                    <c:v>Італія</c:v>
                  </c:pt>
                </c:lvl>
              </c:multiLvlStrCache>
            </c:multiLvlStrRef>
          </c:cat>
          <c:val>
            <c:numRef>
              <c:f>Data3!$N$60:$N$64</c:f>
              <c:numCache>
                <c:formatCode>General</c:formatCode>
                <c:ptCount val="5"/>
                <c:pt idx="1">
                  <c:v>87.7</c:v>
                </c:pt>
                <c:pt idx="2">
                  <c:v>87.7</c:v>
                </c:pt>
              </c:numCache>
            </c:numRef>
          </c: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6-4D53-4D47-8DF6-689AD86E33AB}"/>
            </c:ext>
          </c:extLst>
        </c:ser>
        <c:ser>
          <c:idx val="3"/>
          <c:order val="3"/>
          <c:tx>
            <c:strRef>
              <c:f>Data3!$O$59</c:f>
              <c:strCache>
                <c:ptCount val="1"/>
                <c:pt idx="0">
                  <c:v>Середнє по Італії</c:v>
                </c:pt>
              </c:strCache>
            </c:strRef>
          </c:tx>
          <c:spPr>
            <a:ln w="28575" cap="rnd">
              <a:solidFill>
                <a:schemeClr val="accent4"/>
              </a:solidFill>
              <a:round/>
            </a:ln>
            <a:effectLst/>
          </c:spPr>
          <c:marker>
            <c:symbol val="none"/>
          </c:marker>
          <c:dLbls>
            <c:dLbl>
              <c:idx val="3"/>
              <c:delete val="1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4D53-4D47-8DF6-689AD86E33AB}"/>
                </c:ext>
              </c:extLst>
            </c:dLbl>
            <c:dLbl>
              <c:idx val="4"/>
              <c:layout>
                <c:manualLayout>
                  <c:x val="-0.13194444444444445"/>
                  <c:y val="-5.8956916099773327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8-4D53-4D47-8DF6-689AD86E33AB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vert="horz"/>
              <a:lstStyle/>
              <a:p>
                <a:pPr>
                  <a:defRPr/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multiLvlStrRef>
              <c:f>Data3!$J$60:$K$64</c:f>
              <c:multiLvlStrCache>
                <c:ptCount val="5"/>
                <c:lvl>
                  <c:pt idx="0">
                    <c:v>Фландрія</c:v>
                  </c:pt>
                  <c:pt idx="1">
                    <c:v>Країна Басків</c:v>
                  </c:pt>
                  <c:pt idx="2">
                    <c:v>Каталонія</c:v>
                  </c:pt>
                  <c:pt idx="3">
                    <c:v>Ломбардія</c:v>
                  </c:pt>
                  <c:pt idx="4">
                    <c:v>Венето</c:v>
                  </c:pt>
                </c:lvl>
                <c:lvl>
                  <c:pt idx="0">
                    <c:v>Бельгія</c:v>
                  </c:pt>
                  <c:pt idx="1">
                    <c:v>Іспанія</c:v>
                  </c:pt>
                  <c:pt idx="3">
                    <c:v>Італія</c:v>
                  </c:pt>
                </c:lvl>
              </c:multiLvlStrCache>
            </c:multiLvlStrRef>
          </c:cat>
          <c:val>
            <c:numRef>
              <c:f>Data3!$O$60:$O$64</c:f>
              <c:numCache>
                <c:formatCode>General</c:formatCode>
                <c:ptCount val="5"/>
                <c:pt idx="3">
                  <c:v>73.2</c:v>
                </c:pt>
                <c:pt idx="4">
                  <c:v>73.2</c:v>
                </c:pt>
              </c:numCache>
            </c:numRef>
          </c: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9-4D53-4D47-8DF6-689AD86E33AB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90836992"/>
        <c:axId val="90838528"/>
      </c:lineChart>
      <c:scatterChart>
        <c:scatterStyle val="lineMarker"/>
        <c:varyColors val="0"/>
        <c:ser>
          <c:idx val="1"/>
          <c:order val="1"/>
          <c:tx>
            <c:strRef>
              <c:f>Data3!$M$59</c:f>
              <c:strCache>
                <c:ptCount val="1"/>
                <c:pt idx="0">
                  <c:v>Середнє по Бельгії</c:v>
                </c:pt>
              </c:strCache>
            </c:strRef>
          </c:tx>
          <c:spPr>
            <a:ln w="25400" cap="rnd">
              <a:noFill/>
              <a:round/>
            </a:ln>
            <a:effectLst/>
          </c:spPr>
          <c:marker>
            <c:symbol val="dash"/>
            <c:size val="26"/>
            <c:spPr>
              <a:solidFill>
                <a:schemeClr val="accent2"/>
              </a:solidFill>
              <a:ln w="9525" cap="sq" cmpd="sng">
                <a:solidFill>
                  <a:schemeClr val="accent2"/>
                </a:solidFill>
                <a:miter lim="800000"/>
              </a:ln>
              <a:effectLst/>
            </c:spPr>
          </c:marker>
          <c:dLbls>
            <c:dLbl>
              <c:idx val="0"/>
              <c:layout>
                <c:manualLayout>
                  <c:x val="1.1111111111111086E-2"/>
                  <c:y val="9.0702947845804991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A-4D53-4D47-8DF6-689AD86E33AB}"/>
                </c:ext>
              </c:extLst>
            </c:dLbl>
            <c:dLbl>
              <c:idx val="1"/>
              <c:layout>
                <c:manualLayout>
                  <c:x val="5.5555555555555558E-3"/>
                  <c:y val="2.2675736961451247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B-4D53-4D47-8DF6-689AD86E33AB}"/>
                </c:ext>
              </c:extLst>
            </c:dLbl>
            <c:dLbl>
              <c:idx val="2"/>
              <c:layout>
                <c:manualLayout>
                  <c:x val="2.7777777777777779E-3"/>
                  <c:y val="1.8140589569160998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C-4D53-4D47-8DF6-689AD86E33AB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vert="horz"/>
              <a:lstStyle/>
              <a:p>
                <a:pPr>
                  <a:defRPr/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0"/>
              </c:ext>
            </c:extLst>
          </c:dLbls>
          <c:xVal>
            <c:multiLvlStrRef>
              <c:f>Data3!$J$60:$K$64</c:f>
              <c:multiLvlStrCache>
                <c:ptCount val="5"/>
                <c:lvl>
                  <c:pt idx="0">
                    <c:v>Фландрія</c:v>
                  </c:pt>
                  <c:pt idx="1">
                    <c:v>Країна Басків</c:v>
                  </c:pt>
                  <c:pt idx="2">
                    <c:v>Каталонія</c:v>
                  </c:pt>
                  <c:pt idx="3">
                    <c:v>Ломбардія</c:v>
                  </c:pt>
                  <c:pt idx="4">
                    <c:v>Венето</c:v>
                  </c:pt>
                </c:lvl>
                <c:lvl>
                  <c:pt idx="0">
                    <c:v>Бельгія</c:v>
                  </c:pt>
                  <c:pt idx="1">
                    <c:v>Іспанія</c:v>
                  </c:pt>
                  <c:pt idx="3">
                    <c:v>Італія</c:v>
                  </c:pt>
                </c:lvl>
              </c:multiLvlStrCache>
            </c:multiLvlStrRef>
          </c:xVal>
          <c:yVal>
            <c:numRef>
              <c:f>Data3!$M$60:$M$64</c:f>
              <c:numCache>
                <c:formatCode>General</c:formatCode>
                <c:ptCount val="5"/>
                <c:pt idx="0">
                  <c:v>85.5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D-4D53-4D47-8DF6-689AD86E33AB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90836992"/>
        <c:axId val="90838528"/>
      </c:scatterChart>
      <c:catAx>
        <c:axId val="9083699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vert="horz"/>
          <a:lstStyle/>
          <a:p>
            <a:pPr>
              <a:defRPr/>
            </a:pPr>
            <a:endParaRPr lang="ru-RU"/>
          </a:p>
        </c:txPr>
        <c:crossAx val="90838528"/>
        <c:crosses val="autoZero"/>
        <c:auto val="1"/>
        <c:lblAlgn val="ctr"/>
        <c:lblOffset val="100"/>
        <c:noMultiLvlLbl val="0"/>
      </c:catAx>
      <c:valAx>
        <c:axId val="90838528"/>
        <c:scaling>
          <c:orientation val="minMax"/>
          <c:min val="6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vert="horz"/>
          <a:lstStyle/>
          <a:p>
            <a:pPr>
              <a:defRPr/>
            </a:pPr>
            <a:endParaRPr lang="ru-RU"/>
          </a:p>
        </c:txPr>
        <c:crossAx val="90836992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vert="horz"/>
        <a:lstStyle/>
        <a:p>
          <a:pPr>
            <a:defRPr sz="1200"/>
          </a:pPr>
          <a:endParaRPr lang="ru-RU"/>
        </a:p>
      </c:txPr>
    </c:legend>
    <c:plotVisOnly val="1"/>
    <c:dispBlanksAs val="gap"/>
    <c:showDLblsOverMax val="0"/>
  </c:chart>
  <c:spPr>
    <a:solidFill>
      <a:sysClr val="window" lastClr="FFFFFF"/>
    </a:solidFill>
    <a:ln w="9525" cap="flat" cmpd="sng" algn="ctr">
      <a:noFill/>
      <a:round/>
    </a:ln>
    <a:effectLst/>
    <a:extLst>
      <a:ext uri="{91240B29-F687-4F45-9708-019B960494DF}">
        <a14:hiddenLine xmlns:a14="http://schemas.microsoft.com/office/drawing/2010/main" w="9525" cap="flat" cmpd="sng" algn="ctr">
          <a:solidFill>
            <a:sysClr val="windowText" lastClr="000000">
              <a:lumMod val="15000"/>
              <a:lumOff val="85000"/>
            </a:sysClr>
          </a:solidFill>
          <a:round/>
        </a14:hiddenLine>
      </a:ext>
    </a:extLst>
  </c:spPr>
  <c:txPr>
    <a:bodyPr/>
    <a:lstStyle/>
    <a:p>
      <a:pPr>
        <a:defRPr sz="1400" baseline="0">
          <a:solidFill>
            <a:sysClr val="windowText" lastClr="000000"/>
          </a:solidFill>
          <a:latin typeface="Times New Roman"/>
          <a:ea typeface="Times New Roman"/>
          <a:cs typeface="Times New Roman"/>
        </a:defRPr>
      </a:pPr>
      <a:endParaRPr lang="ru-RU"/>
    </a:p>
  </c:txPr>
  <c:externalData r:id="rId1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7.7832538023956857E-2"/>
          <c:y val="0.11421322931292299"/>
          <c:w val="0.89575169405057153"/>
          <c:h val="0.39891379925957943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Data4!$C$36</c:f>
              <c:strCache>
                <c:ptCount val="1"/>
                <c:pt idx="0">
                  <c:v>2014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Pt>
            <c:idx val="0"/>
            <c:invertIfNegative val="0"/>
            <c:bubble3D val="0"/>
            <c:spPr>
              <a:solidFill>
                <a:schemeClr val="bg1">
                  <a:lumMod val="50000"/>
                </a:schemeClr>
              </a:solidFill>
              <a:ln>
                <a:noFill/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1-816D-4068-90B9-4670B826B757}"/>
              </c:ext>
            </c:extLst>
          </c:dPt>
          <c:dLbls>
            <c:dLbl>
              <c:idx val="2"/>
              <c:layout>
                <c:manualLayout>
                  <c:x val="-4.7463447472524145E-5"/>
                  <c:y val="0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816D-4068-90B9-4670B826B757}"/>
                </c:ext>
              </c:extLst>
            </c:dLbl>
            <c:numFmt formatCode="#,##0.0" sourceLinked="0"/>
            <c:spPr>
              <a:noFill/>
              <a:ln>
                <a:noFill/>
              </a:ln>
              <a:effectLst/>
            </c:spPr>
            <c:txPr>
              <a:bodyPr rot="0" vert="horz"/>
              <a:lstStyle/>
              <a:p>
                <a:pPr>
                  <a:defRPr/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multiLvlStrRef>
              <c:f>Data4!$A$37:$B$40</c:f>
              <c:multiLvlStrCache>
                <c:ptCount val="4"/>
                <c:lvl>
                  <c:pt idx="0">
                    <c:v>Бельгія</c:v>
                  </c:pt>
                  <c:pt idx="1">
                    <c:v>Брюссель</c:v>
                  </c:pt>
                  <c:pt idx="2">
                    <c:v>Фламандський регіон</c:v>
                  </c:pt>
                  <c:pt idx="3">
                    <c:v>Валлонія</c:v>
                  </c:pt>
                </c:lvl>
                <c:lvl>
                  <c:pt idx="1">
                    <c:v>Регіони країни</c:v>
                  </c:pt>
                </c:lvl>
              </c:multiLvlStrCache>
            </c:multiLvlStrRef>
          </c:cat>
          <c:val>
            <c:numRef>
              <c:f>Data4!$C$37:$C$40</c:f>
              <c:numCache>
                <c:formatCode>#,##0.00</c:formatCode>
                <c:ptCount val="4"/>
                <c:pt idx="0">
                  <c:v>18.7</c:v>
                </c:pt>
                <c:pt idx="1">
                  <c:v>16.899999999999999</c:v>
                </c:pt>
                <c:pt idx="2">
                  <c:v>19.899999999999999</c:v>
                </c:pt>
                <c:pt idx="3">
                  <c:v>17.100000000000001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816D-4068-90B9-4670B826B757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90889216"/>
        <c:axId val="90891008"/>
      </c:barChart>
      <c:catAx>
        <c:axId val="90889216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vert="horz"/>
          <a:lstStyle/>
          <a:p>
            <a:pPr>
              <a:defRPr/>
            </a:pPr>
            <a:endParaRPr lang="ru-RU"/>
          </a:p>
        </c:txPr>
        <c:crossAx val="90891008"/>
        <c:crosses val="autoZero"/>
        <c:auto val="1"/>
        <c:lblAlgn val="ctr"/>
        <c:lblOffset val="100"/>
        <c:noMultiLvlLbl val="0"/>
      </c:catAx>
      <c:valAx>
        <c:axId val="90891008"/>
        <c:scaling>
          <c:orientation val="minMax"/>
          <c:max val="20"/>
          <c:min val="12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" sourceLinked="0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vert="horz"/>
          <a:lstStyle/>
          <a:p>
            <a:pPr>
              <a:defRPr/>
            </a:pPr>
            <a:endParaRPr lang="ru-RU"/>
          </a:p>
        </c:txPr>
        <c:crossAx val="90889216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ysClr val="window" lastClr="FFFFFF"/>
    </a:solidFill>
    <a:ln w="9525" cap="flat" cmpd="sng" algn="ctr">
      <a:noFill/>
      <a:round/>
    </a:ln>
    <a:effectLst/>
    <a:extLst>
      <a:ext uri="{91240B29-F687-4F45-9708-019B960494DF}">
        <a14:hiddenLine xmlns:a14="http://schemas.microsoft.com/office/drawing/2010/main" w="9525" cap="flat" cmpd="sng" algn="ctr">
          <a:solidFill>
            <a:sysClr val="windowText" lastClr="000000">
              <a:lumMod val="15000"/>
              <a:lumOff val="85000"/>
            </a:sysClr>
          </a:solidFill>
          <a:round/>
        </a14:hiddenLine>
      </a:ext>
    </a:extLst>
  </c:spPr>
  <c:txPr>
    <a:bodyPr/>
    <a:lstStyle/>
    <a:p>
      <a:pPr>
        <a:defRPr sz="1400" baseline="0">
          <a:solidFill>
            <a:sysClr val="windowText" lastClr="000000"/>
          </a:solidFill>
          <a:latin typeface="Times New Roman"/>
          <a:ea typeface="Times New Roman"/>
          <a:cs typeface="Times New Roman"/>
        </a:defRPr>
      </a:pPr>
      <a:endParaRPr lang="ru-RU"/>
    </a:p>
  </c:txPr>
  <c:externalData r:id="rId1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Data4!$C$43</c:f>
              <c:strCache>
                <c:ptCount val="1"/>
                <c:pt idx="0">
                  <c:v>2014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Pt>
            <c:idx val="0"/>
            <c:invertIfNegative val="0"/>
            <c:bubble3D val="0"/>
            <c:spPr>
              <a:solidFill>
                <a:schemeClr val="bg1">
                  <a:lumMod val="50000"/>
                </a:schemeClr>
              </a:solidFill>
              <a:ln>
                <a:noFill/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1-8D59-49F5-ABCC-C3E4055C284C}"/>
              </c:ext>
            </c:extLst>
          </c:dPt>
          <c:dPt>
            <c:idx val="2"/>
            <c:invertIfNegative val="0"/>
            <c:bubble3D val="0"/>
            <c:spPr>
              <a:solidFill>
                <a:schemeClr val="accent6">
                  <a:lumMod val="60000"/>
                  <a:lumOff val="40000"/>
                </a:schemeClr>
              </a:solidFill>
              <a:ln>
                <a:solidFill>
                  <a:schemeClr val="accent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3-8D59-49F5-ABCC-C3E4055C284C}"/>
              </c:ext>
            </c:extLst>
          </c:dPt>
          <c:dPt>
            <c:idx val="3"/>
            <c:invertIfNegative val="0"/>
            <c:bubble3D val="0"/>
            <c:spPr>
              <a:solidFill>
                <a:schemeClr val="accent6">
                  <a:lumMod val="60000"/>
                  <a:lumOff val="40000"/>
                </a:schemeClr>
              </a:solidFill>
              <a:ln>
                <a:solidFill>
                  <a:schemeClr val="accent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5-8D59-49F5-ABCC-C3E4055C284C}"/>
              </c:ext>
            </c:extLst>
          </c:dPt>
          <c:dPt>
            <c:idx val="6"/>
            <c:invertIfNegative val="0"/>
            <c:bubble3D val="0"/>
            <c:spPr>
              <a:solidFill>
                <a:schemeClr val="accent2">
                  <a:lumMod val="60000"/>
                  <a:lumOff val="40000"/>
                </a:schemeClr>
              </a:solidFill>
              <a:ln>
                <a:solidFill>
                  <a:schemeClr val="accent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7-8D59-49F5-ABCC-C3E4055C284C}"/>
              </c:ext>
            </c:extLst>
          </c:dPt>
          <c:dPt>
            <c:idx val="7"/>
            <c:invertIfNegative val="0"/>
            <c:bubble3D val="0"/>
            <c:spPr>
              <a:solidFill>
                <a:schemeClr val="accent2">
                  <a:lumMod val="60000"/>
                  <a:lumOff val="40000"/>
                </a:schemeClr>
              </a:solidFill>
              <a:ln>
                <a:solidFill>
                  <a:schemeClr val="accent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9-8D59-49F5-ABCC-C3E4055C284C}"/>
              </c:ext>
            </c:extLst>
          </c:dPt>
          <c:dLbls>
            <c:numFmt formatCode="#,##0.0" sourceLinked="0"/>
            <c:spPr>
              <a:noFill/>
              <a:ln>
                <a:noFill/>
              </a:ln>
              <a:effectLst/>
            </c:spPr>
            <c:txPr>
              <a:bodyPr rot="0" vert="horz"/>
              <a:lstStyle/>
              <a:p>
                <a:pPr>
                  <a:defRPr/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multiLvlStrRef>
              <c:f>Data4!$A$44:$B$53</c:f>
              <c:multiLvlStrCache>
                <c:ptCount val="10"/>
                <c:lvl>
                  <c:pt idx="0">
                    <c:v>Іспанія</c:v>
                  </c:pt>
                  <c:pt idx="1">
                    <c:v>Північно-західний</c:v>
                  </c:pt>
                  <c:pt idx="2">
                    <c:v>Північний схід</c:v>
                  </c:pt>
                  <c:pt idx="3">
                    <c:v>Країна Басків (Півн. Схід)</c:v>
                  </c:pt>
                  <c:pt idx="4">
                    <c:v>Мадрид</c:v>
                  </c:pt>
                  <c:pt idx="5">
                    <c:v>Центр</c:v>
                  </c:pt>
                  <c:pt idx="6">
                    <c:v>Схід</c:v>
                  </c:pt>
                  <c:pt idx="7">
                    <c:v>Каталонія (Схід)</c:v>
                  </c:pt>
                  <c:pt idx="8">
                    <c:v>Південь</c:v>
                  </c:pt>
                  <c:pt idx="9">
                    <c:v>Канарські острови</c:v>
                  </c:pt>
                </c:lvl>
                <c:lvl>
                  <c:pt idx="1">
                    <c:v>Регіони країни</c:v>
                  </c:pt>
                </c:lvl>
              </c:multiLvlStrCache>
            </c:multiLvlStrRef>
          </c:cat>
          <c:val>
            <c:numRef>
              <c:f>Data4!$C$44:$C$53</c:f>
              <c:numCache>
                <c:formatCode>#,##0.00</c:formatCode>
                <c:ptCount val="10"/>
                <c:pt idx="0">
                  <c:v>13.3</c:v>
                </c:pt>
                <c:pt idx="1">
                  <c:v>12.8</c:v>
                </c:pt>
                <c:pt idx="2">
                  <c:v>16.399999999999999</c:v>
                </c:pt>
                <c:pt idx="3">
                  <c:v>17.7</c:v>
                </c:pt>
                <c:pt idx="4">
                  <c:v>17</c:v>
                </c:pt>
                <c:pt idx="5">
                  <c:v>11.8</c:v>
                </c:pt>
                <c:pt idx="6">
                  <c:v>13.9</c:v>
                </c:pt>
                <c:pt idx="7">
                  <c:v>15.5</c:v>
                </c:pt>
                <c:pt idx="8">
                  <c:v>10.3</c:v>
                </c:pt>
                <c:pt idx="9">
                  <c:v>11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A-8D59-49F5-ABCC-C3E4055C284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108126976"/>
        <c:axId val="108128512"/>
      </c:barChart>
      <c:catAx>
        <c:axId val="108126976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vert="horz"/>
          <a:lstStyle/>
          <a:p>
            <a:pPr>
              <a:defRPr/>
            </a:pPr>
            <a:endParaRPr lang="ru-RU"/>
          </a:p>
        </c:txPr>
        <c:crossAx val="108128512"/>
        <c:crosses val="autoZero"/>
        <c:auto val="1"/>
        <c:lblAlgn val="ctr"/>
        <c:lblOffset val="100"/>
        <c:noMultiLvlLbl val="0"/>
      </c:catAx>
      <c:valAx>
        <c:axId val="108128512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0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vert="horz"/>
          <a:lstStyle/>
          <a:p>
            <a:pPr>
              <a:defRPr/>
            </a:pPr>
            <a:endParaRPr lang="ru-RU"/>
          </a:p>
        </c:txPr>
        <c:crossAx val="108126976"/>
        <c:crosses val="autoZero"/>
        <c:crossBetween val="between"/>
        <c:majorUnit val="4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ysClr val="window" lastClr="FFFFFF"/>
    </a:solidFill>
    <a:ln w="9525" cap="flat" cmpd="sng" algn="ctr">
      <a:noFill/>
      <a:round/>
    </a:ln>
    <a:effectLst/>
    <a:extLst>
      <a:ext uri="{91240B29-F687-4F45-9708-019B960494DF}">
        <a14:hiddenLine xmlns:a14="http://schemas.microsoft.com/office/drawing/2010/main" w="9525" cap="flat" cmpd="sng" algn="ctr">
          <a:solidFill>
            <a:sysClr val="windowText" lastClr="000000">
              <a:lumMod val="15000"/>
              <a:lumOff val="85000"/>
            </a:sysClr>
          </a:solidFill>
          <a:round/>
        </a14:hiddenLine>
      </a:ext>
    </a:extLst>
  </c:spPr>
  <c:txPr>
    <a:bodyPr/>
    <a:lstStyle/>
    <a:p>
      <a:pPr>
        <a:defRPr sz="1400" baseline="0">
          <a:solidFill>
            <a:sysClr val="windowText" lastClr="000000"/>
          </a:solidFill>
          <a:latin typeface="Times New Roman"/>
          <a:ea typeface="Times New Roman"/>
          <a:cs typeface="Times New Roman"/>
        </a:defRPr>
      </a:pPr>
      <a:endParaRPr lang="ru-RU"/>
    </a:p>
  </c:txPr>
  <c:externalData r:id="rId1">
    <c:autoUpdate val="0"/>
  </c:externalData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Data4!$C$56</c:f>
              <c:strCache>
                <c:ptCount val="1"/>
                <c:pt idx="0">
                  <c:v>2015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Pt>
            <c:idx val="0"/>
            <c:invertIfNegative val="0"/>
            <c:bubble3D val="0"/>
            <c:spPr>
              <a:solidFill>
                <a:schemeClr val="bg1">
                  <a:lumMod val="50000"/>
                </a:schemeClr>
              </a:solidFill>
              <a:ln>
                <a:noFill/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1-108E-4AC7-9C89-68D43D097F0B}"/>
              </c:ext>
            </c:extLst>
          </c:dPt>
          <c:dPt>
            <c:idx val="1"/>
            <c:invertIfNegative val="0"/>
            <c:bubble3D val="0"/>
            <c:spPr>
              <a:solidFill>
                <a:schemeClr val="accent2">
                  <a:lumMod val="60000"/>
                  <a:lumOff val="40000"/>
                </a:schemeClr>
              </a:solidFill>
              <a:ln>
                <a:solidFill>
                  <a:schemeClr val="tx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3-108E-4AC7-9C89-68D43D097F0B}"/>
              </c:ext>
            </c:extLst>
          </c:dPt>
          <c:dPt>
            <c:idx val="2"/>
            <c:invertIfNegative val="0"/>
            <c:bubble3D val="0"/>
            <c:spPr>
              <a:solidFill>
                <a:schemeClr val="accent2">
                  <a:lumMod val="60000"/>
                  <a:lumOff val="40000"/>
                </a:schemeClr>
              </a:solidFill>
              <a:ln>
                <a:solidFill>
                  <a:schemeClr val="tx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5-108E-4AC7-9C89-68D43D097F0B}"/>
              </c:ext>
            </c:extLst>
          </c:dPt>
          <c:dPt>
            <c:idx val="3"/>
            <c:invertIfNegative val="0"/>
            <c:bubble3D val="0"/>
            <c:spPr>
              <a:solidFill>
                <a:schemeClr val="accent6">
                  <a:lumMod val="60000"/>
                  <a:lumOff val="40000"/>
                </a:schemeClr>
              </a:solidFill>
              <a:ln>
                <a:solidFill>
                  <a:schemeClr val="tx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7-108E-4AC7-9C89-68D43D097F0B}"/>
              </c:ext>
            </c:extLst>
          </c:dPt>
          <c:dPt>
            <c:idx val="4"/>
            <c:invertIfNegative val="0"/>
            <c:bubble3D val="0"/>
            <c:spPr>
              <a:solidFill>
                <a:schemeClr val="accent6">
                  <a:lumMod val="60000"/>
                  <a:lumOff val="40000"/>
                </a:schemeClr>
              </a:solidFill>
              <a:ln>
                <a:solidFill>
                  <a:schemeClr val="tx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9-108E-4AC7-9C89-68D43D097F0B}"/>
              </c:ext>
            </c:extLst>
          </c:dPt>
          <c:dLbls>
            <c:numFmt formatCode="#,##0.0" sourceLinked="0"/>
            <c:spPr>
              <a:noFill/>
              <a:ln>
                <a:noFill/>
              </a:ln>
              <a:effectLst/>
            </c:spPr>
            <c:txPr>
              <a:bodyPr rot="0" vert="horz"/>
              <a:lstStyle/>
              <a:p>
                <a:pPr>
                  <a:defRPr/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multiLvlStrRef>
              <c:f>Data4!$A$57:$B$64</c:f>
              <c:multiLvlStrCache>
                <c:ptCount val="8"/>
                <c:lvl>
                  <c:pt idx="0">
                    <c:v>Італія</c:v>
                  </c:pt>
                  <c:pt idx="1">
                    <c:v>Північно-Захід</c:v>
                  </c:pt>
                  <c:pt idx="2">
                    <c:v>Ломбардія (Півн.-Захід)</c:v>
                  </c:pt>
                  <c:pt idx="3">
                    <c:v>Північний схід</c:v>
                  </c:pt>
                  <c:pt idx="4">
                    <c:v>Венето (Півн. Схід)</c:v>
                  </c:pt>
                  <c:pt idx="5">
                    <c:v>Центр</c:v>
                  </c:pt>
                  <c:pt idx="6">
                    <c:v>Південь</c:v>
                  </c:pt>
                  <c:pt idx="7">
                    <c:v>Острови</c:v>
                  </c:pt>
                </c:lvl>
                <c:lvl>
                  <c:pt idx="1">
                    <c:v>Регіони країни</c:v>
                  </c:pt>
                </c:lvl>
              </c:multiLvlStrCache>
            </c:multiLvlStrRef>
          </c:cat>
          <c:val>
            <c:numRef>
              <c:f>Data4!$C$57:$C$64</c:f>
              <c:numCache>
                <c:formatCode>#,##0.00</c:formatCode>
                <c:ptCount val="8"/>
                <c:pt idx="0">
                  <c:v>16.8</c:v>
                </c:pt>
                <c:pt idx="1">
                  <c:v>20.100000000000001</c:v>
                </c:pt>
                <c:pt idx="2">
                  <c:v>20.6</c:v>
                </c:pt>
                <c:pt idx="3">
                  <c:v>19.3</c:v>
                </c:pt>
                <c:pt idx="4">
                  <c:v>18.2</c:v>
                </c:pt>
                <c:pt idx="5">
                  <c:v>17.399999999999999</c:v>
                </c:pt>
                <c:pt idx="6">
                  <c:v>12.5</c:v>
                </c:pt>
                <c:pt idx="7">
                  <c:v>12.7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A-108E-4AC7-9C89-68D43D097F0B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108783872"/>
        <c:axId val="108785664"/>
      </c:barChart>
      <c:catAx>
        <c:axId val="10878387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vert="horz"/>
          <a:lstStyle/>
          <a:p>
            <a:pPr>
              <a:defRPr/>
            </a:pPr>
            <a:endParaRPr lang="ru-RU"/>
          </a:p>
        </c:txPr>
        <c:crossAx val="108785664"/>
        <c:crosses val="autoZero"/>
        <c:auto val="1"/>
        <c:lblAlgn val="ctr"/>
        <c:lblOffset val="100"/>
        <c:noMultiLvlLbl val="0"/>
      </c:catAx>
      <c:valAx>
        <c:axId val="108785664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" sourceLinked="0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vert="horz"/>
          <a:lstStyle/>
          <a:p>
            <a:pPr>
              <a:defRPr/>
            </a:pPr>
            <a:endParaRPr lang="ru-RU"/>
          </a:p>
        </c:txPr>
        <c:crossAx val="108783872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ysClr val="window" lastClr="FFFFFF"/>
    </a:solidFill>
    <a:ln w="9525" cap="flat" cmpd="sng" algn="ctr">
      <a:noFill/>
      <a:round/>
    </a:ln>
    <a:effectLst/>
    <a:extLst>
      <a:ext uri="{91240B29-F687-4F45-9708-019B960494DF}">
        <a14:hiddenLine xmlns:a14="http://schemas.microsoft.com/office/drawing/2010/main" w="9525" cap="flat" cmpd="sng" algn="ctr">
          <a:solidFill>
            <a:sysClr val="windowText" lastClr="000000">
              <a:lumMod val="15000"/>
              <a:lumOff val="85000"/>
            </a:sysClr>
          </a:solidFill>
          <a:round/>
        </a14:hiddenLine>
      </a:ext>
    </a:extLst>
  </c:spPr>
  <c:txPr>
    <a:bodyPr/>
    <a:lstStyle/>
    <a:p>
      <a:pPr>
        <a:defRPr sz="1400" baseline="0">
          <a:solidFill>
            <a:sysClr val="windowText" lastClr="000000"/>
          </a:solidFill>
          <a:latin typeface="Times New Roman"/>
          <a:ea typeface="Times New Roman"/>
          <a:cs typeface="Times New Roman"/>
        </a:defRPr>
      </a:pPr>
      <a:endParaRPr lang="ru-RU"/>
    </a:p>
  </c:txPr>
  <c:externalData r:id="rId1">
    <c:autoUpdate val="0"/>
  </c:externalData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Tav_9!$N$39</c:f>
              <c:strCache>
                <c:ptCount val="1"/>
                <c:pt idx="0">
                  <c:v>2015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Pt>
            <c:idx val="0"/>
            <c:invertIfNegative val="0"/>
            <c:bubble3D val="0"/>
            <c:spPr>
              <a:solidFill>
                <a:srgbClr val="C00000"/>
              </a:solidFill>
              <a:ln>
                <a:noFill/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1-0D2C-4F92-BA74-B64E0F939298}"/>
              </c:ext>
            </c:extLst>
          </c:dPt>
          <c:dPt>
            <c:idx val="2"/>
            <c:invertIfNegative val="0"/>
            <c:bubble3D val="0"/>
            <c:spPr>
              <a:solidFill>
                <a:schemeClr val="accent1">
                  <a:lumMod val="75000"/>
                </a:schemeClr>
              </a:solidFill>
              <a:ln>
                <a:solidFill>
                  <a:schemeClr val="accent1">
                    <a:lumMod val="50000"/>
                  </a:schemeClr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3-0D2C-4F92-BA74-B64E0F939298}"/>
              </c:ext>
            </c:extLst>
          </c:dPt>
          <c:dPt>
            <c:idx val="4"/>
            <c:invertIfNegative val="0"/>
            <c:bubble3D val="0"/>
            <c:spPr>
              <a:solidFill>
                <a:schemeClr val="accent1">
                  <a:lumMod val="75000"/>
                </a:schemeClr>
              </a:solidFill>
              <a:ln>
                <a:solidFill>
                  <a:schemeClr val="accent1">
                    <a:lumMod val="50000"/>
                  </a:schemeClr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5-0D2C-4F92-BA74-B64E0F939298}"/>
              </c:ext>
            </c:extLst>
          </c:dPt>
          <c:dLbls>
            <c:spPr>
              <a:noFill/>
              <a:ln>
                <a:noFill/>
              </a:ln>
              <a:effectLst/>
            </c:spPr>
            <c:txPr>
              <a:bodyPr rot="0" vert="horz"/>
              <a:lstStyle/>
              <a:p>
                <a:pPr>
                  <a:defRPr/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multiLvlStrRef>
              <c:f>Tav_9!$L$40:$M$47</c:f>
              <c:multiLvlStrCache>
                <c:ptCount val="8"/>
                <c:lvl>
                  <c:pt idx="0">
                    <c:v>Італія</c:v>
                  </c:pt>
                  <c:pt idx="1">
                    <c:v>Північний Захід</c:v>
                  </c:pt>
                  <c:pt idx="2">
                    <c:v>Ломбардія (Півн. Захід)</c:v>
                  </c:pt>
                  <c:pt idx="3">
                    <c:v>Північний Схід</c:v>
                  </c:pt>
                  <c:pt idx="4">
                    <c:v>Венето (Півн. Схід)</c:v>
                  </c:pt>
                  <c:pt idx="5">
                    <c:v>Центр</c:v>
                  </c:pt>
                  <c:pt idx="6">
                    <c:v>Південь</c:v>
                  </c:pt>
                  <c:pt idx="7">
                    <c:v>Острови</c:v>
                  </c:pt>
                </c:lvl>
                <c:lvl>
                  <c:pt idx="1">
                    <c:v>Регіони</c:v>
                  </c:pt>
                </c:lvl>
              </c:multiLvlStrCache>
            </c:multiLvlStrRef>
          </c:cat>
          <c:val>
            <c:numRef>
              <c:f>Tav_9!$N$40:$N$47</c:f>
              <c:numCache>
                <c:formatCode>0.00</c:formatCode>
                <c:ptCount val="8"/>
                <c:pt idx="0">
                  <c:v>3.7327883792696421</c:v>
                </c:pt>
                <c:pt idx="1">
                  <c:v>1.968914304064965</c:v>
                </c:pt>
                <c:pt idx="2">
                  <c:v>1.5120469104857874</c:v>
                </c:pt>
                <c:pt idx="3">
                  <c:v>1.810991124725672</c:v>
                </c:pt>
                <c:pt idx="4">
                  <c:v>2.4658344623437669</c:v>
                </c:pt>
                <c:pt idx="5">
                  <c:v>2.3152170511847823</c:v>
                </c:pt>
                <c:pt idx="6">
                  <c:v>9.4108249361081402</c:v>
                </c:pt>
                <c:pt idx="7">
                  <c:v>2.9202494327505368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6-0D2C-4F92-BA74-B64E0F939298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109787392"/>
        <c:axId val="109801472"/>
      </c:barChart>
      <c:catAx>
        <c:axId val="10978739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vert="horz"/>
          <a:lstStyle/>
          <a:p>
            <a:pPr>
              <a:defRPr/>
            </a:pPr>
            <a:endParaRPr lang="ru-RU"/>
          </a:p>
        </c:txPr>
        <c:crossAx val="109801472"/>
        <c:crosses val="autoZero"/>
        <c:auto val="1"/>
        <c:lblAlgn val="ctr"/>
        <c:lblOffset val="100"/>
        <c:noMultiLvlLbl val="0"/>
      </c:catAx>
      <c:valAx>
        <c:axId val="109801472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" sourceLinked="0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vert="horz"/>
          <a:lstStyle/>
          <a:p>
            <a:pPr>
              <a:defRPr/>
            </a:pPr>
            <a:endParaRPr lang="ru-RU"/>
          </a:p>
        </c:txPr>
        <c:crossAx val="109787392"/>
        <c:crosses val="autoZero"/>
        <c:crossBetween val="between"/>
        <c:majorUnit val="2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ysClr val="window" lastClr="FFFFFF"/>
    </a:solidFill>
    <a:ln w="9525" cap="flat" cmpd="sng" algn="ctr">
      <a:noFill/>
      <a:round/>
    </a:ln>
    <a:effectLst/>
    <a:extLst>
      <a:ext uri="{91240B29-F687-4F45-9708-019B960494DF}">
        <a14:hiddenLine xmlns:a14="http://schemas.microsoft.com/office/drawing/2010/main" w="9525" cap="flat" cmpd="sng" algn="ctr">
          <a:solidFill>
            <a:sysClr val="windowText" lastClr="000000">
              <a:lumMod val="15000"/>
              <a:lumOff val="85000"/>
            </a:sysClr>
          </a:solidFill>
          <a:round/>
        </a14:hiddenLine>
      </a:ext>
    </a:extLst>
  </c:spPr>
  <c:txPr>
    <a:bodyPr/>
    <a:lstStyle/>
    <a:p>
      <a:pPr>
        <a:defRPr sz="1400" baseline="0">
          <a:solidFill>
            <a:sysClr val="windowText" lastClr="000000"/>
          </a:solidFill>
          <a:latin typeface="Times New Roman"/>
          <a:ea typeface="Times New Roman"/>
          <a:cs typeface="Times New Roman"/>
        </a:defRPr>
      </a:pPr>
      <a:endParaRPr lang="ru-RU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565</TotalTime>
  <Pages>14</Pages>
  <Words>3649</Words>
  <Characters>20804</Characters>
  <Application>Microsoft Office Word</Application>
  <DocSecurity>0</DocSecurity>
  <Lines>173</Lines>
  <Paragraphs>48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24405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Lena</dc:creator>
  <cp:lastModifiedBy>Lena</cp:lastModifiedBy>
  <cp:revision>34</cp:revision>
  <dcterms:created xsi:type="dcterms:W3CDTF">2018-04-03T05:15:00Z</dcterms:created>
  <dcterms:modified xsi:type="dcterms:W3CDTF">2018-04-05T07:00:00Z</dcterms:modified>
</cp:coreProperties>
</file>