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380B" w:rsidRDefault="00DC380B" w:rsidP="00823A80">
      <w:pPr>
        <w:shd w:val="clear" w:color="auto" w:fill="FFFFFF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  <w:bookmarkStart w:id="0" w:name="_GoBack"/>
      <w:bookmarkEnd w:id="0"/>
      <w:r w:rsidRPr="00CF0A9F">
        <w:rPr>
          <w:rFonts w:ascii="Times New Roman" w:hAnsi="Times New Roman"/>
          <w:b/>
          <w:color w:val="000000"/>
          <w:sz w:val="28"/>
          <w:szCs w:val="28"/>
          <w:lang w:eastAsia="uk-UA"/>
        </w:rPr>
        <w:t>МІСЦЕ СТРАХОВИХ АГЕНТІВ В РЕАЛІЗАЦІЇ СТРАХОВИХ ПОСЛУГ</w:t>
      </w:r>
    </w:p>
    <w:p w:rsidR="00DC380B" w:rsidRDefault="00DC380B" w:rsidP="00823A80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  <w:lang w:eastAsia="uk-UA"/>
        </w:rPr>
      </w:pPr>
    </w:p>
    <w:p w:rsidR="00DC380B" w:rsidRPr="00492A88" w:rsidRDefault="00DC380B" w:rsidP="00492A88">
      <w:pPr>
        <w:pStyle w:val="Heading1"/>
        <w:spacing w:before="0" w:beforeAutospacing="0" w:after="0" w:afterAutospacing="0" w:line="360" w:lineRule="auto"/>
        <w:ind w:firstLine="709"/>
        <w:jc w:val="right"/>
        <w:rPr>
          <w:b w:val="0"/>
          <w:caps/>
          <w:sz w:val="28"/>
          <w:szCs w:val="28"/>
        </w:rPr>
      </w:pPr>
      <w:r>
        <w:rPr>
          <w:b w:val="0"/>
          <w:caps/>
          <w:sz w:val="28"/>
          <w:szCs w:val="28"/>
        </w:rPr>
        <w:t>Н.А. Войціх, Л.А. Приступа</w:t>
      </w:r>
    </w:p>
    <w:p w:rsidR="00DC380B" w:rsidRDefault="00DC380B" w:rsidP="00206E32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0"/>
          <w:szCs w:val="20"/>
        </w:rPr>
        <w:t>Хмельницький національний університет</w:t>
      </w:r>
    </w:p>
    <w:p w:rsidR="00DC380B" w:rsidRDefault="00DC380B" w:rsidP="00206E32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</w:rPr>
      </w:pPr>
    </w:p>
    <w:p w:rsidR="00DC380B" w:rsidRDefault="00DC380B" w:rsidP="00206E32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482FAE">
        <w:rPr>
          <w:rFonts w:ascii="Times New Roman" w:hAnsi="Times New Roman"/>
          <w:i/>
          <w:sz w:val="24"/>
          <w:szCs w:val="24"/>
        </w:rPr>
        <w:t xml:space="preserve">У </w:t>
      </w:r>
      <w:r w:rsidRPr="00492A88">
        <w:rPr>
          <w:rFonts w:ascii="Times New Roman" w:hAnsi="Times New Roman"/>
          <w:i/>
          <w:sz w:val="24"/>
          <w:szCs w:val="24"/>
        </w:rPr>
        <w:t xml:space="preserve">статті </w:t>
      </w:r>
      <w:r>
        <w:rPr>
          <w:rFonts w:ascii="Times New Roman" w:hAnsi="Times New Roman"/>
          <w:i/>
          <w:sz w:val="24"/>
          <w:szCs w:val="24"/>
        </w:rPr>
        <w:t>розкрито</w:t>
      </w:r>
      <w:r w:rsidRPr="00492A88">
        <w:rPr>
          <w:rFonts w:ascii="Times New Roman" w:hAnsi="Times New Roman"/>
          <w:i/>
          <w:sz w:val="24"/>
          <w:szCs w:val="24"/>
        </w:rPr>
        <w:t xml:space="preserve"> понятт</w:t>
      </w:r>
      <w:r>
        <w:rPr>
          <w:rFonts w:ascii="Times New Roman" w:hAnsi="Times New Roman"/>
          <w:i/>
          <w:sz w:val="24"/>
          <w:szCs w:val="24"/>
        </w:rPr>
        <w:t xml:space="preserve">я страхового агента, досліджено </w:t>
      </w:r>
      <w:r w:rsidRPr="00492A88">
        <w:rPr>
          <w:rFonts w:ascii="Times New Roman" w:hAnsi="Times New Roman"/>
          <w:i/>
          <w:sz w:val="24"/>
          <w:szCs w:val="24"/>
        </w:rPr>
        <w:t>теорети</w:t>
      </w:r>
      <w:r>
        <w:rPr>
          <w:rFonts w:ascii="Times New Roman" w:hAnsi="Times New Roman"/>
          <w:i/>
          <w:sz w:val="24"/>
          <w:szCs w:val="24"/>
        </w:rPr>
        <w:t>ко-прикладні</w:t>
      </w:r>
      <w:r w:rsidRPr="00492A88">
        <w:rPr>
          <w:rFonts w:ascii="Times New Roman" w:hAnsi="Times New Roman"/>
          <w:i/>
          <w:sz w:val="24"/>
          <w:szCs w:val="24"/>
        </w:rPr>
        <w:t xml:space="preserve">  аспе</w:t>
      </w:r>
      <w:r>
        <w:rPr>
          <w:rFonts w:ascii="Times New Roman" w:hAnsi="Times New Roman"/>
          <w:i/>
          <w:sz w:val="24"/>
          <w:szCs w:val="24"/>
        </w:rPr>
        <w:t>кти</w:t>
      </w:r>
      <w:r w:rsidRPr="00492A88">
        <w:rPr>
          <w:rFonts w:ascii="Times New Roman" w:hAnsi="Times New Roman"/>
          <w:i/>
          <w:sz w:val="24"/>
          <w:szCs w:val="24"/>
        </w:rPr>
        <w:t xml:space="preserve"> їх діяльності на страховому ри</w:t>
      </w:r>
      <w:r>
        <w:rPr>
          <w:rFonts w:ascii="Times New Roman" w:hAnsi="Times New Roman"/>
          <w:i/>
          <w:sz w:val="24"/>
          <w:szCs w:val="24"/>
        </w:rPr>
        <w:t>нку, визначено місце страхових агентів в реалізації страхових послуг.</w:t>
      </w:r>
    </w:p>
    <w:p w:rsidR="00DC380B" w:rsidRDefault="00DC380B" w:rsidP="00823A8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C380B" w:rsidRPr="00603100" w:rsidRDefault="00DC380B" w:rsidP="00823A8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</w:t>
      </w:r>
      <w:r w:rsidRPr="00603100">
        <w:rPr>
          <w:rFonts w:ascii="Times New Roman" w:hAnsi="Times New Roman"/>
          <w:sz w:val="28"/>
          <w:szCs w:val="28"/>
        </w:rPr>
        <w:t xml:space="preserve">звиток </w:t>
      </w:r>
      <w:r>
        <w:rPr>
          <w:rFonts w:ascii="Times New Roman" w:hAnsi="Times New Roman"/>
          <w:sz w:val="28"/>
          <w:szCs w:val="28"/>
        </w:rPr>
        <w:t>вітчизняної ринкової економіки зумовлює необхідність удосконалення діяльності</w:t>
      </w:r>
      <w:r w:rsidRPr="00603100">
        <w:rPr>
          <w:rFonts w:ascii="Times New Roman" w:hAnsi="Times New Roman"/>
          <w:sz w:val="28"/>
          <w:szCs w:val="28"/>
        </w:rPr>
        <w:t xml:space="preserve"> основної ланки фінансового ринку країни - </w:t>
      </w:r>
      <w:r>
        <w:rPr>
          <w:rFonts w:ascii="Times New Roman" w:hAnsi="Times New Roman"/>
          <w:sz w:val="28"/>
          <w:szCs w:val="28"/>
        </w:rPr>
        <w:t>страхового ринку. Це сприятиме</w:t>
      </w:r>
      <w:r w:rsidRPr="00603100">
        <w:rPr>
          <w:rFonts w:ascii="Times New Roman" w:hAnsi="Times New Roman"/>
          <w:sz w:val="28"/>
          <w:szCs w:val="28"/>
        </w:rPr>
        <w:t xml:space="preserve"> підвищенню стійкості  фі</w:t>
      </w:r>
      <w:r>
        <w:rPr>
          <w:rFonts w:ascii="Times New Roman" w:hAnsi="Times New Roman"/>
          <w:sz w:val="28"/>
          <w:szCs w:val="28"/>
        </w:rPr>
        <w:t>нансової і економічної систем  та забезпечить</w:t>
      </w:r>
      <w:r w:rsidRPr="00603100">
        <w:rPr>
          <w:rFonts w:ascii="Times New Roman" w:hAnsi="Times New Roman"/>
          <w:sz w:val="28"/>
          <w:szCs w:val="28"/>
        </w:rPr>
        <w:t xml:space="preserve"> сталий розвиток </w:t>
      </w:r>
      <w:r>
        <w:rPr>
          <w:rFonts w:ascii="Times New Roman" w:hAnsi="Times New Roman"/>
          <w:sz w:val="28"/>
          <w:szCs w:val="28"/>
        </w:rPr>
        <w:t>країни. Але</w:t>
      </w:r>
      <w:r w:rsidRPr="00603100">
        <w:rPr>
          <w:rFonts w:ascii="Times New Roman" w:hAnsi="Times New Roman"/>
          <w:sz w:val="28"/>
          <w:szCs w:val="28"/>
        </w:rPr>
        <w:t xml:space="preserve"> слід </w:t>
      </w:r>
      <w:r>
        <w:rPr>
          <w:rFonts w:ascii="Times New Roman" w:hAnsi="Times New Roman"/>
          <w:sz w:val="28"/>
          <w:szCs w:val="28"/>
        </w:rPr>
        <w:t>відмітити</w:t>
      </w:r>
      <w:r w:rsidRPr="00603100">
        <w:rPr>
          <w:rFonts w:ascii="Times New Roman" w:hAnsi="Times New Roman"/>
          <w:sz w:val="28"/>
          <w:szCs w:val="28"/>
        </w:rPr>
        <w:t>, що страховий ринок не може ефективно розвиватися без наявності на</w:t>
      </w:r>
      <w:r>
        <w:rPr>
          <w:rFonts w:ascii="Times New Roman" w:hAnsi="Times New Roman"/>
          <w:sz w:val="28"/>
          <w:szCs w:val="28"/>
        </w:rPr>
        <w:t xml:space="preserve"> ньому страхових посередників, особливо  страхових агентів</w:t>
      </w:r>
      <w:r w:rsidRPr="00603100">
        <w:rPr>
          <w:rFonts w:ascii="Times New Roman" w:hAnsi="Times New Roman"/>
          <w:sz w:val="28"/>
          <w:szCs w:val="28"/>
        </w:rPr>
        <w:t xml:space="preserve">. </w:t>
      </w:r>
    </w:p>
    <w:p w:rsidR="00DC380B" w:rsidRPr="00603100" w:rsidRDefault="00DC380B" w:rsidP="00823A8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5362D">
        <w:rPr>
          <w:rFonts w:ascii="Times New Roman" w:hAnsi="Times New Roman"/>
          <w:b/>
          <w:sz w:val="28"/>
          <w:szCs w:val="28"/>
        </w:rPr>
        <w:t>Аналіз останніх досліджень</w:t>
      </w:r>
      <w:r>
        <w:rPr>
          <w:rFonts w:ascii="Times New Roman" w:hAnsi="Times New Roman"/>
          <w:b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Дослідженню</w:t>
      </w:r>
      <w:r w:rsidRPr="00603100">
        <w:rPr>
          <w:rFonts w:ascii="Times New Roman" w:hAnsi="Times New Roman"/>
          <w:sz w:val="28"/>
          <w:szCs w:val="28"/>
        </w:rPr>
        <w:t xml:space="preserve"> питань, що стосуються діяльності страхових агентів на страховому ринку  присвячені праці таких вітчизняних вчених, як В. І. Нечипоренко, </w:t>
      </w:r>
      <w:r>
        <w:rPr>
          <w:rFonts w:ascii="Times New Roman" w:hAnsi="Times New Roman"/>
          <w:sz w:val="28"/>
          <w:szCs w:val="28"/>
        </w:rPr>
        <w:t>В. Фурмана, І. Дяконової, Р. В. </w:t>
      </w:r>
      <w:r w:rsidRPr="00603100">
        <w:rPr>
          <w:rFonts w:ascii="Times New Roman" w:hAnsi="Times New Roman"/>
          <w:sz w:val="28"/>
          <w:szCs w:val="28"/>
        </w:rPr>
        <w:t>Пікуса,  С. Слєсарук, О.</w:t>
      </w:r>
      <w:r w:rsidRPr="00603100">
        <w:rPr>
          <w:rFonts w:ascii="Times New Roman" w:hAnsi="Times New Roman"/>
          <w:lang w:val="en-US"/>
        </w:rPr>
        <w:t> </w:t>
      </w:r>
      <w:r w:rsidRPr="00603100">
        <w:rPr>
          <w:rFonts w:ascii="Times New Roman" w:hAnsi="Times New Roman"/>
          <w:sz w:val="28"/>
          <w:szCs w:val="28"/>
        </w:rPr>
        <w:t>Шкарпової. Од</w:t>
      </w:r>
      <w:r>
        <w:rPr>
          <w:rFonts w:ascii="Times New Roman" w:hAnsi="Times New Roman"/>
          <w:sz w:val="28"/>
          <w:szCs w:val="28"/>
        </w:rPr>
        <w:t>нак,  існують  потреби у подальшо</w:t>
      </w:r>
      <w:r w:rsidRPr="00603100">
        <w:rPr>
          <w:rFonts w:ascii="Times New Roman" w:hAnsi="Times New Roman"/>
          <w:sz w:val="28"/>
          <w:szCs w:val="28"/>
        </w:rPr>
        <w:t xml:space="preserve">му дослідженні аспектів діяльності страхових агентів. </w:t>
      </w:r>
    </w:p>
    <w:p w:rsidR="00DC380B" w:rsidRDefault="00DC380B" w:rsidP="00823A8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Метою</w:t>
      </w:r>
      <w:r w:rsidRPr="00AB6B9F">
        <w:rPr>
          <w:rFonts w:ascii="Times New Roman" w:hAnsi="Times New Roman"/>
          <w:b/>
          <w:sz w:val="28"/>
          <w:szCs w:val="28"/>
        </w:rPr>
        <w:t xml:space="preserve"> статті</w:t>
      </w:r>
      <w:r w:rsidRPr="00603100">
        <w:rPr>
          <w:rFonts w:ascii="Times New Roman" w:hAnsi="Times New Roman"/>
          <w:sz w:val="28"/>
          <w:szCs w:val="28"/>
        </w:rPr>
        <w:t xml:space="preserve"> є розкриття поняття страхового агента, дослідження теорети</w:t>
      </w:r>
      <w:r>
        <w:rPr>
          <w:rFonts w:ascii="Times New Roman" w:hAnsi="Times New Roman"/>
          <w:sz w:val="28"/>
          <w:szCs w:val="28"/>
        </w:rPr>
        <w:t>чних і практичних  аспектів їх</w:t>
      </w:r>
      <w:r w:rsidRPr="00603100">
        <w:rPr>
          <w:rFonts w:ascii="Times New Roman" w:hAnsi="Times New Roman"/>
          <w:sz w:val="28"/>
          <w:szCs w:val="28"/>
        </w:rPr>
        <w:t xml:space="preserve"> діяльності на страховому ринку</w:t>
      </w:r>
      <w:r>
        <w:rPr>
          <w:rFonts w:ascii="Times New Roman" w:hAnsi="Times New Roman"/>
          <w:sz w:val="28"/>
          <w:szCs w:val="28"/>
        </w:rPr>
        <w:t>.</w:t>
      </w:r>
    </w:p>
    <w:p w:rsidR="00DC380B" w:rsidRPr="00AB6B9F" w:rsidRDefault="00DC380B" w:rsidP="00823A8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B6B9F">
        <w:rPr>
          <w:rFonts w:ascii="Times New Roman" w:hAnsi="Times New Roman"/>
          <w:b/>
          <w:sz w:val="28"/>
          <w:szCs w:val="28"/>
        </w:rPr>
        <w:t xml:space="preserve">Виклад основного матеріалу. </w:t>
      </w:r>
      <w:r w:rsidRPr="00AB6B9F">
        <w:rPr>
          <w:rFonts w:ascii="Times New Roman" w:hAnsi="Times New Roman"/>
          <w:sz w:val="28"/>
          <w:szCs w:val="28"/>
        </w:rPr>
        <w:t xml:space="preserve">На страховому ринку України посередники існують з моменту його </w:t>
      </w:r>
      <w:r>
        <w:rPr>
          <w:rFonts w:ascii="Times New Roman" w:hAnsi="Times New Roman"/>
          <w:sz w:val="28"/>
          <w:szCs w:val="28"/>
        </w:rPr>
        <w:t>виникнення</w:t>
      </w:r>
      <w:r w:rsidRPr="00AB6B9F">
        <w:rPr>
          <w:rFonts w:ascii="Times New Roman" w:hAnsi="Times New Roman"/>
          <w:sz w:val="28"/>
          <w:szCs w:val="28"/>
        </w:rPr>
        <w:t xml:space="preserve">. Вони були представлені лише однією категорією - страховими агентами. Тоді це були фізичні особи, що працювали на умовах трудової угоди чи контракту. </w:t>
      </w:r>
    </w:p>
    <w:p w:rsidR="00DC380B" w:rsidRPr="00603100" w:rsidRDefault="00DC380B" w:rsidP="00823A80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603100">
        <w:rPr>
          <w:sz w:val="28"/>
          <w:szCs w:val="28"/>
        </w:rPr>
        <w:t>У відповідності до статті 15 Закону України “Про страхування” [1]</w:t>
      </w:r>
      <w:r>
        <w:rPr>
          <w:sz w:val="28"/>
          <w:szCs w:val="28"/>
        </w:rPr>
        <w:t xml:space="preserve">: </w:t>
      </w:r>
      <w:r w:rsidRPr="001329AE">
        <w:rPr>
          <w:sz w:val="28"/>
          <w:szCs w:val="28"/>
        </w:rPr>
        <w:t>“</w:t>
      </w:r>
      <w:r w:rsidRPr="00603100">
        <w:rPr>
          <w:sz w:val="28"/>
          <w:szCs w:val="28"/>
        </w:rPr>
        <w:t>страхові агенти – фізичні особи або юридичні особи, які діють від  імені  та  за  дорученням страховика і виконують частину його страхової  діяльності,  а  саме:  укладають  договори страхування, одержують   страхові   платежі,  виконують  роботи,  пов'язані  із здійсненням  страхових  виплат та страхових відшкодувань</w:t>
      </w:r>
      <w:r w:rsidRPr="001329AE">
        <w:rPr>
          <w:sz w:val="28"/>
          <w:szCs w:val="28"/>
        </w:rPr>
        <w:t>”</w:t>
      </w:r>
      <w:r w:rsidRPr="00603100">
        <w:rPr>
          <w:sz w:val="28"/>
          <w:szCs w:val="28"/>
        </w:rPr>
        <w:t>. Страхові агенти  є  представниками  страховика  і діють в його інтересах за винагороду на підставі договору доручення із страховиком.</w:t>
      </w:r>
    </w:p>
    <w:p w:rsidR="00DC380B" w:rsidRPr="00603100" w:rsidRDefault="00DC380B" w:rsidP="00823A80">
      <w:pPr>
        <w:tabs>
          <w:tab w:val="left" w:pos="297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03100">
        <w:rPr>
          <w:rFonts w:ascii="Times New Roman" w:hAnsi="Times New Roman"/>
          <w:sz w:val="28"/>
          <w:szCs w:val="28"/>
        </w:rPr>
        <w:t>У різних країнах світу співвідношення між кількістю агентів та брокері</w:t>
      </w:r>
      <w:r>
        <w:rPr>
          <w:rFonts w:ascii="Times New Roman" w:hAnsi="Times New Roman"/>
          <w:sz w:val="28"/>
          <w:szCs w:val="28"/>
        </w:rPr>
        <w:t xml:space="preserve">в, що діють на страховому ринку різняться, й залежить від </w:t>
      </w:r>
      <w:r w:rsidRPr="00603100">
        <w:rPr>
          <w:rFonts w:ascii="Times New Roman" w:hAnsi="Times New Roman"/>
          <w:sz w:val="28"/>
          <w:szCs w:val="28"/>
        </w:rPr>
        <w:t xml:space="preserve"> історично розви</w:t>
      </w:r>
      <w:r>
        <w:rPr>
          <w:rFonts w:ascii="Times New Roman" w:hAnsi="Times New Roman"/>
          <w:sz w:val="28"/>
          <w:szCs w:val="28"/>
        </w:rPr>
        <w:t>тку страхового</w:t>
      </w:r>
      <w:r w:rsidRPr="00603100">
        <w:rPr>
          <w:rFonts w:ascii="Times New Roman" w:hAnsi="Times New Roman"/>
          <w:sz w:val="28"/>
          <w:szCs w:val="28"/>
        </w:rPr>
        <w:t xml:space="preserve"> ринк</w:t>
      </w:r>
      <w:r>
        <w:rPr>
          <w:rFonts w:ascii="Times New Roman" w:hAnsi="Times New Roman"/>
          <w:sz w:val="28"/>
          <w:szCs w:val="28"/>
        </w:rPr>
        <w:t>у</w:t>
      </w:r>
      <w:r w:rsidRPr="00603100">
        <w:rPr>
          <w:rFonts w:ascii="Times New Roman" w:hAnsi="Times New Roman"/>
          <w:sz w:val="28"/>
          <w:szCs w:val="28"/>
        </w:rPr>
        <w:t xml:space="preserve"> у </w:t>
      </w:r>
      <w:r>
        <w:rPr>
          <w:rFonts w:ascii="Times New Roman" w:hAnsi="Times New Roman"/>
          <w:sz w:val="28"/>
          <w:szCs w:val="28"/>
        </w:rPr>
        <w:t>тій чи іншій країні, особливостей</w:t>
      </w:r>
      <w:r w:rsidRPr="00603100">
        <w:rPr>
          <w:rFonts w:ascii="Times New Roman" w:hAnsi="Times New Roman"/>
          <w:sz w:val="28"/>
          <w:szCs w:val="28"/>
        </w:rPr>
        <w:t xml:space="preserve"> законодавчої системи, національн</w:t>
      </w:r>
      <w:r>
        <w:rPr>
          <w:rFonts w:ascii="Times New Roman" w:hAnsi="Times New Roman"/>
          <w:sz w:val="28"/>
          <w:szCs w:val="28"/>
        </w:rPr>
        <w:t>их традицій. На вітчизняному ринку переважають агенти.</w:t>
      </w:r>
    </w:p>
    <w:p w:rsidR="00DC380B" w:rsidRPr="00603100" w:rsidRDefault="00DC380B" w:rsidP="00823A8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03100">
        <w:rPr>
          <w:rFonts w:ascii="Times New Roman" w:hAnsi="Times New Roman"/>
          <w:sz w:val="28"/>
          <w:szCs w:val="28"/>
        </w:rPr>
        <w:t xml:space="preserve">Для продажу своїх послуг страховики використовують  дистрибуційні канали, які  поділяються на реалізацію страхових послуг  через власні канали продажів або ж  через аутсорсинг. </w:t>
      </w:r>
    </w:p>
    <w:p w:rsidR="00DC380B" w:rsidRPr="00603100" w:rsidRDefault="00DC380B" w:rsidP="00823A80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603100">
        <w:rPr>
          <w:sz w:val="28"/>
          <w:szCs w:val="28"/>
        </w:rPr>
        <w:t>Вже історично склалося так, що серед власних підрозділів продажів найперший канал – агентські мережі, які особливо розвинулись при продажі лайфових продуктів. Ризикові компанії лише з настанням кризи задумалися про створення власних агентських мереж. Прямі продажі можна організувати із створенням відповідного власного підрозділу у головному офісі, через директ-мейл, розсилку поштою або електронною поштою, дзвінками «холодними» і «гарячими» і, звичайно, з використанням Інтернету. Зокрема, на Інтернет-продажі, як найсучасніший метод, на майбутнє покладаються великі надії.</w:t>
      </w:r>
    </w:p>
    <w:p w:rsidR="00DC380B" w:rsidRPr="00603100" w:rsidRDefault="00DC380B" w:rsidP="00823A80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603100">
        <w:rPr>
          <w:sz w:val="28"/>
          <w:szCs w:val="28"/>
        </w:rPr>
        <w:t xml:space="preserve">Аутсорсинг може бути організований через брокерські і агентські компанії, де агентами виступають юридичні особи: туристичні агентства, автосалони, посольства, банки та ін. </w:t>
      </w:r>
    </w:p>
    <w:p w:rsidR="00DC380B" w:rsidRPr="00603100" w:rsidRDefault="00DC380B" w:rsidP="00823A8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603100">
        <w:rPr>
          <w:rFonts w:ascii="Times New Roman" w:hAnsi="Times New Roman"/>
          <w:sz w:val="28"/>
          <w:szCs w:val="28"/>
        </w:rPr>
        <w:t xml:space="preserve">Розглянемо </w:t>
      </w:r>
      <w:r w:rsidRPr="00603100">
        <w:rPr>
          <w:rFonts w:ascii="Times New Roman" w:hAnsi="Times New Roman"/>
          <w:sz w:val="28"/>
          <w:szCs w:val="28"/>
          <w:lang w:eastAsia="uk-UA"/>
        </w:rPr>
        <w:t>структуру каналів реалізації страхових продуктів щодовласних каналів і аутсорсингу (табл. 1.1)</w:t>
      </w:r>
      <w:r w:rsidRPr="00AC302F">
        <w:rPr>
          <w:rFonts w:ascii="Times New Roman" w:hAnsi="Times New Roman"/>
          <w:sz w:val="28"/>
          <w:szCs w:val="28"/>
          <w:lang w:val="ru-RU" w:eastAsia="uk-UA"/>
        </w:rPr>
        <w:t xml:space="preserve"> [</w:t>
      </w:r>
      <w:r w:rsidRPr="00897805">
        <w:rPr>
          <w:rFonts w:ascii="Times New Roman" w:hAnsi="Times New Roman"/>
          <w:sz w:val="28"/>
          <w:szCs w:val="28"/>
          <w:lang w:val="ru-RU" w:eastAsia="uk-UA"/>
        </w:rPr>
        <w:t>3</w:t>
      </w:r>
      <w:r w:rsidRPr="00AC302F">
        <w:rPr>
          <w:rFonts w:ascii="Times New Roman" w:hAnsi="Times New Roman"/>
          <w:sz w:val="28"/>
          <w:szCs w:val="28"/>
          <w:lang w:val="ru-RU" w:eastAsia="uk-UA"/>
        </w:rPr>
        <w:t>]</w:t>
      </w:r>
      <w:r w:rsidRPr="00603100">
        <w:rPr>
          <w:rFonts w:ascii="Times New Roman" w:hAnsi="Times New Roman"/>
          <w:sz w:val="28"/>
          <w:szCs w:val="28"/>
          <w:lang w:eastAsia="uk-UA"/>
        </w:rPr>
        <w:t>.</w:t>
      </w:r>
    </w:p>
    <w:p w:rsidR="00DC380B" w:rsidRDefault="00DC380B" w:rsidP="00823A8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DC380B" w:rsidRPr="00603100" w:rsidRDefault="00DC380B" w:rsidP="00823A8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603100">
        <w:rPr>
          <w:rFonts w:ascii="Times New Roman" w:hAnsi="Times New Roman"/>
          <w:sz w:val="28"/>
          <w:szCs w:val="28"/>
          <w:shd w:val="clear" w:color="auto" w:fill="FFFFFF"/>
        </w:rPr>
        <w:t>Таблиця 1.1 – С</w:t>
      </w:r>
      <w:r w:rsidRPr="00603100">
        <w:rPr>
          <w:rFonts w:ascii="Times New Roman" w:hAnsi="Times New Roman"/>
          <w:sz w:val="28"/>
          <w:szCs w:val="28"/>
          <w:lang w:eastAsia="uk-UA"/>
        </w:rPr>
        <w:t>труктура каналів реалізації страхових продуктів щодовласних каналів і аутсорсингу за 9 місяців 2012 року</w:t>
      </w:r>
    </w:p>
    <w:tbl>
      <w:tblPr>
        <w:tblW w:w="9488" w:type="dxa"/>
        <w:jc w:val="center"/>
        <w:tblInd w:w="-115" w:type="dxa"/>
        <w:tblLook w:val="00A0"/>
      </w:tblPr>
      <w:tblGrid>
        <w:gridCol w:w="3328"/>
        <w:gridCol w:w="1121"/>
        <w:gridCol w:w="1915"/>
        <w:gridCol w:w="1272"/>
        <w:gridCol w:w="1852"/>
      </w:tblGrid>
      <w:tr w:rsidR="00DC380B" w:rsidRPr="00630499" w:rsidTr="00395B36">
        <w:trPr>
          <w:trHeight w:val="20"/>
          <w:jc w:val="center"/>
        </w:trPr>
        <w:tc>
          <w:tcPr>
            <w:tcW w:w="33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Показник</w:t>
            </w:r>
          </w:p>
        </w:tc>
        <w:tc>
          <w:tcPr>
            <w:tcW w:w="30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Страхування життя</w:t>
            </w:r>
          </w:p>
        </w:tc>
        <w:tc>
          <w:tcPr>
            <w:tcW w:w="31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Ризикове страхування</w:t>
            </w:r>
          </w:p>
        </w:tc>
      </w:tr>
      <w:tr w:rsidR="00DC380B" w:rsidRPr="00630499" w:rsidTr="00395B36">
        <w:trPr>
          <w:trHeight w:val="20"/>
          <w:jc w:val="center"/>
        </w:trPr>
        <w:tc>
          <w:tcPr>
            <w:tcW w:w="33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млн. грн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питома вага, %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млн. грн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питома вага, %</w:t>
            </w:r>
          </w:p>
        </w:tc>
      </w:tr>
      <w:tr w:rsidR="00DC380B" w:rsidRPr="00630499" w:rsidTr="00395B36">
        <w:trPr>
          <w:trHeight w:val="20"/>
          <w:jc w:val="center"/>
        </w:trPr>
        <w:tc>
          <w:tcPr>
            <w:tcW w:w="33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Власні канали продажу, у т. ч.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140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11,00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2600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30,23</w:t>
            </w:r>
          </w:p>
        </w:tc>
      </w:tr>
      <w:tr w:rsidR="00DC380B" w:rsidRPr="00630499" w:rsidTr="00395B36">
        <w:trPr>
          <w:trHeight w:val="20"/>
          <w:jc w:val="center"/>
        </w:trPr>
        <w:tc>
          <w:tcPr>
            <w:tcW w:w="33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центральні офіси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99,4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7,81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910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10,58</w:t>
            </w:r>
          </w:p>
        </w:tc>
      </w:tr>
      <w:tr w:rsidR="00DC380B" w:rsidRPr="00630499" w:rsidTr="00395B36">
        <w:trPr>
          <w:trHeight w:val="20"/>
          <w:jc w:val="center"/>
        </w:trPr>
        <w:tc>
          <w:tcPr>
            <w:tcW w:w="33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регіональні мережі і агенти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40,6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3,19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1690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19,65</w:t>
            </w:r>
          </w:p>
        </w:tc>
      </w:tr>
      <w:tr w:rsidR="00DC380B" w:rsidRPr="00630499" w:rsidTr="00395B36">
        <w:trPr>
          <w:trHeight w:val="20"/>
          <w:jc w:val="center"/>
        </w:trPr>
        <w:tc>
          <w:tcPr>
            <w:tcW w:w="33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Аутсорсинг, у т. ч.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1133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89,00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6000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69,77</w:t>
            </w:r>
          </w:p>
        </w:tc>
      </w:tr>
      <w:tr w:rsidR="00DC380B" w:rsidRPr="00630499" w:rsidTr="00395B36">
        <w:trPr>
          <w:trHeight w:val="20"/>
          <w:jc w:val="center"/>
        </w:trPr>
        <w:tc>
          <w:tcPr>
            <w:tcW w:w="33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банки та інші кредитні установи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577,83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45,39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3300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38,37</w:t>
            </w:r>
          </w:p>
        </w:tc>
      </w:tr>
      <w:tr w:rsidR="00DC380B" w:rsidRPr="00630499" w:rsidTr="00395B36">
        <w:trPr>
          <w:trHeight w:val="20"/>
          <w:jc w:val="center"/>
        </w:trPr>
        <w:tc>
          <w:tcPr>
            <w:tcW w:w="33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Мультіагенти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543,84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42,72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420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4,88</w:t>
            </w:r>
          </w:p>
        </w:tc>
      </w:tr>
      <w:tr w:rsidR="00DC380B" w:rsidRPr="00630499" w:rsidTr="00395B36">
        <w:trPr>
          <w:trHeight w:val="20"/>
          <w:jc w:val="center"/>
        </w:trPr>
        <w:tc>
          <w:tcPr>
            <w:tcW w:w="33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страхові брокери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120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1,40</w:t>
            </w:r>
          </w:p>
        </w:tc>
      </w:tr>
      <w:tr w:rsidR="00DC380B" w:rsidRPr="00630499" w:rsidTr="00395B36">
        <w:trPr>
          <w:trHeight w:val="20"/>
          <w:jc w:val="center"/>
        </w:trPr>
        <w:tc>
          <w:tcPr>
            <w:tcW w:w="33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не фінансові посередники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11,33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0,89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2160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25,12</w:t>
            </w:r>
          </w:p>
        </w:tc>
      </w:tr>
      <w:tr w:rsidR="00DC380B" w:rsidRPr="00630499" w:rsidTr="00395B36">
        <w:trPr>
          <w:trHeight w:val="20"/>
          <w:jc w:val="center"/>
        </w:trPr>
        <w:tc>
          <w:tcPr>
            <w:tcW w:w="33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Всього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1273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100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8600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380B" w:rsidRPr="00DF60B4" w:rsidRDefault="00DC380B" w:rsidP="00823A80">
            <w:pPr>
              <w:spacing w:after="0" w:line="240" w:lineRule="auto"/>
              <w:ind w:hanging="40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DF60B4">
              <w:rPr>
                <w:rFonts w:ascii="Times New Roman" w:hAnsi="Times New Roman"/>
                <w:sz w:val="24"/>
                <w:szCs w:val="24"/>
                <w:lang w:eastAsia="uk-UA"/>
              </w:rPr>
              <w:t>100</w:t>
            </w:r>
          </w:p>
        </w:tc>
      </w:tr>
    </w:tbl>
    <w:p w:rsidR="00DC380B" w:rsidRDefault="00DC380B" w:rsidP="00823A8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C380B" w:rsidRPr="00603100" w:rsidRDefault="00DC380B" w:rsidP="00823A8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03100">
        <w:rPr>
          <w:rFonts w:ascii="Times New Roman" w:hAnsi="Times New Roman"/>
          <w:sz w:val="28"/>
          <w:szCs w:val="28"/>
        </w:rPr>
        <w:t xml:space="preserve">Як бачимо, власні канали продажу за 9 місяців 2012 року забезпечили вітчизняним страховикам, що займаються ризиковим страхуванням страхових платежів в обсязі </w:t>
      </w:r>
      <w:r w:rsidRPr="00603100">
        <w:rPr>
          <w:rFonts w:ascii="Times New Roman" w:hAnsi="Times New Roman"/>
          <w:bCs/>
          <w:sz w:val="28"/>
          <w:szCs w:val="28"/>
        </w:rPr>
        <w:t>2600 млн.</w:t>
      </w:r>
      <w:r w:rsidRPr="00603100">
        <w:rPr>
          <w:rFonts w:ascii="Times New Roman" w:hAnsi="Times New Roman"/>
          <w:sz w:val="28"/>
          <w:szCs w:val="28"/>
        </w:rPr>
        <w:t xml:space="preserve"> грн., що становить 30,23 % від суми премій, які надійшли на їх рахунок. В той час як частка платежів, зібрана лайф</w:t>
      </w:r>
      <w:r>
        <w:rPr>
          <w:rFonts w:ascii="Times New Roman" w:hAnsi="Times New Roman"/>
          <w:sz w:val="28"/>
          <w:szCs w:val="28"/>
        </w:rPr>
        <w:t>овими страховиками за рахунок вл</w:t>
      </w:r>
      <w:r w:rsidRPr="00603100">
        <w:rPr>
          <w:rFonts w:ascii="Times New Roman" w:hAnsi="Times New Roman"/>
          <w:sz w:val="28"/>
          <w:szCs w:val="28"/>
        </w:rPr>
        <w:t>асних каналів, становить лише 11 %. Тобто СК «</w:t>
      </w:r>
      <w:r w:rsidRPr="00603100">
        <w:rPr>
          <w:rFonts w:ascii="Times New Roman" w:hAnsi="Times New Roman"/>
          <w:sz w:val="28"/>
          <w:szCs w:val="28"/>
          <w:lang w:val="en-US"/>
        </w:rPr>
        <w:t>life</w:t>
      </w:r>
      <w:r w:rsidRPr="00603100">
        <w:rPr>
          <w:rFonts w:ascii="Times New Roman" w:hAnsi="Times New Roman"/>
          <w:sz w:val="28"/>
          <w:szCs w:val="28"/>
        </w:rPr>
        <w:t>» користуються більше послугами зовнішніх працівників ніж СК «</w:t>
      </w:r>
      <w:r w:rsidRPr="00603100">
        <w:rPr>
          <w:rFonts w:ascii="Times New Roman" w:hAnsi="Times New Roman"/>
          <w:sz w:val="28"/>
          <w:szCs w:val="28"/>
          <w:lang w:val="en-US"/>
        </w:rPr>
        <w:t>non</w:t>
      </w:r>
      <w:r w:rsidRPr="00603100">
        <w:rPr>
          <w:rFonts w:ascii="Times New Roman" w:hAnsi="Times New Roman"/>
          <w:sz w:val="28"/>
          <w:szCs w:val="28"/>
        </w:rPr>
        <w:t>-</w:t>
      </w:r>
      <w:r w:rsidRPr="00603100">
        <w:rPr>
          <w:rFonts w:ascii="Times New Roman" w:hAnsi="Times New Roman"/>
          <w:sz w:val="28"/>
          <w:szCs w:val="28"/>
          <w:lang w:val="en-US"/>
        </w:rPr>
        <w:t>life</w:t>
      </w:r>
      <w:r w:rsidRPr="00603100">
        <w:rPr>
          <w:rFonts w:ascii="Times New Roman" w:hAnsi="Times New Roman"/>
          <w:sz w:val="28"/>
          <w:szCs w:val="28"/>
        </w:rPr>
        <w:t>».  Найбільші частки платежів компанії із страхування життя отримали за рахунок  банків та інших кредитних установ – 45,39 % або 577,83 млн. грн, та  мультіагентів  - 42,72 % (543,84 млн. грн). А страхові компанії, що займаються ризиковим страхуванням  свої платежі отримали в основному за рахунок  банків та інших кредитних установ – 3</w:t>
      </w:r>
      <w:r>
        <w:rPr>
          <w:rFonts w:ascii="Times New Roman" w:hAnsi="Times New Roman"/>
          <w:sz w:val="28"/>
          <w:szCs w:val="28"/>
        </w:rPr>
        <w:t>8,37 % або 3300 млн. грн, та не</w:t>
      </w:r>
      <w:r w:rsidRPr="00603100">
        <w:rPr>
          <w:rFonts w:ascii="Times New Roman" w:hAnsi="Times New Roman"/>
          <w:sz w:val="28"/>
          <w:szCs w:val="28"/>
        </w:rPr>
        <w:t>фінансових посередників – 25,12 % (2160 млн. грн).</w:t>
      </w:r>
    </w:p>
    <w:p w:rsidR="00DC380B" w:rsidRPr="00603100" w:rsidRDefault="00DC380B" w:rsidP="00823A80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603100">
        <w:rPr>
          <w:sz w:val="28"/>
          <w:szCs w:val="28"/>
        </w:rPr>
        <w:t xml:space="preserve">Але в цілому непрямі продажі переважають, що є позитивним явищем. Хоча прямий продаж, що здійснюється працівниками страхових компаній, характеризується значним кількісним обсягом, але це не відображає  ефективність усіх продаж, бо мають місце дії посередників з різних сфер діяльності, які працюють для страхових компаній. </w:t>
      </w:r>
    </w:p>
    <w:p w:rsidR="00DC380B" w:rsidRDefault="00DC380B" w:rsidP="001329AE">
      <w:pPr>
        <w:pStyle w:val="NormalWeb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603100">
        <w:rPr>
          <w:sz w:val="28"/>
          <w:szCs w:val="28"/>
        </w:rPr>
        <w:t xml:space="preserve">Страхові агенти економічно важливі, так як безпосередньо впливають на страховий бізнес, особливо, коли це стосується страхування життя.На європейському страховому ринку </w:t>
      </w:r>
      <w:r>
        <w:rPr>
          <w:sz w:val="28"/>
          <w:szCs w:val="28"/>
        </w:rPr>
        <w:t>рівень розвит</w:t>
      </w:r>
      <w:r w:rsidRPr="00603100">
        <w:rPr>
          <w:sz w:val="28"/>
          <w:szCs w:val="28"/>
        </w:rPr>
        <w:t>к</w:t>
      </w:r>
      <w:r>
        <w:rPr>
          <w:sz w:val="28"/>
          <w:szCs w:val="28"/>
        </w:rPr>
        <w:t>у</w:t>
      </w:r>
      <w:r w:rsidRPr="00603100">
        <w:rPr>
          <w:sz w:val="28"/>
          <w:szCs w:val="28"/>
        </w:rPr>
        <w:t xml:space="preserve"> страхового посередництва значно вищий, ніж на українському, а продажі за допомогою</w:t>
      </w:r>
      <w:r>
        <w:rPr>
          <w:sz w:val="28"/>
          <w:szCs w:val="28"/>
        </w:rPr>
        <w:t xml:space="preserve"> страхових агентів  широко прак</w:t>
      </w:r>
      <w:r w:rsidRPr="00603100">
        <w:rPr>
          <w:sz w:val="28"/>
          <w:szCs w:val="28"/>
        </w:rPr>
        <w:t>тикуютьсяв багатьох країнах. Розглянемо детальніше структуру каналів дистрибюції продуктів компаній із страхування життя</w:t>
      </w:r>
      <w:r>
        <w:rPr>
          <w:sz w:val="28"/>
          <w:szCs w:val="28"/>
        </w:rPr>
        <w:t xml:space="preserve">, відображену </w:t>
      </w:r>
      <w:r w:rsidRPr="00603100">
        <w:rPr>
          <w:sz w:val="28"/>
          <w:szCs w:val="28"/>
        </w:rPr>
        <w:t xml:space="preserve"> на рисунку 1.1</w:t>
      </w:r>
      <w:r w:rsidRPr="00897805">
        <w:rPr>
          <w:sz w:val="28"/>
          <w:szCs w:val="28"/>
          <w:lang w:val="ru-RU"/>
        </w:rPr>
        <w:t xml:space="preserve"> [2]</w:t>
      </w:r>
      <w:r w:rsidRPr="00603100">
        <w:rPr>
          <w:sz w:val="28"/>
          <w:szCs w:val="28"/>
        </w:rPr>
        <w:t>.</w:t>
      </w:r>
    </w:p>
    <w:p w:rsidR="00DC380B" w:rsidRDefault="00DC380B" w:rsidP="00823A80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603100">
        <w:rPr>
          <w:sz w:val="28"/>
          <w:szCs w:val="28"/>
        </w:rPr>
        <w:t>Як видно з рисунка</w:t>
      </w:r>
      <w:r>
        <w:rPr>
          <w:sz w:val="28"/>
          <w:szCs w:val="28"/>
        </w:rPr>
        <w:t xml:space="preserve"> 1.1</w:t>
      </w:r>
      <w:r w:rsidRPr="00603100">
        <w:rPr>
          <w:sz w:val="28"/>
          <w:szCs w:val="28"/>
        </w:rPr>
        <w:t xml:space="preserve"> посередники є головним каналом продажу страхових послуг в Німеччині, Нідерландах, атакож у деяких центральних і східних державах.З двох традиційних посередників - агентів і брокерів - агенти зберегли своє панівне становище в розподілі продуктів страхування життя в більшості країн.</w:t>
      </w:r>
    </w:p>
    <w:p w:rsidR="00DC380B" w:rsidRPr="00603100" w:rsidRDefault="00DC380B" w:rsidP="00823A80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</w:p>
    <w:p w:rsidR="00DC380B" w:rsidRPr="00603100" w:rsidRDefault="00DC380B" w:rsidP="00A54F9A">
      <w:pPr>
        <w:shd w:val="clear" w:color="auto" w:fill="FFFFFF"/>
        <w:spacing w:after="0"/>
        <w:jc w:val="center"/>
        <w:rPr>
          <w:rFonts w:ascii="Times New Roman" w:hAnsi="Times New Roman"/>
          <w:sz w:val="28"/>
          <w:szCs w:val="28"/>
        </w:rPr>
      </w:pPr>
      <w:r w:rsidRPr="00630499">
        <w:rPr>
          <w:rFonts w:ascii="Times New Roman" w:hAnsi="Times New Roman"/>
          <w:noProof/>
          <w:lang w:val="ru-RU"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2" o:spid="_x0000_i1025" type="#_x0000_t75" style="width:422.25pt;height:216.75pt;visibility:visible">
            <v:imagedata r:id="rId7" o:title="" croptop="13120f" cropbottom="11178f" cropleft="24688f" cropright="2419f"/>
          </v:shape>
        </w:pict>
      </w:r>
      <w:r w:rsidRPr="00630499">
        <w:rPr>
          <w:rFonts w:ascii="Times New Roman" w:hAnsi="Times New Roman"/>
          <w:noProof/>
          <w:lang w:val="ru-RU" w:eastAsia="ru-RU"/>
        </w:rPr>
        <w:pict>
          <v:shape id="Picture 24" o:spid="_x0000_i1026" type="#_x0000_t75" style="width:315.75pt;height:13.5pt;visibility:visible">
            <v:imagedata r:id="rId8" o:title="" croptop="26031f" cropbottom="35569f" cropleft="5788f" cropright="23137f"/>
          </v:shape>
        </w:pict>
      </w:r>
    </w:p>
    <w:p w:rsidR="00DC380B" w:rsidRPr="00603100" w:rsidRDefault="00DC380B" w:rsidP="00823A80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center"/>
        <w:textAlignment w:val="baseline"/>
        <w:rPr>
          <w:sz w:val="28"/>
          <w:szCs w:val="28"/>
        </w:rPr>
      </w:pPr>
      <w:r w:rsidRPr="00603100">
        <w:rPr>
          <w:sz w:val="28"/>
          <w:szCs w:val="28"/>
        </w:rPr>
        <w:t>Рисунок 1.1 – Європейський ринок страхування життя: канали дистрибюції</w:t>
      </w:r>
      <w:r>
        <w:rPr>
          <w:sz w:val="28"/>
          <w:szCs w:val="28"/>
        </w:rPr>
        <w:t xml:space="preserve"> у 2010 році</w:t>
      </w:r>
    </w:p>
    <w:p w:rsidR="00DC380B" w:rsidRPr="00603100" w:rsidRDefault="00DC380B" w:rsidP="00823A80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</w:p>
    <w:p w:rsidR="00DC380B" w:rsidRPr="00603100" w:rsidRDefault="00DC380B" w:rsidP="00823A80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603100">
        <w:rPr>
          <w:sz w:val="28"/>
          <w:szCs w:val="28"/>
        </w:rPr>
        <w:t>Агенти особливо широко поширені в Словаччині, Словенії, Болгарії та Румунії, з часткою ринку від 55% до 60% в 2010 році. Протягом  2009-2010 років в деяких країнах спостерігалося деяке зниження частки ринку агентів. Найбільшою зміною відзначилася Великоб</w:t>
      </w:r>
      <w:r>
        <w:rPr>
          <w:sz w:val="28"/>
          <w:szCs w:val="28"/>
        </w:rPr>
        <w:t>ританія, де агенти втратили 10%</w:t>
      </w:r>
      <w:r w:rsidRPr="00603100">
        <w:rPr>
          <w:sz w:val="28"/>
          <w:szCs w:val="28"/>
        </w:rPr>
        <w:t xml:space="preserve"> частки ринку, знизившись до 14%, в основному на користь брокерів. Румунія і Люксембург були єдиними країнами, які зазнали зростання частки ринку страхових агентів до  55% і 47%, відповідно. Брокери  домінують на ринку страхування життя у Великобританії (78%), Ірландії (48%) і Нідерландах, а також поширені в Бельгії зі стабільними 33% частки ринку в 2010 році.  В інших країнах протягом року ніяких істотних змін не було помічено.</w:t>
      </w:r>
    </w:p>
    <w:p w:rsidR="00DC380B" w:rsidRPr="00603100" w:rsidRDefault="00DC380B" w:rsidP="00823A80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603100">
        <w:rPr>
          <w:sz w:val="28"/>
          <w:szCs w:val="28"/>
        </w:rPr>
        <w:t>Що стосується банківського каналу, то за його допомогою відбулося зростання  надходжень в результаті страхування у більшості досліджених країн. Найвищий показник зростання зареєстрований у Туреччині (з 56% частки на ринку до 70%). Серед ринків, які пережили скорочення реалізації через банківський канал в 2010 році, можна назвати  Австрію, де ринкова частка скоротилася більш як на  2%, і Румунію, в якій відбулося значне  падіння з 30% в 2009 році до 14% в 2010 році, в основному на користь посередників. У Східній Європі, банківське страхування, як правило, менш поширене.</w:t>
      </w:r>
    </w:p>
    <w:p w:rsidR="00DC380B" w:rsidRPr="00603100" w:rsidRDefault="00DC380B" w:rsidP="00FA0A62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603100">
        <w:rPr>
          <w:sz w:val="28"/>
          <w:szCs w:val="28"/>
        </w:rPr>
        <w:t>Прямі продажі переважають над іншими каналами розподілу лише в Хо</w:t>
      </w:r>
      <w:r>
        <w:rPr>
          <w:sz w:val="28"/>
          <w:szCs w:val="28"/>
        </w:rPr>
        <w:t>рватії, де на його частку припа</w:t>
      </w:r>
      <w:r w:rsidRPr="00603100">
        <w:rPr>
          <w:sz w:val="28"/>
          <w:szCs w:val="28"/>
        </w:rPr>
        <w:t>ло 39% пре</w:t>
      </w:r>
      <w:r>
        <w:rPr>
          <w:sz w:val="28"/>
          <w:szCs w:val="28"/>
        </w:rPr>
        <w:t>мій зі страхування життя в 2010 </w:t>
      </w:r>
      <w:r w:rsidRPr="00603100">
        <w:rPr>
          <w:sz w:val="28"/>
          <w:szCs w:val="28"/>
        </w:rPr>
        <w:t>році. Даний вид пр</w:t>
      </w:r>
      <w:r>
        <w:rPr>
          <w:sz w:val="28"/>
          <w:szCs w:val="28"/>
          <w:lang w:val="ru-RU"/>
        </w:rPr>
        <w:t>о</w:t>
      </w:r>
      <w:r w:rsidRPr="00603100">
        <w:rPr>
          <w:sz w:val="28"/>
          <w:szCs w:val="28"/>
        </w:rPr>
        <w:t>дажу також досить широко поширений в Ірландії (42%), Словаччині (36%) і Нідерландах (29%)</w:t>
      </w:r>
      <w:r w:rsidRPr="007C4A38">
        <w:rPr>
          <w:sz w:val="28"/>
          <w:szCs w:val="28"/>
        </w:rPr>
        <w:t xml:space="preserve"> [2]</w:t>
      </w:r>
      <w:r w:rsidRPr="00603100">
        <w:rPr>
          <w:sz w:val="28"/>
          <w:szCs w:val="28"/>
        </w:rPr>
        <w:t>.</w:t>
      </w:r>
    </w:p>
    <w:p w:rsidR="00DC380B" w:rsidRPr="00603100" w:rsidRDefault="00DC380B" w:rsidP="00823A80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603100">
        <w:rPr>
          <w:sz w:val="28"/>
          <w:szCs w:val="28"/>
        </w:rPr>
        <w:t>На відміну від страхування життя, розподіл каналів реалізації СК «</w:t>
      </w:r>
      <w:r w:rsidRPr="00603100">
        <w:rPr>
          <w:sz w:val="28"/>
          <w:szCs w:val="28"/>
          <w:lang w:val="en-US"/>
        </w:rPr>
        <w:t>non</w:t>
      </w:r>
      <w:r w:rsidRPr="00603100">
        <w:rPr>
          <w:sz w:val="28"/>
          <w:szCs w:val="28"/>
        </w:rPr>
        <w:t>-</w:t>
      </w:r>
      <w:r w:rsidRPr="00603100">
        <w:rPr>
          <w:sz w:val="28"/>
          <w:szCs w:val="28"/>
          <w:lang w:val="en-US"/>
        </w:rPr>
        <w:t>l</w:t>
      </w:r>
      <w:r w:rsidRPr="00603100">
        <w:rPr>
          <w:sz w:val="28"/>
          <w:szCs w:val="28"/>
        </w:rPr>
        <w:t>і</w:t>
      </w:r>
      <w:r w:rsidRPr="00603100">
        <w:rPr>
          <w:sz w:val="28"/>
          <w:szCs w:val="28"/>
          <w:lang w:val="en-US"/>
        </w:rPr>
        <w:t>fe</w:t>
      </w:r>
      <w:r>
        <w:rPr>
          <w:sz w:val="28"/>
          <w:szCs w:val="28"/>
        </w:rPr>
        <w:t>» не сильно змінивс</w:t>
      </w:r>
      <w:r w:rsidRPr="00603100">
        <w:rPr>
          <w:sz w:val="28"/>
          <w:szCs w:val="28"/>
        </w:rPr>
        <w:t>я в 2010 р</w:t>
      </w:r>
      <w:r>
        <w:rPr>
          <w:sz w:val="28"/>
          <w:szCs w:val="28"/>
        </w:rPr>
        <w:t>.</w:t>
      </w:r>
      <w:r w:rsidRPr="00603100">
        <w:rPr>
          <w:sz w:val="28"/>
          <w:szCs w:val="28"/>
        </w:rPr>
        <w:t xml:space="preserve"> порівняно з 2009</w:t>
      </w:r>
      <w:r>
        <w:rPr>
          <w:sz w:val="28"/>
          <w:szCs w:val="28"/>
        </w:rPr>
        <w:t xml:space="preserve"> р.</w:t>
      </w:r>
      <w:r w:rsidRPr="00603100">
        <w:rPr>
          <w:sz w:val="28"/>
          <w:szCs w:val="28"/>
        </w:rPr>
        <w:t>, за винятком Люксембургу та Словаччини. В 19 європейський країнах агенти і брокери як і раніше є найбільшими постачальниками ризикових страхових продуктів. Тим не менш, в Хорватії прямий продаж на сьогоднішній день є основним каналом розподілу. Ринкова частка прямих продажів зросли  з 69% в 2008 році до 72% в 2009 і 74% в 2010 році, в основному за рахунок агентів.</w:t>
      </w:r>
    </w:p>
    <w:p w:rsidR="00DC380B" w:rsidRPr="00603100" w:rsidRDefault="00DC380B" w:rsidP="00823A80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603100">
        <w:rPr>
          <w:sz w:val="28"/>
          <w:szCs w:val="28"/>
        </w:rPr>
        <w:t>Рисунок 1.2 показує, що агенти відіграють більшу роль, ніж брокери в розподілі продуктів ризикового страхування. Агенти особливо добре  зарекомендували себе в Італії (82%), Словаччині (70%), Туреччині (68%) та Словенії (65%). Однак є ще кілька ринків, на яких переважають брокерів, а саме на ринку Бельгії, Ірландії і Великобританії, з часткою ринку відповідно 61%, 59% і 58% в 2010 році. Найбільш  значного зростання ринок страхових агентів зазнав у Словаччині, де частка ринку агентів зросла з 62% до 70%, в основному за рахунок брокерів</w:t>
      </w:r>
      <w:r w:rsidRPr="00603100">
        <w:rPr>
          <w:sz w:val="28"/>
          <w:szCs w:val="28"/>
          <w:lang w:val="ru-RU"/>
        </w:rPr>
        <w:t xml:space="preserve"> [</w:t>
      </w:r>
      <w:r w:rsidRPr="00FD7E60">
        <w:rPr>
          <w:sz w:val="28"/>
          <w:szCs w:val="28"/>
          <w:lang w:val="ru-RU"/>
        </w:rPr>
        <w:t>2</w:t>
      </w:r>
      <w:r w:rsidRPr="00603100">
        <w:rPr>
          <w:sz w:val="28"/>
          <w:szCs w:val="28"/>
          <w:lang w:val="ru-RU"/>
        </w:rPr>
        <w:t>]</w:t>
      </w:r>
      <w:r w:rsidRPr="00603100">
        <w:rPr>
          <w:sz w:val="28"/>
          <w:szCs w:val="28"/>
        </w:rPr>
        <w:t>.</w:t>
      </w:r>
    </w:p>
    <w:p w:rsidR="00DC380B" w:rsidRPr="00603100" w:rsidRDefault="00DC380B" w:rsidP="00823A80">
      <w:pPr>
        <w:pStyle w:val="NormalWeb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603100">
        <w:rPr>
          <w:sz w:val="28"/>
          <w:szCs w:val="28"/>
        </w:rPr>
        <w:t>Страхування «</w:t>
      </w:r>
      <w:r w:rsidRPr="00603100">
        <w:rPr>
          <w:sz w:val="28"/>
          <w:szCs w:val="28"/>
          <w:lang w:val="en-US"/>
        </w:rPr>
        <w:t>non</w:t>
      </w:r>
      <w:r w:rsidRPr="00603100">
        <w:rPr>
          <w:sz w:val="28"/>
          <w:szCs w:val="28"/>
        </w:rPr>
        <w:t>-</w:t>
      </w:r>
      <w:r w:rsidRPr="00603100">
        <w:rPr>
          <w:sz w:val="28"/>
          <w:szCs w:val="28"/>
          <w:lang w:val="en-US"/>
        </w:rPr>
        <w:t>l</w:t>
      </w:r>
      <w:r w:rsidRPr="00603100">
        <w:rPr>
          <w:sz w:val="28"/>
          <w:szCs w:val="28"/>
        </w:rPr>
        <w:t>і</w:t>
      </w:r>
      <w:r w:rsidRPr="00603100">
        <w:rPr>
          <w:sz w:val="28"/>
          <w:szCs w:val="28"/>
          <w:lang w:val="en-US"/>
        </w:rPr>
        <w:t>fe</w:t>
      </w:r>
      <w:r w:rsidRPr="00603100">
        <w:rPr>
          <w:sz w:val="28"/>
          <w:szCs w:val="28"/>
        </w:rPr>
        <w:t>» віддрізняється від реалізації «</w:t>
      </w:r>
      <w:r w:rsidRPr="00603100">
        <w:rPr>
          <w:sz w:val="28"/>
          <w:szCs w:val="28"/>
          <w:lang w:val="en-US"/>
        </w:rPr>
        <w:t>l</w:t>
      </w:r>
      <w:r w:rsidRPr="00603100">
        <w:rPr>
          <w:sz w:val="28"/>
          <w:szCs w:val="28"/>
        </w:rPr>
        <w:t>і</w:t>
      </w:r>
      <w:r w:rsidRPr="00603100">
        <w:rPr>
          <w:sz w:val="28"/>
          <w:szCs w:val="28"/>
          <w:lang w:val="en-US"/>
        </w:rPr>
        <w:t>fe</w:t>
      </w:r>
      <w:r w:rsidRPr="00603100">
        <w:rPr>
          <w:sz w:val="28"/>
          <w:szCs w:val="28"/>
        </w:rPr>
        <w:t>», тим,  що тут значну роль відіграють прямі продажі, які займають другий по величині кана</w:t>
      </w:r>
      <w:r w:rsidRPr="00897805">
        <w:rPr>
          <w:sz w:val="28"/>
          <w:szCs w:val="28"/>
        </w:rPr>
        <w:t>л</w:t>
      </w:r>
      <w:r w:rsidRPr="00603100">
        <w:rPr>
          <w:sz w:val="28"/>
          <w:szCs w:val="28"/>
        </w:rPr>
        <w:t xml:space="preserve"> продажу страхового продукту.  </w:t>
      </w:r>
    </w:p>
    <w:p w:rsidR="00DC380B" w:rsidRPr="00603100" w:rsidRDefault="00DC380B" w:rsidP="00823A8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A0A62">
        <w:rPr>
          <w:rFonts w:ascii="Times New Roman" w:hAnsi="Times New Roman"/>
          <w:b/>
          <w:sz w:val="28"/>
          <w:szCs w:val="28"/>
        </w:rPr>
        <w:t>Висновки.</w:t>
      </w:r>
      <w:r>
        <w:rPr>
          <w:rFonts w:ascii="Times New Roman" w:hAnsi="Times New Roman"/>
          <w:sz w:val="28"/>
          <w:szCs w:val="28"/>
        </w:rPr>
        <w:t xml:space="preserve"> Отже, необхідно відмітити, що агентська мережа, практично завжди відіг</w:t>
      </w:r>
      <w:r w:rsidRPr="00603100">
        <w:rPr>
          <w:rFonts w:ascii="Times New Roman" w:hAnsi="Times New Roman"/>
          <w:sz w:val="28"/>
          <w:szCs w:val="28"/>
        </w:rPr>
        <w:t>ра</w:t>
      </w:r>
      <w:r>
        <w:rPr>
          <w:rFonts w:ascii="Times New Roman" w:hAnsi="Times New Roman"/>
          <w:sz w:val="28"/>
          <w:szCs w:val="28"/>
        </w:rPr>
        <w:t>ва</w:t>
      </w:r>
      <w:r w:rsidRPr="00603100">
        <w:rPr>
          <w:rFonts w:ascii="Times New Roman" w:hAnsi="Times New Roman"/>
          <w:sz w:val="28"/>
          <w:szCs w:val="28"/>
        </w:rPr>
        <w:t>ла головну роль у становленні страхових ринків, незалежно від країни, розвиваючи так звані вільні продажі. Це саме ті продажі, які є результатом свідомого попиту з боку населення.</w:t>
      </w:r>
    </w:p>
    <w:p w:rsidR="00DC380B" w:rsidRPr="00603100" w:rsidRDefault="00DC380B" w:rsidP="00FA0A62">
      <w:pPr>
        <w:pStyle w:val="NormalWeb"/>
        <w:shd w:val="clear" w:color="auto" w:fill="FFFFFF"/>
        <w:spacing w:before="0" w:beforeAutospacing="0" w:after="0" w:afterAutospacing="0" w:line="276" w:lineRule="auto"/>
        <w:ind w:firstLine="709"/>
        <w:jc w:val="center"/>
        <w:textAlignment w:val="baseline"/>
        <w:rPr>
          <w:sz w:val="28"/>
          <w:szCs w:val="28"/>
        </w:rPr>
      </w:pPr>
      <w:r w:rsidRPr="00630499">
        <w:rPr>
          <w:noProof/>
          <w:lang w:val="ru-RU" w:eastAsia="ru-RU"/>
        </w:rPr>
        <w:pict>
          <v:shape id="Picture 25" o:spid="_x0000_i1027" type="#_x0000_t75" style="width:409.5pt;height:216.75pt;visibility:visible">
            <v:imagedata r:id="rId9" o:title="" croptop="11989f" cropbottom="12251f" cropleft="9573f" cropright="18708f"/>
          </v:shape>
        </w:pict>
      </w:r>
      <w:r w:rsidRPr="00630499">
        <w:rPr>
          <w:noProof/>
          <w:lang w:val="ru-RU" w:eastAsia="ru-RU"/>
        </w:rPr>
        <w:pict>
          <v:shape id="Picture 26" o:spid="_x0000_i1028" type="#_x0000_t75" style="width:315.75pt;height:13.5pt;visibility:visible">
            <v:imagedata r:id="rId10" o:title="" croptop="26031f" cropbottom="35569f" cropleft="5788f" cropright="23137f"/>
          </v:shape>
        </w:pict>
      </w:r>
    </w:p>
    <w:p w:rsidR="00DC380B" w:rsidRPr="00603100" w:rsidRDefault="00DC380B" w:rsidP="00FA0A62">
      <w:pPr>
        <w:pStyle w:val="NormalWeb"/>
        <w:shd w:val="clear" w:color="auto" w:fill="FFFFFF"/>
        <w:spacing w:after="0" w:line="360" w:lineRule="auto"/>
        <w:ind w:firstLine="709"/>
        <w:jc w:val="center"/>
        <w:textAlignment w:val="baseline"/>
        <w:rPr>
          <w:sz w:val="28"/>
          <w:szCs w:val="28"/>
        </w:rPr>
      </w:pPr>
      <w:r w:rsidRPr="00603100">
        <w:rPr>
          <w:sz w:val="28"/>
          <w:szCs w:val="28"/>
        </w:rPr>
        <w:t>Рисунок 1.2  – Європейський ринок ризикового страхування: канали дистрибюції</w:t>
      </w:r>
      <w:r>
        <w:rPr>
          <w:sz w:val="28"/>
          <w:szCs w:val="28"/>
        </w:rPr>
        <w:t xml:space="preserve"> у 2010 році</w:t>
      </w:r>
    </w:p>
    <w:p w:rsidR="00DC380B" w:rsidRPr="00897805" w:rsidRDefault="00DC380B" w:rsidP="00A54F9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03100">
        <w:rPr>
          <w:rFonts w:ascii="Times New Roman" w:hAnsi="Times New Roman"/>
          <w:sz w:val="28"/>
          <w:szCs w:val="28"/>
        </w:rPr>
        <w:t>Сьогодні, коли подальший розвиток економічної ситуації важко спрогнозувати, а тенденції дня сьогоднішнього не дозволяють багатьом підприємствам малого та середнього бізнесу активно розвивати співпрацю зі страховою галуззю, страхові компанії все більше прагнуть активізувати роботу з сегментом роздрібного споживача з використанням агентської каналу продажів.</w:t>
      </w:r>
    </w:p>
    <w:p w:rsidR="00DC380B" w:rsidRDefault="00DC380B" w:rsidP="00823A80">
      <w:pPr>
        <w:shd w:val="clear" w:color="auto" w:fill="FFFFFF"/>
        <w:spacing w:after="0" w:line="360" w:lineRule="auto"/>
        <w:ind w:firstLine="709"/>
        <w:jc w:val="center"/>
        <w:rPr>
          <w:rStyle w:val="apple-converted-space"/>
          <w:rFonts w:ascii="Times New Roman" w:hAnsi="Times New Roman"/>
          <w:sz w:val="28"/>
          <w:szCs w:val="28"/>
        </w:rPr>
      </w:pPr>
    </w:p>
    <w:p w:rsidR="00DC380B" w:rsidRPr="00FA0A62" w:rsidRDefault="00DC380B" w:rsidP="00823A80">
      <w:pPr>
        <w:shd w:val="clear" w:color="auto" w:fill="FFFFFF"/>
        <w:spacing w:after="0" w:line="360" w:lineRule="auto"/>
        <w:ind w:firstLine="709"/>
        <w:jc w:val="center"/>
        <w:rPr>
          <w:rStyle w:val="apple-converted-space"/>
          <w:rFonts w:ascii="Times New Roman" w:hAnsi="Times New Roman"/>
          <w:b/>
          <w:sz w:val="28"/>
          <w:szCs w:val="28"/>
        </w:rPr>
      </w:pPr>
      <w:r w:rsidRPr="00FA0A62">
        <w:rPr>
          <w:rStyle w:val="apple-converted-space"/>
          <w:rFonts w:ascii="Times New Roman" w:hAnsi="Times New Roman"/>
          <w:b/>
          <w:sz w:val="28"/>
          <w:szCs w:val="28"/>
        </w:rPr>
        <w:t>Список використаної літератури</w:t>
      </w:r>
    </w:p>
    <w:p w:rsidR="00DC380B" w:rsidRPr="00603100" w:rsidRDefault="00DC380B" w:rsidP="00823A80">
      <w:pPr>
        <w:pStyle w:val="ListParagraph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603100">
        <w:rPr>
          <w:rFonts w:ascii="Times New Roman" w:hAnsi="Times New Roman"/>
          <w:sz w:val="28"/>
          <w:szCs w:val="28"/>
        </w:rPr>
        <w:t>Про страхування : Закон України : [ухвалено ВРУ 07.03.1996</w:t>
      </w:r>
      <w:r>
        <w:rPr>
          <w:rFonts w:ascii="Times New Roman" w:hAnsi="Times New Roman"/>
          <w:sz w:val="28"/>
          <w:szCs w:val="28"/>
        </w:rPr>
        <w:t xml:space="preserve"> </w:t>
      </w:r>
      <w:r w:rsidRPr="00603100">
        <w:rPr>
          <w:rFonts w:ascii="Times New Roman" w:hAnsi="Times New Roman"/>
          <w:sz w:val="28"/>
          <w:szCs w:val="28"/>
        </w:rPr>
        <w:t xml:space="preserve">р. </w:t>
      </w:r>
      <w:r>
        <w:rPr>
          <w:rFonts w:ascii="Times New Roman" w:hAnsi="Times New Roman"/>
          <w:sz w:val="28"/>
          <w:szCs w:val="28"/>
        </w:rPr>
        <w:t xml:space="preserve">             </w:t>
      </w:r>
      <w:r w:rsidRPr="00603100">
        <w:rPr>
          <w:rFonts w:ascii="Times New Roman" w:hAnsi="Times New Roman"/>
          <w:sz w:val="28"/>
          <w:szCs w:val="28"/>
        </w:rPr>
        <w:t xml:space="preserve">№ 85/96-вр] офіц. текст. – Режим доступу: http://zakon.rada.gov.ua. </w:t>
      </w:r>
    </w:p>
    <w:p w:rsidR="00DC380B" w:rsidRPr="00603100" w:rsidRDefault="00DC380B" w:rsidP="00823A80">
      <w:pPr>
        <w:pStyle w:val="ListParagraph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603100">
        <w:rPr>
          <w:rFonts w:ascii="Times New Roman" w:hAnsi="Times New Roman"/>
          <w:sz w:val="28"/>
          <w:szCs w:val="28"/>
        </w:rPr>
        <w:t>Офіційний сайт Insurance Europe [Електрон. ресурс]. – Режим доступу: http://www.insuranceeurope.eu.</w:t>
      </w:r>
    </w:p>
    <w:p w:rsidR="00DC380B" w:rsidRPr="00603100" w:rsidRDefault="00DC380B" w:rsidP="00823A80">
      <w:pPr>
        <w:pStyle w:val="ListParagraph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EA31CC">
        <w:rPr>
          <w:rFonts w:ascii="Times New Roman" w:hAnsi="Times New Roman"/>
          <w:sz w:val="28"/>
          <w:szCs w:val="28"/>
        </w:rPr>
        <w:t xml:space="preserve">Офіційний сайт інтернет журналу  Фориншурер  [Електрон. </w:t>
      </w:r>
      <w:r>
        <w:rPr>
          <w:rFonts w:ascii="Times New Roman" w:hAnsi="Times New Roman"/>
          <w:sz w:val="28"/>
          <w:szCs w:val="28"/>
        </w:rPr>
        <w:t xml:space="preserve">                </w:t>
      </w:r>
      <w:r w:rsidRPr="00EA31CC">
        <w:rPr>
          <w:rFonts w:ascii="Times New Roman" w:hAnsi="Times New Roman"/>
          <w:sz w:val="28"/>
          <w:szCs w:val="28"/>
        </w:rPr>
        <w:t>ресурс]. – Режим доступу: http://forinsurer.com.</w:t>
      </w:r>
    </w:p>
    <w:sectPr w:rsidR="00DC380B" w:rsidRPr="00603100" w:rsidSect="001A14D3">
      <w:headerReference w:type="default" r:id="rId11"/>
      <w:pgSz w:w="11906" w:h="16838"/>
      <w:pgMar w:top="1134" w:right="851" w:bottom="1134" w:left="1418" w:header="567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380B" w:rsidRDefault="00DC380B" w:rsidP="001673B4">
      <w:pPr>
        <w:spacing w:after="0" w:line="240" w:lineRule="auto"/>
      </w:pPr>
      <w:r>
        <w:separator/>
      </w:r>
    </w:p>
  </w:endnote>
  <w:endnote w:type="continuationSeparator" w:id="1">
    <w:p w:rsidR="00DC380B" w:rsidRDefault="00DC380B" w:rsidP="001673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rporateSTCY">
    <w:altName w:val="CorporateSTCY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380B" w:rsidRDefault="00DC380B" w:rsidP="001673B4">
      <w:pPr>
        <w:spacing w:after="0" w:line="240" w:lineRule="auto"/>
      </w:pPr>
      <w:r>
        <w:separator/>
      </w:r>
    </w:p>
  </w:footnote>
  <w:footnote w:type="continuationSeparator" w:id="1">
    <w:p w:rsidR="00DC380B" w:rsidRDefault="00DC380B" w:rsidP="001673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380B" w:rsidRPr="001673B4" w:rsidRDefault="00DC380B" w:rsidP="001673B4">
    <w:pPr>
      <w:pStyle w:val="Header"/>
      <w:jc w:val="right"/>
    </w:pPr>
  </w:p>
  <w:p w:rsidR="00DC380B" w:rsidRDefault="00DC380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B45D81"/>
    <w:multiLevelType w:val="hybridMultilevel"/>
    <w:tmpl w:val="BA4A5454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028791E"/>
    <w:multiLevelType w:val="hybridMultilevel"/>
    <w:tmpl w:val="6F1E6812"/>
    <w:lvl w:ilvl="0" w:tplc="9B966C56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866D62"/>
    <w:multiLevelType w:val="hybridMultilevel"/>
    <w:tmpl w:val="48B228F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106B8A"/>
    <w:multiLevelType w:val="hybridMultilevel"/>
    <w:tmpl w:val="A2A66B8C"/>
    <w:lvl w:ilvl="0" w:tplc="9B966C56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074687"/>
    <w:multiLevelType w:val="multilevel"/>
    <w:tmpl w:val="DABAD0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2B80164A"/>
    <w:multiLevelType w:val="hybridMultilevel"/>
    <w:tmpl w:val="7A5CC1BA"/>
    <w:lvl w:ilvl="0" w:tplc="9B966C56">
      <w:start w:val="1"/>
      <w:numFmt w:val="bullet"/>
      <w:lvlText w:val="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2BF47816"/>
    <w:multiLevelType w:val="hybridMultilevel"/>
    <w:tmpl w:val="DE5AC55A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DE85A8E"/>
    <w:multiLevelType w:val="multilevel"/>
    <w:tmpl w:val="95709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30CC433E"/>
    <w:multiLevelType w:val="hybridMultilevel"/>
    <w:tmpl w:val="A1C81C90"/>
    <w:lvl w:ilvl="0" w:tplc="0422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A1567EE"/>
    <w:multiLevelType w:val="hybridMultilevel"/>
    <w:tmpl w:val="B7E661BC"/>
    <w:lvl w:ilvl="0" w:tplc="9B966C56">
      <w:start w:val="1"/>
      <w:numFmt w:val="bullet"/>
      <w:lvlText w:val="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3DFA5DBB"/>
    <w:multiLevelType w:val="hybridMultilevel"/>
    <w:tmpl w:val="DE5AC55A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50E76AF"/>
    <w:multiLevelType w:val="hybridMultilevel"/>
    <w:tmpl w:val="BF7ED5A4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A4800C0"/>
    <w:multiLevelType w:val="hybridMultilevel"/>
    <w:tmpl w:val="E35E16F6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AA03081"/>
    <w:multiLevelType w:val="hybridMultilevel"/>
    <w:tmpl w:val="28B8846A"/>
    <w:lvl w:ilvl="0" w:tplc="9B966C56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AB36927"/>
    <w:multiLevelType w:val="hybridMultilevel"/>
    <w:tmpl w:val="7668F696"/>
    <w:lvl w:ilvl="0" w:tplc="9B966C56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3791749"/>
    <w:multiLevelType w:val="hybridMultilevel"/>
    <w:tmpl w:val="1E62FD28"/>
    <w:lvl w:ilvl="0" w:tplc="9B966C56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A2912C0"/>
    <w:multiLevelType w:val="multilevel"/>
    <w:tmpl w:val="20C806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>
    <w:nsid w:val="5A2A45D7"/>
    <w:multiLevelType w:val="multilevel"/>
    <w:tmpl w:val="05C0FF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BF917C7"/>
    <w:multiLevelType w:val="hybridMultilevel"/>
    <w:tmpl w:val="C3925492"/>
    <w:lvl w:ilvl="0" w:tplc="9B966C56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76D09B8"/>
    <w:multiLevelType w:val="hybridMultilevel"/>
    <w:tmpl w:val="12C67588"/>
    <w:lvl w:ilvl="0" w:tplc="2154ECCC">
      <w:start w:val="1"/>
      <w:numFmt w:val="decimal"/>
      <w:lvlText w:val="%1."/>
      <w:lvlJc w:val="left"/>
      <w:pPr>
        <w:ind w:left="720" w:hanging="360"/>
      </w:pPr>
      <w:rPr>
        <w:rFonts w:ascii="Times New Roman CYR" w:eastAsia="Times New Roman" w:hAnsi="Times New Roman CYR" w:cs="Times New Roman CYR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EA74BC1"/>
    <w:multiLevelType w:val="hybridMultilevel"/>
    <w:tmpl w:val="D9D42746"/>
    <w:lvl w:ilvl="0" w:tplc="9B966C56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75A0520"/>
    <w:multiLevelType w:val="hybridMultilevel"/>
    <w:tmpl w:val="7BA61F8A"/>
    <w:lvl w:ilvl="0" w:tplc="9B966C56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2"/>
  </w:num>
  <w:num w:numId="4">
    <w:abstractNumId w:val="1"/>
  </w:num>
  <w:num w:numId="5">
    <w:abstractNumId w:val="20"/>
  </w:num>
  <w:num w:numId="6">
    <w:abstractNumId w:val="14"/>
  </w:num>
  <w:num w:numId="7">
    <w:abstractNumId w:val="15"/>
  </w:num>
  <w:num w:numId="8">
    <w:abstractNumId w:val="13"/>
  </w:num>
  <w:num w:numId="9">
    <w:abstractNumId w:val="16"/>
  </w:num>
  <w:num w:numId="10">
    <w:abstractNumId w:val="4"/>
  </w:num>
  <w:num w:numId="11">
    <w:abstractNumId w:val="11"/>
  </w:num>
  <w:num w:numId="12">
    <w:abstractNumId w:val="3"/>
  </w:num>
  <w:num w:numId="13">
    <w:abstractNumId w:val="18"/>
  </w:num>
  <w:num w:numId="14">
    <w:abstractNumId w:val="9"/>
  </w:num>
  <w:num w:numId="15">
    <w:abstractNumId w:val="5"/>
  </w:num>
  <w:num w:numId="16">
    <w:abstractNumId w:val="19"/>
  </w:num>
  <w:num w:numId="17">
    <w:abstractNumId w:val="17"/>
  </w:num>
  <w:num w:numId="18">
    <w:abstractNumId w:val="0"/>
  </w:num>
  <w:num w:numId="19">
    <w:abstractNumId w:val="21"/>
  </w:num>
  <w:num w:numId="20">
    <w:abstractNumId w:val="10"/>
  </w:num>
  <w:num w:numId="21">
    <w:abstractNumId w:val="6"/>
  </w:num>
  <w:num w:numId="2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54ABD"/>
    <w:rsid w:val="00065513"/>
    <w:rsid w:val="00102DDC"/>
    <w:rsid w:val="001329AE"/>
    <w:rsid w:val="001476AE"/>
    <w:rsid w:val="001673B4"/>
    <w:rsid w:val="001A14D3"/>
    <w:rsid w:val="00206E32"/>
    <w:rsid w:val="00254ABD"/>
    <w:rsid w:val="00355569"/>
    <w:rsid w:val="00395B36"/>
    <w:rsid w:val="003B4FB3"/>
    <w:rsid w:val="00482FAE"/>
    <w:rsid w:val="00492A88"/>
    <w:rsid w:val="004C512C"/>
    <w:rsid w:val="00522687"/>
    <w:rsid w:val="00603100"/>
    <w:rsid w:val="00630499"/>
    <w:rsid w:val="0065362D"/>
    <w:rsid w:val="00657756"/>
    <w:rsid w:val="00713854"/>
    <w:rsid w:val="007C4A38"/>
    <w:rsid w:val="00823A80"/>
    <w:rsid w:val="00897805"/>
    <w:rsid w:val="008B497E"/>
    <w:rsid w:val="00962B5D"/>
    <w:rsid w:val="00A1460C"/>
    <w:rsid w:val="00A54F9A"/>
    <w:rsid w:val="00A83335"/>
    <w:rsid w:val="00A97F02"/>
    <w:rsid w:val="00AB6B9F"/>
    <w:rsid w:val="00AC302F"/>
    <w:rsid w:val="00AC5325"/>
    <w:rsid w:val="00AD2FB8"/>
    <w:rsid w:val="00AF6455"/>
    <w:rsid w:val="00B75778"/>
    <w:rsid w:val="00BE19A3"/>
    <w:rsid w:val="00CF0A9F"/>
    <w:rsid w:val="00DC380B"/>
    <w:rsid w:val="00DF60B4"/>
    <w:rsid w:val="00E14A49"/>
    <w:rsid w:val="00E40B25"/>
    <w:rsid w:val="00EA31CC"/>
    <w:rsid w:val="00FA0A62"/>
    <w:rsid w:val="00FD7E60"/>
    <w:rsid w:val="00FE7B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302F"/>
    <w:pPr>
      <w:spacing w:after="200" w:line="276" w:lineRule="auto"/>
    </w:pPr>
    <w:rPr>
      <w:lang w:val="uk-UA" w:eastAsia="en-US"/>
    </w:rPr>
  </w:style>
  <w:style w:type="paragraph" w:styleId="Heading1">
    <w:name w:val="heading 1"/>
    <w:basedOn w:val="Normal"/>
    <w:link w:val="Heading1Char"/>
    <w:uiPriority w:val="99"/>
    <w:qFormat/>
    <w:rsid w:val="00AC302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uk-UA"/>
    </w:rPr>
  </w:style>
  <w:style w:type="paragraph" w:styleId="Heading2">
    <w:name w:val="heading 2"/>
    <w:basedOn w:val="Normal"/>
    <w:next w:val="Normal"/>
    <w:link w:val="Heading2Char"/>
    <w:uiPriority w:val="99"/>
    <w:qFormat/>
    <w:rsid w:val="00AC302F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AC302F"/>
    <w:rPr>
      <w:rFonts w:ascii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AC302F"/>
    <w:rPr>
      <w:rFonts w:ascii="Cambria" w:hAnsi="Cambria" w:cs="Times New Roman"/>
      <w:b/>
      <w:bCs/>
      <w:color w:val="4F81BD"/>
      <w:sz w:val="26"/>
      <w:szCs w:val="26"/>
    </w:rPr>
  </w:style>
  <w:style w:type="paragraph" w:styleId="ListParagraph">
    <w:name w:val="List Paragraph"/>
    <w:basedOn w:val="Normal"/>
    <w:uiPriority w:val="99"/>
    <w:qFormat/>
    <w:rsid w:val="00254ABD"/>
    <w:pPr>
      <w:ind w:left="720"/>
      <w:contextualSpacing/>
    </w:pPr>
  </w:style>
  <w:style w:type="character" w:customStyle="1" w:styleId="apple-converted-space">
    <w:name w:val="apple-converted-space"/>
    <w:basedOn w:val="DefaultParagraphFont"/>
    <w:uiPriority w:val="99"/>
    <w:rsid w:val="00102DDC"/>
    <w:rPr>
      <w:rFonts w:cs="Times New Roman"/>
    </w:rPr>
  </w:style>
  <w:style w:type="paragraph" w:styleId="NormalWeb">
    <w:name w:val="Normal (Web)"/>
    <w:basedOn w:val="Normal"/>
    <w:uiPriority w:val="99"/>
    <w:rsid w:val="00AC302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Hyperlink">
    <w:name w:val="Hyperlink"/>
    <w:basedOn w:val="DefaultParagraphFont"/>
    <w:uiPriority w:val="99"/>
    <w:rsid w:val="00AC302F"/>
    <w:rPr>
      <w:rFonts w:cs="Times New Roman"/>
      <w:color w:val="0000FF"/>
      <w:u w:val="single"/>
    </w:rPr>
  </w:style>
  <w:style w:type="character" w:customStyle="1" w:styleId="username">
    <w:name w:val="username"/>
    <w:basedOn w:val="DefaultParagraphFont"/>
    <w:uiPriority w:val="99"/>
    <w:rsid w:val="00AC302F"/>
    <w:rPr>
      <w:rFonts w:cs="Times New Roman"/>
    </w:rPr>
  </w:style>
  <w:style w:type="character" w:customStyle="1" w:styleId="time">
    <w:name w:val="time"/>
    <w:basedOn w:val="DefaultParagraphFont"/>
    <w:uiPriority w:val="99"/>
    <w:rsid w:val="00AC302F"/>
    <w:rPr>
      <w:rFonts w:cs="Times New Roman"/>
    </w:rPr>
  </w:style>
  <w:style w:type="paragraph" w:customStyle="1" w:styleId="field-label">
    <w:name w:val="field-label"/>
    <w:basedOn w:val="Normal"/>
    <w:uiPriority w:val="99"/>
    <w:rsid w:val="00AC302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BalloonText">
    <w:name w:val="Balloon Text"/>
    <w:basedOn w:val="Normal"/>
    <w:link w:val="BalloonTextChar"/>
    <w:uiPriority w:val="99"/>
    <w:semiHidden/>
    <w:rsid w:val="00AC30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302F"/>
    <w:rPr>
      <w:rFonts w:ascii="Tahoma" w:hAnsi="Tahoma" w:cs="Tahoma"/>
      <w:sz w:val="16"/>
      <w:szCs w:val="16"/>
    </w:rPr>
  </w:style>
  <w:style w:type="paragraph" w:styleId="HTMLPreformatted">
    <w:name w:val="HTML Preformatted"/>
    <w:basedOn w:val="Normal"/>
    <w:link w:val="HTMLPreformattedChar"/>
    <w:uiPriority w:val="99"/>
    <w:rsid w:val="00AC302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locked/>
    <w:rsid w:val="00AC302F"/>
    <w:rPr>
      <w:rFonts w:ascii="Courier New" w:hAnsi="Courier New" w:cs="Courier New"/>
      <w:sz w:val="20"/>
      <w:szCs w:val="20"/>
      <w:lang w:eastAsia="uk-UA"/>
    </w:rPr>
  </w:style>
  <w:style w:type="paragraph" w:styleId="Header">
    <w:name w:val="header"/>
    <w:basedOn w:val="Normal"/>
    <w:link w:val="HeaderChar"/>
    <w:uiPriority w:val="99"/>
    <w:rsid w:val="00AC302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AC302F"/>
    <w:rPr>
      <w:rFonts w:cs="Times New Roman"/>
    </w:rPr>
  </w:style>
  <w:style w:type="paragraph" w:styleId="Footer">
    <w:name w:val="footer"/>
    <w:basedOn w:val="Normal"/>
    <w:link w:val="FooterChar"/>
    <w:uiPriority w:val="99"/>
    <w:rsid w:val="00AC302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AC302F"/>
    <w:rPr>
      <w:rFonts w:cs="Times New Roman"/>
    </w:rPr>
  </w:style>
  <w:style w:type="character" w:styleId="Strong">
    <w:name w:val="Strong"/>
    <w:basedOn w:val="DefaultParagraphFont"/>
    <w:uiPriority w:val="99"/>
    <w:qFormat/>
    <w:rsid w:val="00AC302F"/>
    <w:rPr>
      <w:rFonts w:cs="Times New Roman"/>
      <w:b/>
      <w:bCs/>
    </w:rPr>
  </w:style>
  <w:style w:type="character" w:customStyle="1" w:styleId="spelle">
    <w:name w:val="spelle"/>
    <w:basedOn w:val="DefaultParagraphFont"/>
    <w:uiPriority w:val="99"/>
    <w:rsid w:val="00AC302F"/>
    <w:rPr>
      <w:rFonts w:cs="Times New Roman"/>
    </w:rPr>
  </w:style>
  <w:style w:type="paragraph" w:customStyle="1" w:styleId="Default">
    <w:name w:val="Default"/>
    <w:uiPriority w:val="99"/>
    <w:rsid w:val="00AC302F"/>
    <w:pPr>
      <w:autoSpaceDE w:val="0"/>
      <w:autoSpaceDN w:val="0"/>
      <w:adjustRightInd w:val="0"/>
    </w:pPr>
    <w:rPr>
      <w:rFonts w:ascii="CorporateSTCY" w:hAnsi="CorporateSTCY" w:cs="CorporateSTCY"/>
      <w:color w:val="000000"/>
      <w:sz w:val="24"/>
      <w:szCs w:val="24"/>
      <w:lang w:val="uk-UA" w:eastAsia="en-US"/>
    </w:rPr>
  </w:style>
  <w:style w:type="character" w:customStyle="1" w:styleId="A2">
    <w:name w:val="A2"/>
    <w:uiPriority w:val="99"/>
    <w:rsid w:val="00AC302F"/>
    <w:rPr>
      <w:color w:val="000000"/>
      <w:sz w:val="20"/>
    </w:rPr>
  </w:style>
  <w:style w:type="table" w:styleId="TableGrid">
    <w:name w:val="Table Grid"/>
    <w:basedOn w:val="TableNormal"/>
    <w:uiPriority w:val="99"/>
    <w:rsid w:val="00AC302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32</TotalTime>
  <Pages>6</Pages>
  <Words>1459</Words>
  <Characters>8322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Nataliia</dc:creator>
  <cp:keywords/>
  <dc:description/>
  <cp:lastModifiedBy>Admin</cp:lastModifiedBy>
  <cp:revision>14</cp:revision>
  <cp:lastPrinted>2013-04-25T06:49:00Z</cp:lastPrinted>
  <dcterms:created xsi:type="dcterms:W3CDTF">2013-05-21T20:11:00Z</dcterms:created>
  <dcterms:modified xsi:type="dcterms:W3CDTF">2016-01-28T15:03:00Z</dcterms:modified>
</cp:coreProperties>
</file>