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908DE" w:rsidRDefault="00C908DE" w:rsidP="00C908DE">
      <w:pPr>
        <w:ind w:left="213"/>
        <w:rPr>
          <w:rFonts w:ascii="Arial" w:hAnsi="Arial"/>
          <w:b/>
          <w:sz w:val="18"/>
        </w:rPr>
      </w:pPr>
      <w:r>
        <w:rPr>
          <w:rFonts w:ascii="Arial" w:hAnsi="Arial"/>
          <w:b/>
          <w:color w:val="0D0D0D"/>
          <w:w w:val="110"/>
          <w:sz w:val="18"/>
        </w:rPr>
        <w:t>УДК:341.98</w:t>
      </w:r>
    </w:p>
    <w:p w:rsidR="00C908DE" w:rsidRDefault="00C908DE" w:rsidP="00C908DE">
      <w:pPr>
        <w:spacing w:before="9"/>
        <w:ind w:left="213"/>
        <w:rPr>
          <w:rFonts w:ascii="Arial"/>
          <w:b/>
          <w:sz w:val="18"/>
        </w:rPr>
      </w:pPr>
      <w:r>
        <w:rPr>
          <w:rFonts w:ascii="Arial"/>
          <w:b/>
          <w:color w:val="0D0D0D"/>
          <w:w w:val="105"/>
          <w:sz w:val="18"/>
        </w:rPr>
        <w:t xml:space="preserve">DOI  </w:t>
      </w:r>
      <w:r>
        <w:rPr>
          <w:rFonts w:ascii="Arial"/>
          <w:b/>
          <w:color w:val="0D0D0D"/>
          <w:spacing w:val="6"/>
          <w:w w:val="105"/>
          <w:sz w:val="18"/>
        </w:rPr>
        <w:t xml:space="preserve"> </w:t>
      </w:r>
      <w:r>
        <w:rPr>
          <w:rFonts w:ascii="Arial"/>
          <w:b/>
          <w:color w:val="0D0D0D"/>
          <w:w w:val="105"/>
          <w:sz w:val="18"/>
        </w:rPr>
        <w:t>https://doi.org/10.24144/2307-3322.2022.71.60</w:t>
      </w:r>
    </w:p>
    <w:p w:rsidR="00C908DE" w:rsidRDefault="00C908DE" w:rsidP="00C908DE">
      <w:pPr>
        <w:pStyle w:val="1"/>
        <w:spacing w:line="249" w:lineRule="auto"/>
        <w:ind w:left="1740" w:right="1305" w:hanging="782"/>
        <w:jc w:val="left"/>
      </w:pPr>
      <w:r>
        <w:rPr>
          <w:color w:val="0D0D0D"/>
        </w:rPr>
        <w:t>ПРАВОВІ</w:t>
      </w:r>
      <w:r>
        <w:rPr>
          <w:color w:val="0D0D0D"/>
          <w:spacing w:val="-14"/>
        </w:rPr>
        <w:t xml:space="preserve"> </w:t>
      </w:r>
      <w:r>
        <w:rPr>
          <w:color w:val="0D0D0D"/>
        </w:rPr>
        <w:t>ПЕРЕДУМОВИ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ДЛЯ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РОЗГЛЯДУ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І</w:t>
      </w:r>
      <w:r>
        <w:rPr>
          <w:color w:val="0D0D0D"/>
          <w:spacing w:val="-13"/>
        </w:rPr>
        <w:t xml:space="preserve"> </w:t>
      </w:r>
      <w:r>
        <w:rPr>
          <w:color w:val="0D0D0D"/>
        </w:rPr>
        <w:t>ВИРІШЕННЯ</w:t>
      </w:r>
      <w:r>
        <w:rPr>
          <w:color w:val="0D0D0D"/>
          <w:spacing w:val="-12"/>
        </w:rPr>
        <w:t xml:space="preserve"> </w:t>
      </w:r>
      <w:r>
        <w:rPr>
          <w:color w:val="0D0D0D"/>
        </w:rPr>
        <w:t>СПОРІВ</w:t>
      </w:r>
      <w:r>
        <w:rPr>
          <w:color w:val="0D0D0D"/>
          <w:spacing w:val="-57"/>
        </w:rPr>
        <w:t xml:space="preserve"> </w:t>
      </w:r>
      <w:r>
        <w:rPr>
          <w:color w:val="0D0D0D"/>
        </w:rPr>
        <w:t>У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МІЖНАРОДНОМУ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КОМЕРЦІЙНОМУ</w:t>
      </w:r>
      <w:r>
        <w:rPr>
          <w:color w:val="0D0D0D"/>
          <w:spacing w:val="-4"/>
        </w:rPr>
        <w:t xml:space="preserve"> </w:t>
      </w:r>
      <w:r>
        <w:rPr>
          <w:color w:val="0D0D0D"/>
        </w:rPr>
        <w:t>АРБІТРАЖІ</w:t>
      </w:r>
    </w:p>
    <w:p w:rsidR="00C908DE" w:rsidRDefault="00C908DE" w:rsidP="00C908DE">
      <w:pPr>
        <w:pStyle w:val="a3"/>
        <w:ind w:firstLine="0"/>
        <w:jc w:val="left"/>
        <w:rPr>
          <w:b/>
          <w:sz w:val="26"/>
        </w:rPr>
      </w:pPr>
    </w:p>
    <w:p w:rsidR="00C908DE" w:rsidRDefault="00C908DE" w:rsidP="00C908DE">
      <w:pPr>
        <w:spacing w:before="171"/>
        <w:ind w:left="124" w:right="562"/>
        <w:jc w:val="right"/>
        <w:rPr>
          <w:b/>
          <w:sz w:val="24"/>
        </w:rPr>
      </w:pPr>
      <w:r>
        <w:rPr>
          <w:b/>
          <w:color w:val="0D0D0D"/>
          <w:spacing w:val="-1"/>
          <w:sz w:val="24"/>
        </w:rPr>
        <w:t>Кравчук</w:t>
      </w:r>
      <w:r>
        <w:rPr>
          <w:b/>
          <w:color w:val="0D0D0D"/>
          <w:spacing w:val="-11"/>
          <w:sz w:val="24"/>
        </w:rPr>
        <w:t xml:space="preserve"> </w:t>
      </w:r>
      <w:r>
        <w:rPr>
          <w:b/>
          <w:color w:val="0D0D0D"/>
          <w:sz w:val="24"/>
        </w:rPr>
        <w:t>С.Й.,</w:t>
      </w:r>
    </w:p>
    <w:p w:rsidR="00C908DE" w:rsidRDefault="00C908DE" w:rsidP="00C908DE">
      <w:pPr>
        <w:spacing w:before="16"/>
        <w:ind w:left="124" w:right="561"/>
        <w:jc w:val="right"/>
        <w:rPr>
          <w:i/>
          <w:sz w:val="24"/>
        </w:rPr>
      </w:pPr>
      <w:r>
        <w:rPr>
          <w:i/>
          <w:color w:val="0D0D0D"/>
          <w:sz w:val="24"/>
        </w:rPr>
        <w:t>кандидат</w:t>
      </w:r>
      <w:r>
        <w:rPr>
          <w:i/>
          <w:color w:val="0D0D0D"/>
          <w:spacing w:val="-3"/>
          <w:sz w:val="24"/>
        </w:rPr>
        <w:t xml:space="preserve"> </w:t>
      </w:r>
      <w:r>
        <w:rPr>
          <w:i/>
          <w:color w:val="0D0D0D"/>
          <w:sz w:val="24"/>
        </w:rPr>
        <w:t>юридичних</w:t>
      </w:r>
      <w:r>
        <w:rPr>
          <w:i/>
          <w:color w:val="0D0D0D"/>
          <w:spacing w:val="-4"/>
          <w:sz w:val="24"/>
        </w:rPr>
        <w:t xml:space="preserve"> </w:t>
      </w:r>
      <w:r>
        <w:rPr>
          <w:i/>
          <w:color w:val="0D0D0D"/>
          <w:sz w:val="24"/>
        </w:rPr>
        <w:t>наук,</w:t>
      </w:r>
      <w:r>
        <w:rPr>
          <w:i/>
          <w:color w:val="0D0D0D"/>
          <w:spacing w:val="-2"/>
          <w:sz w:val="24"/>
        </w:rPr>
        <w:t xml:space="preserve"> </w:t>
      </w:r>
      <w:r>
        <w:rPr>
          <w:i/>
          <w:color w:val="0D0D0D"/>
          <w:sz w:val="24"/>
        </w:rPr>
        <w:t>доцент,</w:t>
      </w:r>
    </w:p>
    <w:p w:rsidR="00C908DE" w:rsidRDefault="00C908DE" w:rsidP="00C908DE">
      <w:pPr>
        <w:spacing w:before="16" w:line="254" w:lineRule="auto"/>
        <w:ind w:left="4402" w:right="561" w:firstLine="2554"/>
        <w:jc w:val="right"/>
        <w:rPr>
          <w:i/>
          <w:sz w:val="24"/>
        </w:rPr>
      </w:pPr>
      <w:r>
        <w:rPr>
          <w:i/>
          <w:color w:val="0D0D0D"/>
          <w:sz w:val="24"/>
        </w:rPr>
        <w:t>доцент</w:t>
      </w:r>
      <w:r>
        <w:rPr>
          <w:i/>
          <w:color w:val="0D0D0D"/>
          <w:spacing w:val="-10"/>
          <w:sz w:val="24"/>
        </w:rPr>
        <w:t xml:space="preserve"> </w:t>
      </w:r>
      <w:r>
        <w:rPr>
          <w:i/>
          <w:color w:val="0D0D0D"/>
          <w:sz w:val="24"/>
        </w:rPr>
        <w:t>кафедри</w:t>
      </w:r>
      <w:r>
        <w:rPr>
          <w:i/>
          <w:color w:val="0D0D0D"/>
          <w:spacing w:val="-10"/>
          <w:sz w:val="24"/>
        </w:rPr>
        <w:t xml:space="preserve"> </w:t>
      </w:r>
      <w:r>
        <w:rPr>
          <w:i/>
          <w:color w:val="0D0D0D"/>
          <w:sz w:val="24"/>
        </w:rPr>
        <w:t>права</w:t>
      </w:r>
      <w:r>
        <w:rPr>
          <w:i/>
          <w:color w:val="0D0D0D"/>
          <w:spacing w:val="-57"/>
          <w:sz w:val="24"/>
        </w:rPr>
        <w:t xml:space="preserve"> </w:t>
      </w:r>
      <w:r>
        <w:rPr>
          <w:i/>
          <w:color w:val="0D0D0D"/>
          <w:sz w:val="24"/>
        </w:rPr>
        <w:t>Хмельницького національного університету</w:t>
      </w:r>
      <w:r>
        <w:rPr>
          <w:i/>
          <w:color w:val="0D0D0D"/>
          <w:spacing w:val="1"/>
          <w:sz w:val="24"/>
        </w:rPr>
        <w:t xml:space="preserve"> </w:t>
      </w:r>
      <w:r>
        <w:rPr>
          <w:i/>
          <w:color w:val="0D0D0D"/>
          <w:sz w:val="24"/>
        </w:rPr>
        <w:t>ORCID</w:t>
      </w:r>
      <w:r>
        <w:rPr>
          <w:i/>
          <w:color w:val="0D0D0D"/>
          <w:spacing w:val="-10"/>
          <w:sz w:val="24"/>
        </w:rPr>
        <w:t xml:space="preserve"> </w:t>
      </w:r>
      <w:r>
        <w:rPr>
          <w:i/>
          <w:color w:val="0D0D0D"/>
          <w:sz w:val="24"/>
        </w:rPr>
        <w:t>–</w:t>
      </w:r>
      <w:r>
        <w:rPr>
          <w:i/>
          <w:color w:val="0D0D0D"/>
          <w:spacing w:val="-8"/>
          <w:sz w:val="24"/>
        </w:rPr>
        <w:t xml:space="preserve"> </w:t>
      </w:r>
      <w:r>
        <w:rPr>
          <w:i/>
          <w:color w:val="0D0D0D"/>
          <w:sz w:val="24"/>
        </w:rPr>
        <w:t>https:</w:t>
      </w:r>
      <w:r>
        <w:rPr>
          <w:i/>
          <w:color w:val="0D0D0D"/>
          <w:spacing w:val="-8"/>
          <w:sz w:val="24"/>
        </w:rPr>
        <w:t xml:space="preserve"> </w:t>
      </w:r>
      <w:r>
        <w:rPr>
          <w:i/>
          <w:color w:val="0D0D0D"/>
          <w:sz w:val="24"/>
        </w:rPr>
        <w:t>//orcid.org/</w:t>
      </w:r>
      <w:r>
        <w:rPr>
          <w:i/>
          <w:color w:val="0D0D0D"/>
          <w:spacing w:val="-8"/>
          <w:sz w:val="24"/>
        </w:rPr>
        <w:t xml:space="preserve"> </w:t>
      </w:r>
      <w:r>
        <w:rPr>
          <w:i/>
          <w:color w:val="0D0D0D"/>
          <w:sz w:val="24"/>
        </w:rPr>
        <w:t>0000-0002-2224-8803</w:t>
      </w:r>
    </w:p>
    <w:p w:rsidR="00C908DE" w:rsidRDefault="00C908DE" w:rsidP="00C908DE">
      <w:pPr>
        <w:spacing w:line="274" w:lineRule="exact"/>
        <w:ind w:left="124" w:right="561"/>
        <w:jc w:val="right"/>
        <w:rPr>
          <w:i/>
          <w:sz w:val="24"/>
        </w:rPr>
      </w:pPr>
      <w:r>
        <w:rPr>
          <w:i/>
          <w:color w:val="0D0D0D"/>
          <w:spacing w:val="-1"/>
          <w:sz w:val="24"/>
        </w:rPr>
        <w:t xml:space="preserve">E-mail: </w:t>
      </w:r>
      <w:hyperlink r:id="rId5">
        <w:r>
          <w:rPr>
            <w:i/>
            <w:color w:val="0D0D0D"/>
            <w:spacing w:val="-1"/>
            <w:sz w:val="24"/>
          </w:rPr>
          <w:t>St_kravchuk@ukr.net</w:t>
        </w:r>
      </w:hyperlink>
    </w:p>
    <w:p w:rsidR="00C908DE" w:rsidRDefault="00C908DE" w:rsidP="00C908DE">
      <w:pPr>
        <w:pStyle w:val="a3"/>
        <w:ind w:firstLine="0"/>
        <w:jc w:val="left"/>
        <w:rPr>
          <w:i/>
          <w:sz w:val="26"/>
        </w:rPr>
      </w:pPr>
    </w:p>
    <w:p w:rsidR="00C908DE" w:rsidRDefault="00C908DE" w:rsidP="00C908DE">
      <w:pPr>
        <w:pStyle w:val="4"/>
        <w:spacing w:before="225" w:line="249" w:lineRule="auto"/>
        <w:ind w:left="213" w:right="561" w:firstLine="283"/>
      </w:pPr>
      <w:r>
        <w:rPr>
          <w:color w:val="231F20"/>
        </w:rPr>
        <w:t>Кравчук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Й.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Правові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передумови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міжнародному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комер-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ційному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арбітражі.</w:t>
      </w:r>
    </w:p>
    <w:p w:rsidR="00C908DE" w:rsidRDefault="00C908DE" w:rsidP="00C908DE">
      <w:pPr>
        <w:pStyle w:val="a3"/>
        <w:spacing w:before="1" w:line="249" w:lineRule="auto"/>
        <w:ind w:left="213" w:right="560"/>
      </w:pPr>
      <w:r>
        <w:rPr>
          <w:color w:val="231F20"/>
        </w:rPr>
        <w:t>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статті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досліджуються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проблемні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питання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підстав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міжнародному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комерцій-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ному арбітражі. Актуальність цієї теми обумовлена потребами відсутності чіткого визначення пере-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думов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спорів,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порядку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використання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практичній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діяльності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арбітражу.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Крім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цього,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проаналізовані</w:t>
      </w:r>
      <w:r>
        <w:rPr>
          <w:color w:val="231F20"/>
          <w:spacing w:val="38"/>
        </w:rPr>
        <w:t xml:space="preserve"> </w:t>
      </w:r>
      <w:r>
        <w:rPr>
          <w:color w:val="231F20"/>
        </w:rPr>
        <w:t>проблемні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аспекти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розгляді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міжна-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родному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комерційному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арбітражі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визначені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процесуальні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заходи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вирішення.</w:t>
      </w:r>
    </w:p>
    <w:p w:rsidR="00C908DE" w:rsidRDefault="00C908DE" w:rsidP="00C908DE">
      <w:pPr>
        <w:pStyle w:val="a3"/>
        <w:spacing w:before="5" w:line="249" w:lineRule="auto"/>
        <w:ind w:left="213" w:right="560"/>
      </w:pPr>
      <w:r>
        <w:rPr>
          <w:color w:val="231F20"/>
        </w:rPr>
        <w:t>Для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досягнення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мети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вивчались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матеріальні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передумови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МКА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визначався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порядок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допомогою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порівняльно-правового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методу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здійснено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аналіз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підходів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визначення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переумов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правового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регулювання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із судовою системою України. Визначено передумови для передачі спору до міжнародного комер-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ційного арбітражу, якими є наявні переваги арбітражу порівняно з державними судами полягають,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насамперед у тому, що він забезпечує більш прийнятну, доступну та більш просту, порівняно з дер-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жавними судами, процедуру вирішення спорів. Іншими словами, йдеться про процедуру, встановле-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ну сторонами спору, яка в цілому може бути адекватна та пристосована для прийняття узгоджених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рішень. Навіть у тих випадках, коли сторони звертаються до постійно діючого комерційного арбіт-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ражу, який має свої правила процедури, вони можуть самостійно передбачити процедуру арбітражу.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 Арбітражному регламенті ЮНСІТРАЛ 2010 р. передбачено, що коли сторони вирішили передати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 розгляд арбітражу спори згідно з даним Регламентом, то вони розглядаються відповідно до цього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Регламенту.</w:t>
      </w:r>
    </w:p>
    <w:p w:rsidR="00C908DE" w:rsidRDefault="00C908DE" w:rsidP="00C908DE">
      <w:pPr>
        <w:pStyle w:val="a3"/>
        <w:spacing w:before="11" w:line="249" w:lineRule="auto"/>
        <w:ind w:left="213" w:right="559"/>
      </w:pPr>
      <w:r>
        <w:rPr>
          <w:color w:val="231F20"/>
        </w:rPr>
        <w:t>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результаті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дослідження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виділено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ряд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основних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ризиків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труднощів,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якими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стикається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сторо-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на при зверненні до державного суду: незнання процедури, обов’язкової для іноземного державного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суду;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обов’язковість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ведення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процесу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мовою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місцезнаходження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суду;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наявність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декількох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інстанцій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процесуальний формалізм, який має місце при зверненні до загальних судів; не завжди судді мають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належну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компетенцію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спорів,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виникають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зовнішньоторговельного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обігу;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збирання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доказів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 їх оцінка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підставі національної системи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права.</w:t>
      </w:r>
    </w:p>
    <w:p w:rsidR="00C908DE" w:rsidRDefault="00C908DE" w:rsidP="00C908DE">
      <w:pPr>
        <w:pStyle w:val="a3"/>
        <w:spacing w:before="5" w:line="249" w:lineRule="auto"/>
        <w:ind w:left="213" w:right="560"/>
      </w:pPr>
      <w:r>
        <w:rPr>
          <w:color w:val="231F20"/>
          <w:spacing w:val="-1"/>
        </w:rPr>
        <w:t>Дослідження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зроблено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висновки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переваги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арбітражу,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наявно-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сті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передумов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спору,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дають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значно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кращі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переваги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спорів,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формує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його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авторитет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серед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відповідних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категорій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юридичних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осіб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фізичних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осіб-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підприємців.</w:t>
      </w:r>
    </w:p>
    <w:p w:rsidR="00C908DE" w:rsidRDefault="00C908DE" w:rsidP="00C908DE">
      <w:pPr>
        <w:pStyle w:val="a3"/>
        <w:spacing w:before="3" w:line="249" w:lineRule="auto"/>
        <w:ind w:left="213" w:right="561"/>
      </w:pPr>
      <w:r>
        <w:rPr>
          <w:b/>
          <w:color w:val="231F20"/>
        </w:rPr>
        <w:t xml:space="preserve">Ключові слова: </w:t>
      </w:r>
      <w:r>
        <w:rPr>
          <w:color w:val="231F20"/>
        </w:rPr>
        <w:t>міжнародний комерційний арбітраж, морська арбітражна комісія, арбітри, арбіт-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ражна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комісія, судовий процес.</w:t>
      </w:r>
    </w:p>
    <w:p w:rsidR="00C908DE" w:rsidRDefault="00C908DE" w:rsidP="00C908DE">
      <w:pPr>
        <w:pStyle w:val="a3"/>
        <w:ind w:firstLine="0"/>
        <w:jc w:val="left"/>
        <w:rPr>
          <w:sz w:val="22"/>
        </w:rPr>
      </w:pPr>
    </w:p>
    <w:p w:rsidR="00C908DE" w:rsidRDefault="00C908DE" w:rsidP="00C908DE">
      <w:pPr>
        <w:pStyle w:val="4"/>
        <w:spacing w:line="249" w:lineRule="auto"/>
        <w:ind w:left="213" w:right="561" w:firstLine="283"/>
      </w:pPr>
      <w:r>
        <w:rPr>
          <w:color w:val="231F20"/>
        </w:rPr>
        <w:t>Kravchuk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Legal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prerequisites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consideration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settlement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disputes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com-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mercial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arbitration.</w:t>
      </w:r>
    </w:p>
    <w:p w:rsidR="00C908DE" w:rsidRDefault="00C908DE" w:rsidP="00C908DE">
      <w:pPr>
        <w:pStyle w:val="a3"/>
        <w:spacing w:before="2" w:line="249" w:lineRule="auto"/>
        <w:ind w:left="213" w:right="560"/>
      </w:pPr>
      <w:r>
        <w:rPr>
          <w:color w:val="231F20"/>
        </w:rPr>
        <w:t>The article examines the problematic issues of the grounds for litigation in international commercial ar-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bitration.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urgency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topic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is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due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need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lack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clear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definition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prerequisites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re-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solving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disputes,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well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as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procedure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their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use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practice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arbitration.</w:t>
      </w:r>
    </w:p>
    <w:p w:rsidR="00C908DE" w:rsidRDefault="00C908DE" w:rsidP="00C908DE">
      <w:pPr>
        <w:spacing w:line="249" w:lineRule="auto"/>
        <w:sectPr w:rsidR="00C908DE">
          <w:pgSz w:w="11510" w:h="16790"/>
          <w:pgMar w:top="1600" w:right="740" w:bottom="1040" w:left="920" w:header="0" w:footer="854" w:gutter="0"/>
          <w:cols w:space="720"/>
        </w:sectPr>
      </w:pPr>
    </w:p>
    <w:p w:rsidR="00C908DE" w:rsidRDefault="00C908DE" w:rsidP="00C908DE">
      <w:pPr>
        <w:spacing w:before="74"/>
        <w:ind w:left="406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59264" behindDoc="1" locked="0" layoutInCell="1" allowOverlap="1" wp14:anchorId="7AD17842" wp14:editId="50FF646D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55" name="Group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56" name="Line 55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7" name="Freeform 54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4A19612" id="Group 53" o:spid="_x0000_s1026" style="position:absolute;margin-left:65.2pt;margin-top:18.95pt;width:454.15pt;height:2.45pt;z-index:-251657216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">
                <v:line id="Line 55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" strokecolor="#231f20" strokeweight="1pt"/>
                <v:shape id="Freeform 54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C908DE" w:rsidRDefault="00C908DE" w:rsidP="00C908DE">
      <w:pPr>
        <w:pStyle w:val="a3"/>
        <w:ind w:firstLine="0"/>
        <w:jc w:val="left"/>
        <w:rPr>
          <w:sz w:val="20"/>
        </w:rPr>
      </w:pPr>
    </w:p>
    <w:p w:rsidR="00C908DE" w:rsidRDefault="00C908DE" w:rsidP="00C908DE">
      <w:pPr>
        <w:pStyle w:val="a3"/>
        <w:ind w:firstLine="0"/>
        <w:jc w:val="left"/>
        <w:rPr>
          <w:sz w:val="16"/>
        </w:rPr>
      </w:pPr>
    </w:p>
    <w:p w:rsidR="00C908DE" w:rsidRDefault="00C908DE" w:rsidP="00C908DE">
      <w:pPr>
        <w:pStyle w:val="a3"/>
        <w:spacing w:before="92" w:line="249" w:lineRule="auto"/>
        <w:ind w:left="383" w:right="389" w:firstLine="0"/>
      </w:pP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addition,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problematic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aspects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dispute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resolution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arbitration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analyzed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procedural measures for their resolution are identified.</w:t>
      </w:r>
    </w:p>
    <w:p w:rsidR="00C908DE" w:rsidRDefault="00C908DE" w:rsidP="00C908DE">
      <w:pPr>
        <w:pStyle w:val="a3"/>
        <w:spacing w:before="1" w:line="249" w:lineRule="auto"/>
        <w:ind w:left="383" w:right="389"/>
      </w:pPr>
      <w:r>
        <w:rPr>
          <w:color w:val="231F20"/>
        </w:rPr>
        <w:t>To achieve this goal, the material preconditions for dispute resolution in the ICA were studied and the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procedure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resolving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disputes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was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determined.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preconditions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transferring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dispute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international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arbitration,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which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are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advantages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arbitration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compared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courts,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are,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first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all,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it provides a more acceptable, accessible and simpler procedure for resolving disputes compared to state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courts. In other words, it is a procedure established by the parties to the dispute, which in general can be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adequate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and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adapted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make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agreed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decisions.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Even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parties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turn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permanent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commercial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arbi-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 xml:space="preserve">tration, which has its own </w:t>
      </w:r>
      <w:r>
        <w:rPr>
          <w:color w:val="231F20"/>
        </w:rPr>
        <w:t>rules of procedure, they can provide for arbitration. The UNCITRAL Arbitration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Rules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2010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stipulate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that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when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parties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decide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submit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disputes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arbitration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in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accordance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with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these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Rules,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they shall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be considered in accordance with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these Rules.</w:t>
      </w:r>
    </w:p>
    <w:p w:rsidR="00C908DE" w:rsidRDefault="00C908DE" w:rsidP="00C908DE">
      <w:pPr>
        <w:pStyle w:val="a3"/>
        <w:spacing w:before="8" w:line="249" w:lineRule="auto"/>
        <w:ind w:left="383" w:right="389"/>
      </w:pPr>
      <w:r>
        <w:rPr>
          <w:color w:val="231F20"/>
        </w:rPr>
        <w:t>The study identified a number of major risks and difficulties faced by the party in applying to a state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court: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ignorance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of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procedure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required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a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foreign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state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court;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obligation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to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conduct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the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proceedings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in the language of the court’s location; the existence of several instances and the procedural formalism that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occurs when applying to the general courts; judges do not always have the appropriate competence to deal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with disputes arising from foreign trade; gathering evidence and evaluating it on the basis of the national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legal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system.</w:t>
      </w:r>
    </w:p>
    <w:p w:rsidR="00C908DE" w:rsidRDefault="00C908DE" w:rsidP="00C908DE">
      <w:pPr>
        <w:pStyle w:val="a3"/>
        <w:spacing w:before="5" w:line="249" w:lineRule="auto"/>
        <w:ind w:left="383" w:right="390"/>
      </w:pPr>
      <w:r>
        <w:rPr>
          <w:color w:val="231F20"/>
        </w:rPr>
        <w:t>The study concluded that the benefits of international commercial arbitration, in the presence of prereq-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uisites for litigation, give much better benefits for litigation, which forms its authority among the relevant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categories of legal entities and individual entrepreneurs.</w:t>
      </w:r>
    </w:p>
    <w:p w:rsidR="00C908DE" w:rsidRDefault="00C908DE" w:rsidP="00C908DE">
      <w:pPr>
        <w:pStyle w:val="a3"/>
        <w:spacing w:before="3" w:line="249" w:lineRule="auto"/>
        <w:ind w:left="383" w:right="391"/>
      </w:pPr>
      <w:r>
        <w:rPr>
          <w:b/>
          <w:color w:val="231F20"/>
        </w:rPr>
        <w:t xml:space="preserve">Key words: </w:t>
      </w:r>
      <w:r>
        <w:rPr>
          <w:color w:val="231F20"/>
        </w:rPr>
        <w:t>international commercial arbitration, maritime arbitration commission, arbitrators, arbitra-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tion commission, litigation.</w:t>
      </w:r>
    </w:p>
    <w:p w:rsidR="00C908DE" w:rsidRDefault="00C908DE" w:rsidP="00C908DE">
      <w:pPr>
        <w:pStyle w:val="a3"/>
        <w:spacing w:before="1"/>
        <w:ind w:firstLine="0"/>
        <w:jc w:val="left"/>
        <w:rPr>
          <w:sz w:val="22"/>
        </w:rPr>
      </w:pPr>
    </w:p>
    <w:p w:rsidR="00C908DE" w:rsidRDefault="00C908DE" w:rsidP="00C908DE">
      <w:pPr>
        <w:pStyle w:val="a3"/>
        <w:spacing w:line="249" w:lineRule="auto"/>
        <w:ind w:left="383" w:right="389"/>
      </w:pPr>
      <w:r>
        <w:rPr>
          <w:b/>
          <w:color w:val="231F20"/>
          <w:spacing w:val="-1"/>
        </w:rPr>
        <w:t>Постановка</w:t>
      </w:r>
      <w:r>
        <w:rPr>
          <w:b/>
          <w:color w:val="231F20"/>
          <w:spacing w:val="-12"/>
        </w:rPr>
        <w:t xml:space="preserve"> </w:t>
      </w:r>
      <w:r>
        <w:rPr>
          <w:b/>
          <w:color w:val="231F20"/>
          <w:spacing w:val="-1"/>
        </w:rPr>
        <w:t>проблеми.</w:t>
      </w:r>
      <w:r>
        <w:rPr>
          <w:b/>
          <w:color w:val="231F20"/>
          <w:spacing w:val="-11"/>
        </w:rPr>
        <w:t xml:space="preserve"> </w:t>
      </w:r>
      <w:r>
        <w:rPr>
          <w:color w:val="231F20"/>
          <w:spacing w:val="-1"/>
        </w:rPr>
        <w:t>Міжнародний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комерційний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арбітраж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одним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найважливіших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інструмен-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тів в ринковій економіці. На відміну від державних судів, в тому числі господарських, міжнародний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комерційний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арбітраж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органом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правосуддя.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Це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інститут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приватного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права.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Саме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міжнародні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комерційні арбітражі розглядають в якості альтернативного способу вирішення комерційних спорів,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як один з різновидів третейських судів. У зв’язку з цим рівень ініціативи та диспозитивності в ре-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алізації цього інституту значно вище, ніж при забезпеченні захисту порушених прав та інтересів 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державних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судах [4].</w:t>
      </w:r>
    </w:p>
    <w:p w:rsidR="00C908DE" w:rsidRDefault="00C908DE" w:rsidP="00C908DE">
      <w:pPr>
        <w:pStyle w:val="a3"/>
        <w:spacing w:before="6" w:line="249" w:lineRule="auto"/>
        <w:ind w:left="383" w:right="390"/>
      </w:pPr>
      <w:r>
        <w:rPr>
          <w:b/>
          <w:color w:val="231F20"/>
        </w:rPr>
        <w:t xml:space="preserve">Стан опрацювання цієї проблематики. </w:t>
      </w:r>
      <w:r>
        <w:rPr>
          <w:color w:val="231F20"/>
        </w:rPr>
        <w:t>Проблему підстави та порядку вирішення спорів міжна-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родним комерційним арбітражем досліджували українські і зарубіжні вчені Атамасов А., . Білоусов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Ю., Бондарєв Т., Брунцева Е., Висоцька О., Воронов В., Волощук О., Захарченко Т. та інші науковці.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Разом з цим, ними не в повній мірі вивичалась проблема виникнення переумов для розгляду і вирі-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 xml:space="preserve">шення спорів у цьому судовому органі. Тому </w:t>
      </w:r>
      <w:r>
        <w:rPr>
          <w:b/>
          <w:color w:val="231F20"/>
        </w:rPr>
        <w:t xml:space="preserve">мета статті </w:t>
      </w:r>
      <w:r>
        <w:rPr>
          <w:color w:val="231F20"/>
        </w:rPr>
        <w:t>обумовлена потребами практики чіткого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визначення передумов для розгляду і вирішення спорів в міжнародному комерційному арбітражі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порядку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їх використання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 його практичній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діяльності.</w:t>
      </w:r>
    </w:p>
    <w:p w:rsidR="00C908DE" w:rsidRDefault="00C908DE" w:rsidP="00C908DE">
      <w:pPr>
        <w:pStyle w:val="a3"/>
        <w:spacing w:before="6" w:line="249" w:lineRule="auto"/>
        <w:ind w:left="383" w:right="389"/>
      </w:pPr>
      <w:r>
        <w:rPr>
          <w:b/>
          <w:color w:val="231F20"/>
        </w:rPr>
        <w:t>Виклад основного матеріалу</w:t>
      </w:r>
      <w:r>
        <w:rPr>
          <w:color w:val="231F20"/>
        </w:rPr>
        <w:t>. Надаючи великий вплив на розвиток всебічних зв’язків між кра-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їнами і сприяючи процесу міжнародної економічної інтеграції, економічні відносини в той же час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нерідко</w:t>
      </w:r>
      <w:r>
        <w:rPr>
          <w:color w:val="231F20"/>
          <w:spacing w:val="-13"/>
        </w:rPr>
        <w:t xml:space="preserve"> </w:t>
      </w:r>
      <w:r>
        <w:rPr>
          <w:color w:val="231F20"/>
          <w:spacing w:val="-1"/>
        </w:rPr>
        <w:t>можуть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ставати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сферою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зіткнення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інтересів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суб’єктів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права.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необхідною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умовою зміцнення і розвитку міжнародного співробітництва є успішне вирішення економічних роз-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біжностей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відповідності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принципом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мирного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врегулювання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міжнародних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суперечок.</w:t>
      </w:r>
    </w:p>
    <w:p w:rsidR="00C908DE" w:rsidRDefault="00C908DE" w:rsidP="00C908DE">
      <w:pPr>
        <w:pStyle w:val="a3"/>
        <w:spacing w:before="4" w:line="249" w:lineRule="auto"/>
        <w:ind w:left="383" w:right="389"/>
      </w:pPr>
      <w:r>
        <w:rPr>
          <w:color w:val="231F20"/>
          <w:spacing w:val="-1"/>
        </w:rPr>
        <w:t>Основні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принципи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та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порядок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врегулювання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таких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спорів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передбачено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Законом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України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«Про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між-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народний комерційний арбітраж». Відповідно до ст. 1 цього Закону до міжнародного комерційного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арбітражу можуть за угодою сторін передаватись на вирішення види спорів, що випливають з дого-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вірних та інших цивільно-правових відносин, які виникають при здійсненні зовнішньоторговельних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та інших видів міжнародних економічних зв’язків, якщо комерційне підприємство хоча б однієї із</w:t>
      </w:r>
      <w:r>
        <w:rPr>
          <w:color w:val="231F20"/>
          <w:spacing w:val="1"/>
        </w:rPr>
        <w:t xml:space="preserve"> </w:t>
      </w:r>
      <w:r>
        <w:rPr>
          <w:color w:val="231F20"/>
          <w:spacing w:val="-1"/>
        </w:rPr>
        <w:t>сторін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спору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знаходиться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кордоном,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підприємств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іноземними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інвестиціями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міжнародних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об’єднань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організацій,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створених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території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України,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собою,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спори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учасниками,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так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само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їх спори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 іншими суб’єктами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права України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[5, с.141].</w:t>
      </w:r>
    </w:p>
    <w:p w:rsidR="00C908DE" w:rsidRDefault="00C908DE" w:rsidP="00C908DE">
      <w:pPr>
        <w:pStyle w:val="a3"/>
        <w:spacing w:before="7" w:line="249" w:lineRule="auto"/>
        <w:ind w:left="383" w:right="390"/>
      </w:pPr>
      <w:r>
        <w:rPr>
          <w:color w:val="231F20"/>
        </w:rPr>
        <w:t>Зовнішньоекономічні відносини, спори з яких можуть бути передані на вирішення міжнародного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арбітражного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суду,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стосуються,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зокрема,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відносин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купівлі-продажу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(поставки)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товарів,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виконання робіт, надання послуг, обміну товарами та/чи послугами, перевезення вантажів і пасажи-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рів,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торгового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представництва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посередництва,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оренди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(лізингу),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науково-технічного</w:t>
      </w:r>
      <w:r>
        <w:rPr>
          <w:color w:val="231F20"/>
          <w:spacing w:val="13"/>
        </w:rPr>
        <w:t xml:space="preserve"> </w:t>
      </w:r>
      <w:r>
        <w:rPr>
          <w:color w:val="231F20"/>
        </w:rPr>
        <w:t>обміну,</w:t>
      </w:r>
      <w:r>
        <w:rPr>
          <w:color w:val="231F20"/>
          <w:spacing w:val="14"/>
        </w:rPr>
        <w:t xml:space="preserve"> </w:t>
      </w:r>
      <w:r>
        <w:rPr>
          <w:color w:val="231F20"/>
        </w:rPr>
        <w:t>обмі-</w:t>
      </w:r>
    </w:p>
    <w:p w:rsidR="00C908DE" w:rsidRDefault="00C908DE" w:rsidP="00C908DE">
      <w:pPr>
        <w:spacing w:line="249" w:lineRule="auto"/>
        <w:sectPr w:rsidR="00C908DE">
          <w:pgSz w:w="11510" w:h="16790"/>
          <w:pgMar w:top="680" w:right="740" w:bottom="1040" w:left="920" w:header="0" w:footer="854" w:gutter="0"/>
          <w:cols w:space="720"/>
        </w:sectPr>
      </w:pPr>
    </w:p>
    <w:p w:rsidR="00C908DE" w:rsidRDefault="00C908DE" w:rsidP="00C908DE">
      <w:pPr>
        <w:pStyle w:val="3"/>
        <w:ind w:left="2968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0288" behindDoc="1" locked="0" layoutInCell="1" allowOverlap="1" wp14:anchorId="70BC8B87" wp14:editId="0C41A365">
                <wp:simplePos x="0" y="0"/>
                <wp:positionH relativeFrom="page">
                  <wp:posOffset>712470</wp:posOffset>
                </wp:positionH>
                <wp:positionV relativeFrom="paragraph">
                  <wp:posOffset>240030</wp:posOffset>
                </wp:positionV>
                <wp:extent cx="5767705" cy="31115"/>
                <wp:effectExtent l="0" t="0" r="0" b="0"/>
                <wp:wrapTopAndBottom/>
                <wp:docPr id="52" name="Group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122" y="378"/>
                          <a:chExt cx="9083" cy="49"/>
                        </a:xfrm>
                      </wpg:grpSpPr>
                      <wps:wsp>
                        <wps:cNvPr id="53" name="Line 52"/>
                        <wps:cNvCnPr>
                          <a:cxnSpLocks noChangeShapeType="1"/>
                        </wps:cNvCnPr>
                        <wps:spPr bwMode="auto">
                          <a:xfrm>
                            <a:off x="1122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4" name="Freeform 51"/>
                        <wps:cNvSpPr>
                          <a:spLocks/>
                        </wps:cNvSpPr>
                        <wps:spPr bwMode="auto">
                          <a:xfrm>
                            <a:off x="10159" y="378"/>
                            <a:ext cx="46" cy="49"/>
                          </a:xfrm>
                          <a:custGeom>
                            <a:avLst/>
                            <a:gdLst>
                              <a:gd name="T0" fmla="+- 0 10182 10159"/>
                              <a:gd name="T1" fmla="*/ T0 w 46"/>
                              <a:gd name="T2" fmla="+- 0 378 378"/>
                              <a:gd name="T3" fmla="*/ 378 h 49"/>
                              <a:gd name="T4" fmla="+- 0 10159 10159"/>
                              <a:gd name="T5" fmla="*/ T4 w 46"/>
                              <a:gd name="T6" fmla="+- 0 402 378"/>
                              <a:gd name="T7" fmla="*/ 402 h 49"/>
                              <a:gd name="T8" fmla="+- 0 10182 10159"/>
                              <a:gd name="T9" fmla="*/ T8 w 46"/>
                              <a:gd name="T10" fmla="+- 0 426 378"/>
                              <a:gd name="T11" fmla="*/ 426 h 49"/>
                              <a:gd name="T12" fmla="+- 0 10205 10159"/>
                              <a:gd name="T13" fmla="*/ T12 w 46"/>
                              <a:gd name="T14" fmla="+- 0 402 378"/>
                              <a:gd name="T15" fmla="*/ 402 h 49"/>
                              <a:gd name="T16" fmla="+- 0 10182 10159"/>
                              <a:gd name="T17" fmla="*/ T16 w 46"/>
                              <a:gd name="T18" fmla="+- 0 378 378"/>
                              <a:gd name="T19" fmla="*/ 378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6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CB4D5E" id="Group 50" o:spid="_x0000_s1026" style="position:absolute;margin-left:56.1pt;margin-top:18.9pt;width:454.15pt;height:2.45pt;z-index:-251656192;mso-wrap-distance-left:0;mso-wrap-distance-right:0;mso-position-horizontal-relative:page" coordorigin="1122,378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">
                <v:line id="Line 52" o:spid="_x0000_s1027" style="position:absolute;visibility:visible;mso-wrap-style:square" from="1122,403" to="10182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" strokecolor="#231f20" strokeweight="1pt"/>
                <v:shape id="Freeform 51" o:spid="_x0000_s1028" style="position:absolute;left:10159;top:378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" path="m23,l,24,23,48,46,24,23,xe" fillcolor="#231f20" stroked="f">
                  <v:path arrowok="t" o:connecttype="custom" o:connectlocs="23,378;0,402;23,426;46,402;23,378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2022</w:t>
      </w:r>
    </w:p>
    <w:p w:rsidR="00C908DE" w:rsidRDefault="00C908DE" w:rsidP="00C908DE">
      <w:pPr>
        <w:pStyle w:val="a3"/>
        <w:ind w:firstLine="0"/>
        <w:jc w:val="left"/>
        <w:rPr>
          <w:sz w:val="20"/>
        </w:rPr>
      </w:pPr>
    </w:p>
    <w:p w:rsidR="00C908DE" w:rsidRDefault="00C908DE" w:rsidP="00C908DE">
      <w:pPr>
        <w:pStyle w:val="a3"/>
        <w:spacing w:before="2"/>
        <w:ind w:firstLine="0"/>
        <w:jc w:val="left"/>
        <w:rPr>
          <w:sz w:val="16"/>
        </w:rPr>
      </w:pPr>
    </w:p>
    <w:p w:rsidR="00C908DE" w:rsidRDefault="00C908DE" w:rsidP="00C908DE">
      <w:pPr>
        <w:pStyle w:val="a3"/>
        <w:spacing w:before="91" w:line="249" w:lineRule="auto"/>
        <w:ind w:left="213" w:right="559" w:firstLine="0"/>
      </w:pPr>
      <w:r>
        <w:rPr>
          <w:color w:val="231F20"/>
        </w:rPr>
        <w:t>ну іншими наслідками творчої діяльності, спорудження промислових та інших об’єктів, ліцензійних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операцій, інвестицій, кредитно-розрахункових операцій, страхування, спільного підприємництва та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інших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форм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промислової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 підприємницької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кооперації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[11].</w:t>
      </w:r>
    </w:p>
    <w:p w:rsidR="00C908DE" w:rsidRDefault="00C908DE" w:rsidP="00C908DE">
      <w:pPr>
        <w:pStyle w:val="a3"/>
        <w:spacing w:before="2" w:line="249" w:lineRule="auto"/>
        <w:ind w:left="213" w:right="561"/>
      </w:pPr>
      <w:r>
        <w:rPr>
          <w:color w:val="231F20"/>
        </w:rPr>
        <w:t>Морська арбітражна комісія, що діє при Торгово-промисловій палаті України на підставі Поло-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ження, затвердженого згідно Додатку №2 до Закону України «Про міжнародний комерційний арбіт-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раж» та Регламенту, затвердженого рішенням Президіуму Торгово-промислової палати України від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17.04.2007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р.,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протокол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№18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(1),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вирішує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спори,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які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випливають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договірних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інших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цивільно-пра-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вових відносин, що виникають із торгового мореплавства, незалежно від того, чи є сторонами таких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відносин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суб’єкти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українського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іноземного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лише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українського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тільки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іноземного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права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[12].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Зокрема,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Морська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арбітражна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комісія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вирішує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спори,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випливають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відносин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щодо: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2"/>
        </w:tabs>
        <w:spacing w:before="6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фрахтування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суден,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морського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перевезення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вантажів,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також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перевезення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вантажів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змішаному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плаванні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(ріка-море);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2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морського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буксирування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суден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інших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плавучих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засобів;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11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морського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страхування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перестрахування;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32"/>
        </w:tabs>
        <w:spacing w:before="10" w:line="249" w:lineRule="auto"/>
        <w:ind w:right="56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пов’язаних з купівлею-продажем, заставою та ремонтом морських суден та інших плавучих за-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собів;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18"/>
        </w:tabs>
        <w:spacing w:before="2" w:line="249" w:lineRule="auto"/>
        <w:ind w:right="55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лоцманської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льодової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проводки,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агентського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іншого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обслуговування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морських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суден,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також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суден внутрішнього плавання, оскільки відповідні операції пов’язані з плаванням таких суден мор-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ськими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шляхами;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45"/>
        </w:tabs>
        <w:spacing w:before="3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зв’язаних з використанням суден для здійснення наукових досліджень, видобування корисних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копалин,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гідротехнічних та інших робіт;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47"/>
        </w:tabs>
        <w:spacing w:before="1" w:line="249" w:lineRule="auto"/>
        <w:ind w:right="55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рятування морських суден або морським судном судна внутрішнього плавання, а також щодо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рятування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морських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водах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судном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внутрішнього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плавання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іншого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судна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внутрішнього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плавання;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2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зв’язаних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підніманням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затонулих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морі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суден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іншого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майна;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31"/>
        </w:tabs>
        <w:spacing w:before="11" w:line="249" w:lineRule="auto"/>
        <w:ind w:right="55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зв’язаних із зіткненням морських суден, морського судна і судна внутрішнього плавання, суден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внутрішнього плавання у морських водах, а також з заподіянням судном пошкоджень портовим спо-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рудам,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засобам навігаційної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обстановки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 іншим об’єктам;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10"/>
        </w:tabs>
        <w:spacing w:before="2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pacing w:val="-1"/>
          <w:sz w:val="21"/>
        </w:rPr>
        <w:t>зв’язаних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із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заподіянням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пошкоджень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рибальським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сітям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і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іншим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знаряддям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лову,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також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іншим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заподіянням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шкоди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під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час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здійснення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морського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рибного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промислу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[10,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с.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17].</w:t>
      </w:r>
    </w:p>
    <w:p w:rsidR="00C908DE" w:rsidRDefault="00C908DE" w:rsidP="00C908DE">
      <w:pPr>
        <w:pStyle w:val="a3"/>
        <w:spacing w:before="2" w:line="249" w:lineRule="auto"/>
        <w:ind w:left="213" w:right="560"/>
      </w:pPr>
      <w:r>
        <w:rPr>
          <w:color w:val="231F20"/>
        </w:rPr>
        <w:t>Відповідно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позиції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Мальського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М.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передумовою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звернення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повинен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існувати склад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юридичних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фактів: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2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наявність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спору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10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наявність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арбітражної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угоди.</w:t>
      </w:r>
    </w:p>
    <w:p w:rsidR="00C908DE" w:rsidRDefault="00C908DE" w:rsidP="00C908DE">
      <w:pPr>
        <w:pStyle w:val="a3"/>
        <w:spacing w:before="11" w:line="249" w:lineRule="auto"/>
        <w:ind w:left="213" w:right="560"/>
      </w:pPr>
      <w:r>
        <w:rPr>
          <w:color w:val="231F20"/>
        </w:rPr>
        <w:t>При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цьому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передбачати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інші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передумови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звернення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МКА.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Зокрема,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передбачати: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0"/>
        </w:tabs>
        <w:spacing w:before="1"/>
        <w:ind w:left="619" w:hanging="12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обов’язковість</w:t>
      </w:r>
      <w:r>
        <w:rPr>
          <w:rFonts w:ascii="Times New Roman" w:hAnsi="Times New Roman"/>
          <w:color w:val="231F20"/>
          <w:spacing w:val="-9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проведення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переговорів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перед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зверненням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суду;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31"/>
        </w:tabs>
        <w:spacing w:before="11" w:line="249" w:lineRule="auto"/>
        <w:ind w:right="56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обов’язок передачі спору на попередній розгляд медіатору, вищому керівництву сторін або екс-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перту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[7, с. 71].</w:t>
      </w:r>
    </w:p>
    <w:p w:rsidR="00C908DE" w:rsidRDefault="00C908DE" w:rsidP="00C908DE">
      <w:pPr>
        <w:pStyle w:val="a3"/>
        <w:spacing w:before="2" w:line="249" w:lineRule="auto"/>
        <w:ind w:left="213" w:right="560"/>
      </w:pPr>
      <w:r>
        <w:rPr>
          <w:color w:val="231F20"/>
          <w:spacing w:val="-1"/>
        </w:rPr>
        <w:t>Отже,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передумовами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для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передачі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спору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до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1"/>
        </w:rPr>
        <w:t>міжнародного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комерційного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наявні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перева-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ги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порівняно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державними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судами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полягають,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насамперед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тому,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він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забезпечує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більш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прийнятну, доступну та більш просту, порівняно з державними судами, процедуру вирішення спо-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рів. Іншими словами, йдеться про процедуру, встановлену сторонами спору, яка в цілому може бути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адекватна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пристосована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прийняття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узгоджених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рішень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[15,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149].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Навіть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тих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випадках,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коли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звертаються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постійно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діючого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арбітражу,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який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має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свої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правила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процедури,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самостійно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передбачити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процедуру</w:t>
      </w:r>
      <w:r>
        <w:rPr>
          <w:color w:val="231F20"/>
          <w:spacing w:val="-10"/>
        </w:rPr>
        <w:t xml:space="preserve"> </w:t>
      </w:r>
      <w:r>
        <w:rPr>
          <w:color w:val="231F20"/>
        </w:rPr>
        <w:t>арбітражу.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В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Арбітражному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регламенті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ЮНСІТРАЛ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2010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р.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передбачено,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коли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вирішили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передати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розгляд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спори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згідно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даним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Регламентом,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то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розглядаються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відповідно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цього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Регламенту.</w:t>
      </w:r>
    </w:p>
    <w:p w:rsidR="00C908DE" w:rsidRDefault="00C908DE" w:rsidP="00C908DE">
      <w:pPr>
        <w:pStyle w:val="a3"/>
        <w:spacing w:before="7" w:line="249" w:lineRule="auto"/>
        <w:ind w:left="213" w:right="561"/>
      </w:pPr>
      <w:r>
        <w:rPr>
          <w:color w:val="231F20"/>
        </w:rPr>
        <w:t>Підставами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передачі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свідчать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популярність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арбітражного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ко-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мерційних спорів, про яку раніше зазначалось, пояснюється не лише певною недовірою до націо-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нальних судових засобів вирішення таких спорів, а й власними перевагами арбітражу, які є вкрай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суттєвими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[14, с. 22].</w:t>
      </w:r>
    </w:p>
    <w:p w:rsidR="00C908DE" w:rsidRDefault="00C908DE" w:rsidP="00C908DE">
      <w:pPr>
        <w:pStyle w:val="a3"/>
        <w:spacing w:before="4" w:line="249" w:lineRule="auto"/>
        <w:ind w:left="213" w:right="560"/>
      </w:pPr>
      <w:r>
        <w:rPr>
          <w:color w:val="231F20"/>
        </w:rPr>
        <w:t>Науковцями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Білоусовим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Ю.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Нагнибідою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В.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щодо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міжнародному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комерційному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суді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визначено,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що</w:t>
      </w:r>
      <w:r>
        <w:rPr>
          <w:color w:val="231F20"/>
          <w:spacing w:val="-11"/>
        </w:rPr>
        <w:t xml:space="preserve"> </w:t>
      </w:r>
      <w:r>
        <w:rPr>
          <w:color w:val="231F20"/>
          <w:spacing w:val="-1"/>
        </w:rPr>
        <w:t>їх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передумовами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є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захист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порушених,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протестованих</w:t>
      </w:r>
      <w:r>
        <w:rPr>
          <w:color w:val="231F20"/>
          <w:spacing w:val="-11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невизнаних</w:t>
      </w:r>
      <w:r>
        <w:rPr>
          <w:color w:val="231F20"/>
          <w:spacing w:val="-50"/>
        </w:rPr>
        <w:t xml:space="preserve"> </w:t>
      </w:r>
      <w:r>
        <w:rPr>
          <w:color w:val="231F20"/>
          <w:spacing w:val="-1"/>
        </w:rPr>
        <w:t>прав,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з’ясування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меж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здійснення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такого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захисту,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форм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та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повноважень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цього</w:t>
      </w:r>
      <w:r>
        <w:rPr>
          <w:color w:val="231F20"/>
          <w:spacing w:val="-12"/>
        </w:rPr>
        <w:t xml:space="preserve"> </w:t>
      </w:r>
      <w:r>
        <w:rPr>
          <w:color w:val="231F20"/>
          <w:spacing w:val="-1"/>
        </w:rPr>
        <w:t>судового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органу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[3,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с.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47].</w:t>
      </w:r>
    </w:p>
    <w:p w:rsidR="00C908DE" w:rsidRDefault="00C908DE" w:rsidP="00C908DE">
      <w:pPr>
        <w:spacing w:line="249" w:lineRule="auto"/>
        <w:sectPr w:rsidR="00C908DE">
          <w:pgSz w:w="11510" w:h="16790"/>
          <w:pgMar w:top="680" w:right="740" w:bottom="1040" w:left="920" w:header="0" w:footer="854" w:gutter="0"/>
          <w:cols w:space="720"/>
        </w:sectPr>
      </w:pPr>
    </w:p>
    <w:p w:rsidR="00C908DE" w:rsidRDefault="00C908DE" w:rsidP="00C908DE">
      <w:pPr>
        <w:pStyle w:val="3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1312" behindDoc="1" locked="0" layoutInCell="1" allowOverlap="1" wp14:anchorId="4D261C27" wp14:editId="4A12E26D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49" name="Group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50" name="Line 49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51" name="Freeform 48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A1B05CA" id="Group 47" o:spid="_x0000_s1026" style="position:absolute;margin-left:65.2pt;margin-top:18.95pt;width:454.15pt;height:2.45pt;z-index:-251655168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">
                <v:line id="Line 49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" strokecolor="#231f20" strokeweight="1pt"/>
                <v:shape id="Freeform 48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C908DE" w:rsidRDefault="00C908DE" w:rsidP="00C908DE">
      <w:pPr>
        <w:pStyle w:val="a3"/>
        <w:ind w:firstLine="0"/>
        <w:jc w:val="left"/>
        <w:rPr>
          <w:sz w:val="20"/>
        </w:rPr>
      </w:pPr>
    </w:p>
    <w:p w:rsidR="00C908DE" w:rsidRDefault="00C908DE" w:rsidP="00C908DE">
      <w:pPr>
        <w:pStyle w:val="a3"/>
        <w:ind w:firstLine="0"/>
        <w:jc w:val="left"/>
        <w:rPr>
          <w:sz w:val="16"/>
        </w:rPr>
      </w:pPr>
    </w:p>
    <w:p w:rsidR="00C908DE" w:rsidRDefault="00C908DE" w:rsidP="00C908DE">
      <w:pPr>
        <w:pStyle w:val="a3"/>
        <w:spacing w:before="92" w:line="249" w:lineRule="auto"/>
        <w:ind w:left="383" w:right="389"/>
      </w:pPr>
      <w:r>
        <w:rPr>
          <w:color w:val="231F20"/>
        </w:rPr>
        <w:t>Важливою специфічною передумовою, яку визначають згадані науковці є підвідомчість справи.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Як відмічалось у попередньому параграфі, відповідно до ст. 1 Закону України «Про міжнародний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комерційний арбітраж» до цього суду можуть передбачатись справи за угодою сторін, спори з дого-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вірних та інших цивільно-правових відносин, що виникають при здійснення зовнішньоекономічних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операцій та інших видів економічних зв’язків, якщо комерційне підприємство хоча б однієї із сторін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знаходиться за кордоном, спори підприємств з іноземними інвестиціями, і міжнародних об’єднань, 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також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спори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суб’єктів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господарюючими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суб’єктами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України.</w:t>
      </w:r>
    </w:p>
    <w:p w:rsidR="00C908DE" w:rsidRDefault="00C908DE" w:rsidP="00C908DE">
      <w:pPr>
        <w:pStyle w:val="a3"/>
        <w:spacing w:before="6" w:line="249" w:lineRule="auto"/>
        <w:ind w:left="667" w:right="390" w:firstLine="0"/>
      </w:pPr>
      <w:r>
        <w:rPr>
          <w:color w:val="231F20"/>
        </w:rPr>
        <w:t>На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розгляд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МКА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можуть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передаватись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інші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спори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визначені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міжнародними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договорами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України.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Ці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передумови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мають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специфічні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ознаки,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відрізняють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від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спорів,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виникають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5"/>
        </w:rPr>
        <w:t xml:space="preserve"> </w:t>
      </w:r>
      <w:r>
        <w:rPr>
          <w:color w:val="231F20"/>
        </w:rPr>
        <w:t>сфері</w:t>
      </w:r>
      <w:r>
        <w:rPr>
          <w:color w:val="231F20"/>
          <w:spacing w:val="4"/>
        </w:rPr>
        <w:t xml:space="preserve"> </w:t>
      </w:r>
      <w:r>
        <w:rPr>
          <w:color w:val="231F20"/>
        </w:rPr>
        <w:t>ін-</w:t>
      </w:r>
    </w:p>
    <w:p w:rsidR="00C908DE" w:rsidRDefault="00C908DE" w:rsidP="00C908DE">
      <w:pPr>
        <w:pStyle w:val="a3"/>
        <w:spacing w:before="1"/>
        <w:ind w:left="383" w:firstLine="0"/>
      </w:pPr>
      <w:r>
        <w:rPr>
          <w:color w:val="231F20"/>
        </w:rPr>
        <w:t>ших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галузей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права.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Зокрема:</w:t>
      </w:r>
    </w:p>
    <w:p w:rsidR="00C908DE" w:rsidRDefault="00C908DE" w:rsidP="00C908DE">
      <w:pPr>
        <w:pStyle w:val="a3"/>
        <w:spacing w:before="11" w:line="249" w:lineRule="auto"/>
        <w:ind w:left="383" w:right="391"/>
      </w:pPr>
      <w:r>
        <w:rPr>
          <w:color w:val="231F20"/>
        </w:rPr>
        <w:t>а)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вони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включають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не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тільки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спори,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випливають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відносин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між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державами,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міжнародними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ор-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ганізаціями, державами та міжнародними організаціями, тобто суб’єктами міжнародного публічного</w:t>
      </w:r>
      <w:r>
        <w:rPr>
          <w:color w:val="231F20"/>
          <w:spacing w:val="-51"/>
        </w:rPr>
        <w:t xml:space="preserve"> </w:t>
      </w:r>
      <w:r>
        <w:rPr>
          <w:color w:val="231F20"/>
        </w:rPr>
        <w:t>права, а й суперечки, які з діагональних відносин - між державою та особою (фізичною або юридич-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ною)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іншої держави;</w:t>
      </w:r>
    </w:p>
    <w:p w:rsidR="00C908DE" w:rsidRDefault="00C908DE" w:rsidP="00C908DE">
      <w:pPr>
        <w:pStyle w:val="a3"/>
        <w:spacing w:before="3" w:line="249" w:lineRule="auto"/>
        <w:ind w:left="383" w:right="390"/>
      </w:pPr>
      <w:r>
        <w:rPr>
          <w:color w:val="231F20"/>
        </w:rPr>
        <w:t>б) предметом регулювання при вирішенні міжнародним комерційним арбітражем спору можуть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бути відносини, що виникають в самих різних сферах взаємодії держав (міжнародне судноплавство,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повітроплавання,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космічна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діяльність,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міжнародна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охорона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навколишнього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середовища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інші);</w:t>
      </w:r>
    </w:p>
    <w:p w:rsidR="00C908DE" w:rsidRDefault="00C908DE" w:rsidP="00C908DE">
      <w:pPr>
        <w:pStyle w:val="a3"/>
        <w:spacing w:before="3"/>
        <w:ind w:left="667" w:firstLine="0"/>
      </w:pPr>
      <w:r>
        <w:rPr>
          <w:color w:val="231F20"/>
        </w:rPr>
        <w:t>в)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спори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вирішуються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МКА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основі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принципів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норм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різних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галузей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права;</w:t>
      </w:r>
    </w:p>
    <w:p w:rsidR="00C908DE" w:rsidRDefault="00C908DE" w:rsidP="00C908DE">
      <w:pPr>
        <w:pStyle w:val="a3"/>
        <w:spacing w:before="11" w:line="249" w:lineRule="auto"/>
        <w:ind w:left="383" w:right="389"/>
      </w:pPr>
      <w:r>
        <w:rPr>
          <w:color w:val="231F20"/>
        </w:rPr>
        <w:t>г)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під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спором,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розглядається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міжнародним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комерційним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арбітражем,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слід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розуміти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специфічне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правове відношення, що виникає між двома або більшою кількістю сторін, якими можуть бути різні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за статусом суб’єкти міжнародного економічного права (горизонтальні і діагональні відносини між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суб’єктами), і що відображається в пред’явленні взаємних і чітко сформульованих претензій сторо-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нами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один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одного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питання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права,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юридичним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точкам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зору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або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інтересам,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врегулювання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яких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сторони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вживають взаємні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дії [5, с.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69].</w:t>
      </w:r>
    </w:p>
    <w:p w:rsidR="00C908DE" w:rsidRDefault="00C908DE" w:rsidP="00C908DE">
      <w:pPr>
        <w:pStyle w:val="a3"/>
        <w:spacing w:before="5" w:line="249" w:lineRule="auto"/>
        <w:ind w:left="383" w:right="389"/>
      </w:pPr>
      <w:r>
        <w:rPr>
          <w:color w:val="231F20"/>
        </w:rPr>
        <w:t>При врегулюванні міжнародним комерційним арбітражем спорів може бути використаний весь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спектр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засобів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способів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міжнародних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суперечок,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існують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сучасному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міжнародному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праві.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цьому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виборі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тих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чи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інших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засобів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вирішення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економічного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спору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слід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враховувати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взаємозв’язок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характером спору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та його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змістом [6,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с. 233].</w:t>
      </w:r>
    </w:p>
    <w:p w:rsidR="00C908DE" w:rsidRDefault="00C908DE" w:rsidP="00C908DE">
      <w:pPr>
        <w:pStyle w:val="a3"/>
        <w:spacing w:before="3" w:line="249" w:lineRule="auto"/>
        <w:ind w:left="383" w:right="389"/>
      </w:pPr>
      <w:r>
        <w:rPr>
          <w:color w:val="231F20"/>
        </w:rPr>
        <w:t>Згідно Закону України «Про міжнародний комерційний арбітраж» основними передумовами для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передачі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спорів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до міжнародного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1"/>
        </w:rPr>
        <w:t xml:space="preserve"> </w:t>
      </w:r>
      <w:r>
        <w:rPr>
          <w:color w:val="231F20"/>
        </w:rPr>
        <w:t>арбітражу є:</w:t>
      </w:r>
    </w:p>
    <w:p w:rsidR="00C908DE" w:rsidRDefault="00C908DE" w:rsidP="00C908DE">
      <w:pPr>
        <w:pStyle w:val="a7"/>
        <w:numPr>
          <w:ilvl w:val="1"/>
          <w:numId w:val="3"/>
        </w:numPr>
        <w:tabs>
          <w:tab w:val="left" w:pos="806"/>
        </w:tabs>
        <w:spacing w:before="2" w:line="249" w:lineRule="auto"/>
        <w:ind w:right="38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довіра до міжнародного комерційного арбітражу. Причиною цього є відсутність бажання пере-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давати спори на розгляд в національний суд іншою стороною. У разі відсутності домовленості між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 позивач може звернутися до суду місця знаходження відповідача, місця здійснення його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діяльності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чи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знаходження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майна,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завжди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може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буде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вигідним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для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відповідача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різних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причин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(зокрема, такий суд у більшості випадків для нього є іноземним, у певній країні може бути не розви-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нуте відповідне законодавство у сфері міжнародної торгівлі, судді можуть бути некомпетентними у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питаннях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міжнародної торгівлі тощо);</w:t>
      </w:r>
    </w:p>
    <w:p w:rsidR="00C908DE" w:rsidRDefault="00C908DE" w:rsidP="00C908DE">
      <w:pPr>
        <w:pStyle w:val="a7"/>
        <w:numPr>
          <w:ilvl w:val="1"/>
          <w:numId w:val="3"/>
        </w:numPr>
        <w:tabs>
          <w:tab w:val="left" w:pos="803"/>
        </w:tabs>
        <w:spacing w:before="6" w:line="249" w:lineRule="auto"/>
        <w:ind w:right="39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прийнятність, доступність та простота судового розгляду. Іншими словами, йдеться про проце-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дуру,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встановлену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спору,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яка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цілому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може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бути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адекватна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пристосована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для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прийняття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узгоджених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рішень.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Навіть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тих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випадках,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коли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звертаються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постійно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діючого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комерцій-</w:t>
      </w:r>
      <w:r>
        <w:rPr>
          <w:rFonts w:ascii="Times New Roman" w:hAnsi="Times New Roman"/>
          <w:color w:val="231F20"/>
          <w:spacing w:val="-5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ного арбітражу, який має свої правила процедури, вони можуть самостійно передбачити процедуру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арбітражу.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Відповідно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до</w:t>
      </w:r>
      <w:r>
        <w:rPr>
          <w:rFonts w:ascii="Times New Roman" w:hAnsi="Times New Roman"/>
          <w:color w:val="231F20"/>
          <w:spacing w:val="-10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статті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II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Регламенту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Міжнародної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торгової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палати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(Париж)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провадженні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справи арбітр керується правилами, які випливають з Регламенту, а у випадках, коли його положень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недостатньо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[1];</w:t>
      </w:r>
    </w:p>
    <w:p w:rsidR="00C908DE" w:rsidRDefault="00C908DE" w:rsidP="00C908DE">
      <w:pPr>
        <w:pStyle w:val="a7"/>
        <w:numPr>
          <w:ilvl w:val="1"/>
          <w:numId w:val="3"/>
        </w:numPr>
        <w:tabs>
          <w:tab w:val="left" w:pos="843"/>
        </w:tabs>
        <w:spacing w:before="6"/>
        <w:ind w:left="842" w:hanging="176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встанолюваність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правили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судового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процесу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[9,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с.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288].</w:t>
      </w:r>
    </w:p>
    <w:p w:rsidR="00C908DE" w:rsidRDefault="00C908DE" w:rsidP="00C908DE">
      <w:pPr>
        <w:pStyle w:val="a7"/>
        <w:numPr>
          <w:ilvl w:val="1"/>
          <w:numId w:val="3"/>
        </w:numPr>
        <w:tabs>
          <w:tab w:val="left" w:pos="791"/>
        </w:tabs>
        <w:spacing w:before="10" w:line="249" w:lineRule="auto"/>
        <w:ind w:right="39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компетентність.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Це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означає,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обираються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сторонами.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Ними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можуть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бути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будь-які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осо-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би (не обов’язково юристи), але вони обов’язково повинні бути спеціалістами в тій чи іншій сфері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зовнішньоекономічної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діяльності.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правило,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участі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арбітражному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розгляді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залучаються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уго-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дою сторін або в інший спеціально передбачений засіб лише відповідні фахівці, щодо кваліфікації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яких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питаннях,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пов’язаних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предметом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спору,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ніяких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сумнівів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не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виникає.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Це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можуть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бути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визнані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спеціалісти у тій чи іншій галузі міжнародного приватного права або навіть експерти відповідних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міжнародних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організацій.</w:t>
      </w:r>
    </w:p>
    <w:p w:rsidR="00C908DE" w:rsidRDefault="00C908DE" w:rsidP="00C908DE">
      <w:pPr>
        <w:pStyle w:val="a7"/>
        <w:numPr>
          <w:ilvl w:val="1"/>
          <w:numId w:val="3"/>
        </w:numPr>
        <w:tabs>
          <w:tab w:val="left" w:pos="796"/>
        </w:tabs>
        <w:spacing w:before="7" w:line="249" w:lineRule="auto"/>
        <w:ind w:right="39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можливість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впливу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сторонами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процесу.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Безумовно,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маючи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можливість</w:t>
      </w:r>
      <w:r>
        <w:rPr>
          <w:rFonts w:ascii="Times New Roman" w:hAnsi="Times New Roman"/>
          <w:color w:val="231F20"/>
          <w:spacing w:val="-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обрання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арбітрів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подібних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переконливих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списків,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сторони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арбітражного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процесу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впливають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суд,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виключаючи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мож-</w:t>
      </w:r>
    </w:p>
    <w:p w:rsidR="00C908DE" w:rsidRDefault="00C908DE" w:rsidP="00C908DE">
      <w:pPr>
        <w:spacing w:line="249" w:lineRule="auto"/>
        <w:jc w:val="both"/>
        <w:rPr>
          <w:sz w:val="21"/>
        </w:rPr>
        <w:sectPr w:rsidR="00C908DE">
          <w:pgSz w:w="11510" w:h="16790"/>
          <w:pgMar w:top="680" w:right="740" w:bottom="1040" w:left="920" w:header="0" w:footer="854" w:gutter="0"/>
          <w:cols w:space="720"/>
        </w:sectPr>
      </w:pPr>
    </w:p>
    <w:p w:rsidR="00C908DE" w:rsidRDefault="00C908DE" w:rsidP="00C908DE">
      <w:pPr>
        <w:pStyle w:val="3"/>
        <w:ind w:left="2968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2336" behindDoc="1" locked="0" layoutInCell="1" allowOverlap="1" wp14:anchorId="51855CC4" wp14:editId="0444BDFF">
                <wp:simplePos x="0" y="0"/>
                <wp:positionH relativeFrom="page">
                  <wp:posOffset>712470</wp:posOffset>
                </wp:positionH>
                <wp:positionV relativeFrom="paragraph">
                  <wp:posOffset>240030</wp:posOffset>
                </wp:positionV>
                <wp:extent cx="5767705" cy="31115"/>
                <wp:effectExtent l="0" t="0" r="0" b="0"/>
                <wp:wrapTopAndBottom/>
                <wp:docPr id="46" name="Group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122" y="378"/>
                          <a:chExt cx="9083" cy="49"/>
                        </a:xfrm>
                      </wpg:grpSpPr>
                      <wps:wsp>
                        <wps:cNvPr id="47" name="Line 46"/>
                        <wps:cNvCnPr>
                          <a:cxnSpLocks noChangeShapeType="1"/>
                        </wps:cNvCnPr>
                        <wps:spPr bwMode="auto">
                          <a:xfrm>
                            <a:off x="1122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8" name="Freeform 45"/>
                        <wps:cNvSpPr>
                          <a:spLocks/>
                        </wps:cNvSpPr>
                        <wps:spPr bwMode="auto">
                          <a:xfrm>
                            <a:off x="10159" y="378"/>
                            <a:ext cx="46" cy="49"/>
                          </a:xfrm>
                          <a:custGeom>
                            <a:avLst/>
                            <a:gdLst>
                              <a:gd name="T0" fmla="+- 0 10182 10159"/>
                              <a:gd name="T1" fmla="*/ T0 w 46"/>
                              <a:gd name="T2" fmla="+- 0 378 378"/>
                              <a:gd name="T3" fmla="*/ 378 h 49"/>
                              <a:gd name="T4" fmla="+- 0 10159 10159"/>
                              <a:gd name="T5" fmla="*/ T4 w 46"/>
                              <a:gd name="T6" fmla="+- 0 402 378"/>
                              <a:gd name="T7" fmla="*/ 402 h 49"/>
                              <a:gd name="T8" fmla="+- 0 10182 10159"/>
                              <a:gd name="T9" fmla="*/ T8 w 46"/>
                              <a:gd name="T10" fmla="+- 0 426 378"/>
                              <a:gd name="T11" fmla="*/ 426 h 49"/>
                              <a:gd name="T12" fmla="+- 0 10205 10159"/>
                              <a:gd name="T13" fmla="*/ T12 w 46"/>
                              <a:gd name="T14" fmla="+- 0 402 378"/>
                              <a:gd name="T15" fmla="*/ 402 h 49"/>
                              <a:gd name="T16" fmla="+- 0 10182 10159"/>
                              <a:gd name="T17" fmla="*/ T16 w 46"/>
                              <a:gd name="T18" fmla="+- 0 378 378"/>
                              <a:gd name="T19" fmla="*/ 378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6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60501E5" id="Group 44" o:spid="_x0000_s1026" style="position:absolute;margin-left:56.1pt;margin-top:18.9pt;width:454.15pt;height:2.45pt;z-index:-251654144;mso-wrap-distance-left:0;mso-wrap-distance-right:0;mso-position-horizontal-relative:page" coordorigin="1122,378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">
                <v:line id="Line 46" o:spid="_x0000_s1027" style="position:absolute;visibility:visible;mso-wrap-style:square" from="1122,403" to="10182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" strokecolor="#231f20" strokeweight="1pt"/>
                <v:shape id="Freeform 45" o:spid="_x0000_s1028" style="position:absolute;left:10159;top:378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" path="m23,l,24,23,48,46,24,23,xe" fillcolor="#231f20" stroked="f">
                  <v:path arrowok="t" o:connecttype="custom" o:connectlocs="23,378;0,402;23,426;46,402;23,378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  <w:spacing w:val="-2"/>
        </w:rPr>
        <w:t>Науковий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вісник</w:t>
      </w:r>
      <w:r>
        <w:rPr>
          <w:color w:val="231F20"/>
          <w:spacing w:val="-10"/>
        </w:rPr>
        <w:t xml:space="preserve"> </w:t>
      </w:r>
      <w:r>
        <w:rPr>
          <w:color w:val="231F20"/>
          <w:spacing w:val="-2"/>
        </w:rPr>
        <w:t>Ужгородського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Національного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Університету,</w:t>
      </w:r>
      <w:r>
        <w:rPr>
          <w:color w:val="231F20"/>
          <w:spacing w:val="-9"/>
        </w:rPr>
        <w:t xml:space="preserve"> </w:t>
      </w:r>
      <w:r>
        <w:rPr>
          <w:color w:val="231F20"/>
          <w:spacing w:val="-1"/>
        </w:rPr>
        <w:t>2022</w:t>
      </w:r>
    </w:p>
    <w:p w:rsidR="00C908DE" w:rsidRDefault="00C908DE" w:rsidP="00C908DE">
      <w:pPr>
        <w:pStyle w:val="a3"/>
        <w:ind w:firstLine="0"/>
        <w:jc w:val="left"/>
        <w:rPr>
          <w:sz w:val="20"/>
        </w:rPr>
      </w:pPr>
    </w:p>
    <w:p w:rsidR="00C908DE" w:rsidRDefault="00C908DE" w:rsidP="00C908DE">
      <w:pPr>
        <w:pStyle w:val="a3"/>
        <w:spacing w:before="2"/>
        <w:ind w:firstLine="0"/>
        <w:jc w:val="left"/>
        <w:rPr>
          <w:sz w:val="16"/>
        </w:rPr>
      </w:pPr>
    </w:p>
    <w:p w:rsidR="00C908DE" w:rsidRDefault="00C908DE" w:rsidP="00C908DE">
      <w:pPr>
        <w:pStyle w:val="a3"/>
        <w:spacing w:before="91" w:line="249" w:lineRule="auto"/>
        <w:ind w:left="213" w:right="561" w:firstLine="0"/>
      </w:pPr>
      <w:r>
        <w:rPr>
          <w:color w:val="231F20"/>
        </w:rPr>
        <w:t>ливість участі у справі недостатньо кваліфікованих арбітрів, чим, певною мірою, сприяють винесен-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ню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за спором справедливого рішення;</w:t>
      </w:r>
    </w:p>
    <w:p w:rsidR="00C908DE" w:rsidRDefault="00C908DE" w:rsidP="00C908DE">
      <w:pPr>
        <w:pStyle w:val="a7"/>
        <w:numPr>
          <w:ilvl w:val="0"/>
          <w:numId w:val="3"/>
        </w:numPr>
        <w:tabs>
          <w:tab w:val="left" w:pos="629"/>
        </w:tabs>
        <w:spacing w:before="2" w:line="249" w:lineRule="auto"/>
        <w:ind w:right="55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швидкий і відносно дешевий розгляд спору. Окремі науковці при дослідженні проблеми міжна-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родного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комерційного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арбітражу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дотримуються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погляду,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що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перевага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pacing w:val="-1"/>
          <w:sz w:val="21"/>
        </w:rPr>
        <w:t>арбітражного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вирішення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спорів,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які випливають із міжнародних комерційних угод, полягає у швидкому та дешевому арбітражному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розгляді. Ідея швидкості арбітражного розгляду закріплена в уніфікованих документах, присвячених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арбітражу,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також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регламентах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багатьох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постійно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діючих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арбітражних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судів.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Так,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відповідно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п.</w:t>
      </w:r>
    </w:p>
    <w:p w:rsidR="00C908DE" w:rsidRDefault="00C908DE" w:rsidP="00C908DE">
      <w:pPr>
        <w:pStyle w:val="a3"/>
        <w:spacing w:before="4" w:line="249" w:lineRule="auto"/>
        <w:ind w:left="213" w:right="560" w:firstLine="0"/>
      </w:pPr>
      <w:r>
        <w:rPr>
          <w:color w:val="231F20"/>
        </w:rPr>
        <w:t>4.9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Регламенту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арбітражу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Торговельно-промисловій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палаті</w:t>
      </w:r>
      <w:r>
        <w:rPr>
          <w:color w:val="231F20"/>
          <w:spacing w:val="-3"/>
        </w:rPr>
        <w:t xml:space="preserve"> </w:t>
      </w:r>
      <w:r>
        <w:rPr>
          <w:color w:val="231F20"/>
        </w:rPr>
        <w:t>України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від 25 серпня 1994 р. строк арбітражного розгляду справи не повинен перевищувати 6 місяців з дня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одержання арбітражним судом належно оформленого позову і суми арбітражного збору [9, с. 288].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Згідно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8.12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склад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арбітражного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суду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виносить</w:t>
      </w:r>
      <w:r>
        <w:rPr>
          <w:color w:val="231F20"/>
          <w:spacing w:val="-6"/>
        </w:rPr>
        <w:t xml:space="preserve"> </w:t>
      </w:r>
      <w:r>
        <w:rPr>
          <w:color w:val="231F20"/>
        </w:rPr>
        <w:t>постанову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припинення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арбітражного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розгляду,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якщо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склад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арбітражного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суду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визнає,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що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продовження</w:t>
      </w:r>
      <w:r>
        <w:rPr>
          <w:color w:val="231F20"/>
          <w:spacing w:val="-13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стало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якихось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причин</w:t>
      </w:r>
      <w:r>
        <w:rPr>
          <w:color w:val="231F20"/>
          <w:spacing w:val="-12"/>
        </w:rPr>
        <w:t xml:space="preserve"> </w:t>
      </w:r>
      <w:r>
        <w:rPr>
          <w:color w:val="231F20"/>
        </w:rPr>
        <w:t>непотрібним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чи неможливим, у тому числі, коли позивач порушив порядок сплати арбітражного збору [9, с. 293-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294] ;</w:t>
      </w:r>
    </w:p>
    <w:p w:rsidR="00C908DE" w:rsidRDefault="00C908DE" w:rsidP="00C908DE">
      <w:pPr>
        <w:pStyle w:val="a7"/>
        <w:numPr>
          <w:ilvl w:val="0"/>
          <w:numId w:val="2"/>
        </w:numPr>
        <w:tabs>
          <w:tab w:val="left" w:pos="645"/>
        </w:tabs>
        <w:spacing w:before="6" w:line="249" w:lineRule="auto"/>
        <w:ind w:right="559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збереження комерційної таємниці. Провадження в міжнародному комерційному арбітражі має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конфіденційний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характер,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противагу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гласності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судового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провадження.</w:t>
      </w:r>
      <w:r>
        <w:rPr>
          <w:rFonts w:ascii="Times New Roman" w:hAnsi="Times New Roman"/>
          <w:color w:val="231F20"/>
          <w:spacing w:val="-4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Процедура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розгляду</w:t>
      </w:r>
      <w:r>
        <w:rPr>
          <w:rFonts w:ascii="Times New Roman" w:hAnsi="Times New Roman"/>
          <w:color w:val="231F20"/>
          <w:spacing w:val="-5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спорів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є закритою, забороняється публікація арбітражних рішень без згоди сторін, арбітри зобов’язані не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розголошувати інформацію, яка стала їм відомою в процесі розгляду спору. Це теж є істотною пе-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ревагою для сторін, які зацікавлені в збереженні комерційної таємниці. Так, відповідно до статті 29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Арбітражного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регламенту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Європейської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економічної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комісії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ООН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26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січня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1966</w:t>
      </w:r>
      <w:r>
        <w:rPr>
          <w:rFonts w:ascii="Times New Roman" w:hAnsi="Times New Roman"/>
          <w:color w:val="231F20"/>
          <w:spacing w:val="-1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р.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відкрито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справа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розглядатиметься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лише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 умови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вимог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цього обох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сторін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[5, с.428];</w:t>
      </w:r>
    </w:p>
    <w:p w:rsidR="00C908DE" w:rsidRDefault="00C908DE" w:rsidP="00C908DE">
      <w:pPr>
        <w:pStyle w:val="a7"/>
        <w:numPr>
          <w:ilvl w:val="0"/>
          <w:numId w:val="2"/>
        </w:numPr>
        <w:tabs>
          <w:tab w:val="left" w:pos="633"/>
        </w:tabs>
        <w:spacing w:before="6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остаточність рішення МКА. Рішення комерційного арбітражу, на відміну від рішень державно-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го суду, вважаються остаточними, що сприяє завершеності будь-якого арбітражного провадження.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Вони не підлягають ні апеляції, ні наступному оскарженню, хоча в установленому порядку рішення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арбітражу може бути оголошене недійсним, державним судом може бути відмовлено у визнанні та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приведенні до виконання арбітражного рішення компетентними установами. Тобто воно може бути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скасовано державним судом лише у виключних випадках, у випадку грубого порушення правил ар-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бітражного провадження. Рішення, винесене із дотриманням усіх формальних правил, суд не вправі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відміняти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 необґрунтоване.</w:t>
      </w:r>
    </w:p>
    <w:p w:rsidR="00C908DE" w:rsidRDefault="00C908DE" w:rsidP="00C908DE">
      <w:pPr>
        <w:pStyle w:val="a7"/>
        <w:numPr>
          <w:ilvl w:val="0"/>
          <w:numId w:val="2"/>
        </w:numPr>
        <w:tabs>
          <w:tab w:val="left" w:pos="619"/>
        </w:tabs>
        <w:spacing w:before="7" w:line="249" w:lineRule="auto"/>
        <w:ind w:right="56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примусовість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виконання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рішення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суду.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Система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міжнародних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конвенцій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забезпечує</w:t>
      </w:r>
      <w:r>
        <w:rPr>
          <w:rFonts w:ascii="Times New Roman" w:hAnsi="Times New Roman"/>
          <w:color w:val="231F20"/>
          <w:spacing w:val="-1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майже</w:t>
      </w:r>
      <w:r>
        <w:rPr>
          <w:rFonts w:ascii="Times New Roman" w:hAnsi="Times New Roman"/>
          <w:color w:val="231F20"/>
          <w:spacing w:val="-13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повну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можливість примусового виконання рішень міжнародного комерційного арбітражу. Зокрема, О. В.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Брунцева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вважає,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Нью-Йоркською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конвенцією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</w:t>
      </w:r>
      <w:r>
        <w:rPr>
          <w:rFonts w:ascii="Times New Roman" w:hAnsi="Times New Roman"/>
          <w:color w:val="231F20"/>
          <w:spacing w:val="-8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визнання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виконання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іноземних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них рішень від 10 червня 1958 р. забезпечується виконуваність арбітражного рішення практично у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всьому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світі [8, с. 329].</w:t>
      </w:r>
    </w:p>
    <w:p w:rsidR="00C908DE" w:rsidRDefault="00C908DE" w:rsidP="00C908DE">
      <w:pPr>
        <w:pStyle w:val="a3"/>
        <w:spacing w:before="4" w:line="249" w:lineRule="auto"/>
        <w:ind w:left="213" w:right="562"/>
      </w:pPr>
      <w:r>
        <w:rPr>
          <w:color w:val="231F20"/>
        </w:rPr>
        <w:t>Основними видами передумов для розгляду і вирішення спорів у Міжнародному комерційному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арбітражі є:</w:t>
      </w:r>
    </w:p>
    <w:p w:rsidR="00C908DE" w:rsidRDefault="00C908DE" w:rsidP="00C908DE">
      <w:pPr>
        <w:pStyle w:val="a7"/>
        <w:numPr>
          <w:ilvl w:val="0"/>
          <w:numId w:val="2"/>
        </w:numPr>
        <w:tabs>
          <w:tab w:val="left" w:pos="627"/>
        </w:tabs>
        <w:spacing w:before="2" w:line="249" w:lineRule="auto"/>
        <w:ind w:right="560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матеріальні. За визначення Атамасова А. ними є заходи, спрямовані на забезпечення позову або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майнових інтересів позивача [2, с.290]. Разом з цим, Прусенко Г. такими підставами визначає захист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однієї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або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декількох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сторін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збитків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під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час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арбітражного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провадження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[13,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с.286];</w:t>
      </w:r>
    </w:p>
    <w:p w:rsidR="00C908DE" w:rsidRDefault="00C908DE" w:rsidP="00C908DE">
      <w:pPr>
        <w:pStyle w:val="a7"/>
        <w:numPr>
          <w:ilvl w:val="0"/>
          <w:numId w:val="2"/>
        </w:numPr>
        <w:tabs>
          <w:tab w:val="left" w:pos="622"/>
        </w:tabs>
        <w:spacing w:before="2" w:line="249" w:lineRule="auto"/>
        <w:ind w:right="561" w:firstLine="283"/>
        <w:rPr>
          <w:rFonts w:ascii="Times New Roman" w:hAnsi="Times New Roman"/>
          <w:sz w:val="21"/>
        </w:rPr>
      </w:pPr>
      <w:r>
        <w:rPr>
          <w:rFonts w:ascii="Times New Roman" w:hAnsi="Times New Roman"/>
          <w:color w:val="231F20"/>
          <w:sz w:val="21"/>
        </w:rPr>
        <w:t>процесуальні. Відповідно до визначень Білоусова Ю. та Нагнибіди В. у структурі передумов ви-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никнення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процесуальних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правовідносин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у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міжнародному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комерційному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арбітражі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декілька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груп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фак-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тів,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які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формують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поняття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«правоутворюючий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склад».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До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них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вони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віднесли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факти</w:t>
      </w:r>
      <w:r>
        <w:rPr>
          <w:rFonts w:ascii="Times New Roman" w:hAnsi="Times New Roman"/>
          <w:color w:val="231F20"/>
          <w:spacing w:val="-6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щодо</w:t>
      </w:r>
      <w:r>
        <w:rPr>
          <w:rFonts w:ascii="Times New Roman" w:hAnsi="Times New Roman"/>
          <w:color w:val="231F20"/>
          <w:spacing w:val="-7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виникнення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арбітражного процесу та наявність ухвали державного суду про припинення провадження по певній</w:t>
      </w:r>
      <w:r>
        <w:rPr>
          <w:rFonts w:ascii="Times New Roman" w:hAnsi="Times New Roman"/>
          <w:color w:val="231F20"/>
          <w:spacing w:val="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справі. За їх висновками,. до нормативних передумов розгляду спору міжнародним комерційним ар-</w:t>
      </w:r>
      <w:r>
        <w:rPr>
          <w:rFonts w:ascii="Times New Roman" w:hAnsi="Times New Roman"/>
          <w:color w:val="231F20"/>
          <w:spacing w:val="-50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бітражем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є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наявність</w:t>
      </w:r>
      <w:r>
        <w:rPr>
          <w:rFonts w:ascii="Times New Roman" w:hAnsi="Times New Roman"/>
          <w:color w:val="231F20"/>
          <w:spacing w:val="-2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арбітражної угоди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між сторонами спору</w:t>
      </w:r>
      <w:r>
        <w:rPr>
          <w:rFonts w:ascii="Times New Roman" w:hAnsi="Times New Roman"/>
          <w:color w:val="231F20"/>
          <w:spacing w:val="-1"/>
          <w:sz w:val="21"/>
        </w:rPr>
        <w:t xml:space="preserve"> </w:t>
      </w:r>
      <w:r>
        <w:rPr>
          <w:rFonts w:ascii="Times New Roman" w:hAnsi="Times New Roman"/>
          <w:color w:val="231F20"/>
          <w:sz w:val="21"/>
        </w:rPr>
        <w:t>[3, с.48].</w:t>
      </w:r>
    </w:p>
    <w:p w:rsidR="00C908DE" w:rsidRDefault="00C908DE" w:rsidP="00C908DE">
      <w:pPr>
        <w:pStyle w:val="a3"/>
        <w:spacing w:before="6" w:line="249" w:lineRule="auto"/>
        <w:ind w:left="213" w:right="560"/>
      </w:pPr>
      <w:r>
        <w:rPr>
          <w:b/>
          <w:color w:val="231F20"/>
        </w:rPr>
        <w:t>Висновки.</w:t>
      </w:r>
      <w:r>
        <w:rPr>
          <w:b/>
          <w:color w:val="231F20"/>
          <w:spacing w:val="-8"/>
        </w:rPr>
        <w:t xml:space="preserve"> </w:t>
      </w:r>
      <w:r>
        <w:rPr>
          <w:color w:val="231F20"/>
        </w:rPr>
        <w:t>Отже,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можна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виділити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ряд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основних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ризиків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труднощів,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з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якими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стикається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сторона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при зверненні до державного суду. Це, зокрема, такі ризики: незнання процедури, обов’язкової для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іноземного державного суду; обов’язковість ведення процесу мовою місцезнаходження суду; наяв-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ність декількох інстанцій та процесуальний формалізм, який має місце при зверненні до загальних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судів; не завжди судді мають належну компетенцію для розгляду спорів, що виникають із зовніш-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ньоторговельного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обігу;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збирання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доказів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та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їх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оцінка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підставі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національної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системи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права.</w:t>
      </w:r>
      <w:r>
        <w:rPr>
          <w:color w:val="231F20"/>
          <w:spacing w:val="-4"/>
        </w:rPr>
        <w:t xml:space="preserve"> </w:t>
      </w:r>
      <w:r>
        <w:rPr>
          <w:color w:val="231F20"/>
        </w:rPr>
        <w:t>Тому</w:t>
      </w:r>
      <w:r>
        <w:rPr>
          <w:color w:val="231F20"/>
          <w:spacing w:val="-5"/>
        </w:rPr>
        <w:t xml:space="preserve"> </w:t>
      </w:r>
      <w:r>
        <w:rPr>
          <w:color w:val="231F20"/>
        </w:rPr>
        <w:t>і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переваги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міжнародного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комерційного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арбітражу,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при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наявності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передумов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для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розгляду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спору,</w:t>
      </w:r>
      <w:r>
        <w:rPr>
          <w:color w:val="231F20"/>
          <w:spacing w:val="-9"/>
        </w:rPr>
        <w:t xml:space="preserve"> </w:t>
      </w:r>
      <w:r>
        <w:rPr>
          <w:color w:val="231F20"/>
        </w:rPr>
        <w:t>дають</w:t>
      </w:r>
      <w:r>
        <w:rPr>
          <w:color w:val="231F20"/>
          <w:spacing w:val="-50"/>
        </w:rPr>
        <w:t xml:space="preserve"> </w:t>
      </w:r>
      <w:r>
        <w:rPr>
          <w:color w:val="231F20"/>
        </w:rPr>
        <w:t>значно кращі переваги для розгляду спорів, що формує його авторитет серед відповідних категорій</w:t>
      </w:r>
      <w:r>
        <w:rPr>
          <w:color w:val="231F20"/>
          <w:spacing w:val="1"/>
        </w:rPr>
        <w:t xml:space="preserve"> </w:t>
      </w:r>
      <w:r>
        <w:rPr>
          <w:color w:val="231F20"/>
        </w:rPr>
        <w:t>юридичних</w:t>
      </w:r>
      <w:r>
        <w:rPr>
          <w:color w:val="231F20"/>
          <w:spacing w:val="-2"/>
        </w:rPr>
        <w:t xml:space="preserve"> </w:t>
      </w:r>
      <w:r>
        <w:rPr>
          <w:color w:val="231F20"/>
        </w:rPr>
        <w:t>осіб та фізичних осіб- підприємців.</w:t>
      </w:r>
    </w:p>
    <w:p w:rsidR="00C908DE" w:rsidRDefault="00C908DE" w:rsidP="00C908DE">
      <w:pPr>
        <w:spacing w:line="249" w:lineRule="auto"/>
        <w:sectPr w:rsidR="00C908DE">
          <w:pgSz w:w="11510" w:h="16790"/>
          <w:pgMar w:top="680" w:right="740" w:bottom="1040" w:left="920" w:header="0" w:footer="854" w:gutter="0"/>
          <w:cols w:space="720"/>
        </w:sectPr>
      </w:pPr>
    </w:p>
    <w:p w:rsidR="00C908DE" w:rsidRDefault="00C908DE" w:rsidP="00C908DE">
      <w:pPr>
        <w:pStyle w:val="3"/>
      </w:pPr>
      <w:r>
        <w:rPr>
          <w:noProof/>
        </w:rPr>
        <w:lastRenderedPageBreak/>
        <mc:AlternateContent>
          <mc:Choice Requires="wpg">
            <w:drawing>
              <wp:anchor distT="0" distB="0" distL="0" distR="0" simplePos="0" relativeHeight="251663360" behindDoc="1" locked="0" layoutInCell="1" allowOverlap="1" wp14:anchorId="5C399D9A" wp14:editId="295FFF1A">
                <wp:simplePos x="0" y="0"/>
                <wp:positionH relativeFrom="page">
                  <wp:posOffset>828040</wp:posOffset>
                </wp:positionH>
                <wp:positionV relativeFrom="paragraph">
                  <wp:posOffset>240665</wp:posOffset>
                </wp:positionV>
                <wp:extent cx="5767705" cy="31115"/>
                <wp:effectExtent l="0" t="0" r="0" b="0"/>
                <wp:wrapTopAndBottom/>
                <wp:docPr id="43" name="Group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67705" cy="31115"/>
                          <a:chOff x="1304" y="379"/>
                          <a:chExt cx="9083" cy="49"/>
                        </a:xfrm>
                      </wpg:grpSpPr>
                      <wps:wsp>
                        <wps:cNvPr id="44" name="Line 43"/>
                        <wps:cNvCnPr>
                          <a:cxnSpLocks noChangeShapeType="1"/>
                        </wps:cNvCnPr>
                        <wps:spPr bwMode="auto">
                          <a:xfrm>
                            <a:off x="1327" y="403"/>
                            <a:ext cx="9060" cy="0"/>
                          </a:xfrm>
                          <a:prstGeom prst="line">
                            <a:avLst/>
                          </a:prstGeom>
                          <a:noFill/>
                          <a:ln w="12700">
                            <a:solidFill>
                              <a:srgbClr val="231F2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45" name="Freeform 42"/>
                        <wps:cNvSpPr>
                          <a:spLocks/>
                        </wps:cNvSpPr>
                        <wps:spPr bwMode="auto">
                          <a:xfrm>
                            <a:off x="1303" y="379"/>
                            <a:ext cx="46" cy="49"/>
                          </a:xfrm>
                          <a:custGeom>
                            <a:avLst/>
                            <a:gdLst>
                              <a:gd name="T0" fmla="+- 0 1327 1304"/>
                              <a:gd name="T1" fmla="*/ T0 w 46"/>
                              <a:gd name="T2" fmla="+- 0 379 379"/>
                              <a:gd name="T3" fmla="*/ 379 h 49"/>
                              <a:gd name="T4" fmla="+- 0 1304 1304"/>
                              <a:gd name="T5" fmla="*/ T4 w 46"/>
                              <a:gd name="T6" fmla="+- 0 403 379"/>
                              <a:gd name="T7" fmla="*/ 403 h 49"/>
                              <a:gd name="T8" fmla="+- 0 1327 1304"/>
                              <a:gd name="T9" fmla="*/ T8 w 46"/>
                              <a:gd name="T10" fmla="+- 0 427 379"/>
                              <a:gd name="T11" fmla="*/ 427 h 49"/>
                              <a:gd name="T12" fmla="+- 0 1349 1304"/>
                              <a:gd name="T13" fmla="*/ T12 w 46"/>
                              <a:gd name="T14" fmla="+- 0 403 379"/>
                              <a:gd name="T15" fmla="*/ 403 h 49"/>
                              <a:gd name="T16" fmla="+- 0 1327 1304"/>
                              <a:gd name="T17" fmla="*/ T16 w 46"/>
                              <a:gd name="T18" fmla="+- 0 379 379"/>
                              <a:gd name="T19" fmla="*/ 379 h 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46" h="49">
                                <a:moveTo>
                                  <a:pt x="23" y="0"/>
                                </a:moveTo>
                                <a:lnTo>
                                  <a:pt x="0" y="24"/>
                                </a:lnTo>
                                <a:lnTo>
                                  <a:pt x="23" y="48"/>
                                </a:lnTo>
                                <a:lnTo>
                                  <a:pt x="45" y="24"/>
                                </a:lnTo>
                                <a:lnTo>
                                  <a:pt x="2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31F2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DC877D" id="Group 41" o:spid="_x0000_s1026" style="position:absolute;margin-left:65.2pt;margin-top:18.95pt;width:454.15pt;height:2.45pt;z-index:-251653120;mso-wrap-distance-left:0;mso-wrap-distance-right:0;mso-position-horizontal-relative:page" coordorigin="1304,379" coordsize="9083,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">
                <v:line id="Line 43" o:spid="_x0000_s1027" style="position:absolute;visibility:visible;mso-wrap-style:square" from="1327,403" to="10387,40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" strokecolor="#231f20" strokeweight="1pt"/>
                <v:shape id="Freeform 42" o:spid="_x0000_s1028" style="position:absolute;left:1303;top:379;width:46;height:49;visibility:visible;mso-wrap-style:square;v-text-anchor:top" coordsize="46,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" path="m23,l,24,23,48,45,24,23,xe" fillcolor="#231f20" stroked="f">
                  <v:path arrowok="t" o:connecttype="custom" o:connectlocs="23,379;0,403;23,427;45,403;23,379" o:connectangles="0,0,0,0,0"/>
                </v:shape>
                <w10:wrap type="topAndBottom" anchorx="page"/>
              </v:group>
            </w:pict>
          </mc:Fallback>
        </mc:AlternateContent>
      </w:r>
      <w:r>
        <w:rPr>
          <w:color w:val="231F20"/>
        </w:rPr>
        <w:t>Серія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ПРАВО.</w:t>
      </w:r>
      <w:r>
        <w:rPr>
          <w:color w:val="231F20"/>
          <w:spacing w:val="-8"/>
        </w:rPr>
        <w:t xml:space="preserve"> </w:t>
      </w:r>
      <w:r>
        <w:rPr>
          <w:color w:val="231F20"/>
        </w:rPr>
        <w:t>Випуск</w:t>
      </w:r>
      <w:r>
        <w:rPr>
          <w:color w:val="231F20"/>
          <w:spacing w:val="-7"/>
        </w:rPr>
        <w:t xml:space="preserve"> </w:t>
      </w:r>
      <w:r>
        <w:rPr>
          <w:color w:val="231F20"/>
        </w:rPr>
        <w:t>71</w:t>
      </w:r>
    </w:p>
    <w:p w:rsidR="00C908DE" w:rsidRDefault="00C908DE" w:rsidP="00C908DE">
      <w:pPr>
        <w:pStyle w:val="a3"/>
        <w:ind w:firstLine="0"/>
        <w:jc w:val="left"/>
        <w:rPr>
          <w:sz w:val="20"/>
        </w:rPr>
      </w:pPr>
    </w:p>
    <w:p w:rsidR="00C908DE" w:rsidRDefault="00C908DE" w:rsidP="00C908DE">
      <w:pPr>
        <w:pStyle w:val="a3"/>
        <w:spacing w:before="9"/>
        <w:ind w:firstLine="0"/>
        <w:jc w:val="left"/>
        <w:rPr>
          <w:sz w:val="15"/>
        </w:rPr>
      </w:pPr>
    </w:p>
    <w:p w:rsidR="00C908DE" w:rsidRDefault="00C908DE" w:rsidP="00C908DE">
      <w:pPr>
        <w:pStyle w:val="4"/>
        <w:spacing w:before="93"/>
        <w:ind w:left="720" w:right="727"/>
        <w:jc w:val="center"/>
        <w:rPr>
          <w:rFonts w:ascii="Arial" w:hAnsi="Arial"/>
        </w:rPr>
      </w:pPr>
      <w:r>
        <w:rPr>
          <w:rFonts w:ascii="Arial" w:hAnsi="Arial"/>
          <w:color w:val="0D0D0D"/>
        </w:rPr>
        <w:t>Список</w:t>
      </w:r>
      <w:r>
        <w:rPr>
          <w:rFonts w:ascii="Arial" w:hAnsi="Arial"/>
          <w:color w:val="0D0D0D"/>
          <w:spacing w:val="-6"/>
        </w:rPr>
        <w:t xml:space="preserve"> </w:t>
      </w:r>
      <w:r>
        <w:rPr>
          <w:rFonts w:ascii="Arial" w:hAnsi="Arial"/>
          <w:color w:val="0D0D0D"/>
        </w:rPr>
        <w:t>використаних</w:t>
      </w:r>
      <w:r>
        <w:rPr>
          <w:rFonts w:ascii="Arial" w:hAnsi="Arial"/>
          <w:color w:val="0D0D0D"/>
          <w:spacing w:val="-5"/>
        </w:rPr>
        <w:t xml:space="preserve"> </w:t>
      </w:r>
      <w:r>
        <w:rPr>
          <w:rFonts w:ascii="Arial" w:hAnsi="Arial"/>
          <w:color w:val="0D0D0D"/>
        </w:rPr>
        <w:t>джерел:</w:t>
      </w:r>
    </w:p>
    <w:p w:rsidR="00C908DE" w:rsidRDefault="00C908DE" w:rsidP="00C908DE">
      <w:pPr>
        <w:pStyle w:val="a3"/>
        <w:spacing w:before="3"/>
        <w:ind w:firstLine="0"/>
        <w:jc w:val="left"/>
        <w:rPr>
          <w:rFonts w:ascii="Arial"/>
          <w:b/>
          <w:sz w:val="25"/>
        </w:rPr>
      </w:pP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00"/>
        </w:tabs>
        <w:spacing w:line="292" w:lineRule="auto"/>
        <w:ind w:right="392" w:firstLine="283"/>
        <w:jc w:val="both"/>
        <w:rPr>
          <w:sz w:val="18"/>
        </w:rPr>
      </w:pPr>
      <w:r>
        <w:rPr>
          <w:color w:val="231F20"/>
          <w:w w:val="56"/>
          <w:sz w:val="18"/>
        </w:rPr>
        <w:t>Арбитражний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pacing w:val="-1"/>
          <w:w w:val="49"/>
          <w:sz w:val="18"/>
        </w:rPr>
        <w:t>ре</w:t>
      </w:r>
      <w:r>
        <w:rPr>
          <w:color w:val="231F20"/>
          <w:spacing w:val="-4"/>
          <w:w w:val="49"/>
          <w:sz w:val="18"/>
        </w:rPr>
        <w:t>г</w:t>
      </w:r>
      <w:r>
        <w:rPr>
          <w:color w:val="231F20"/>
          <w:spacing w:val="-1"/>
          <w:w w:val="56"/>
          <w:sz w:val="18"/>
        </w:rPr>
        <w:t>ламен</w:t>
      </w:r>
      <w:r>
        <w:rPr>
          <w:color w:val="231F20"/>
          <w:w w:val="56"/>
          <w:sz w:val="18"/>
        </w:rPr>
        <w:t>т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pacing w:val="-1"/>
          <w:w w:val="74"/>
          <w:sz w:val="18"/>
        </w:rPr>
        <w:t>ЮНСИТ</w:t>
      </w:r>
      <w:r>
        <w:rPr>
          <w:color w:val="231F20"/>
          <w:spacing w:val="-13"/>
          <w:w w:val="74"/>
          <w:sz w:val="18"/>
        </w:rPr>
        <w:t>Р</w:t>
      </w:r>
      <w:r>
        <w:rPr>
          <w:color w:val="231F20"/>
          <w:spacing w:val="3"/>
          <w:w w:val="66"/>
          <w:sz w:val="18"/>
        </w:rPr>
        <w:t>А</w:t>
      </w:r>
      <w:r>
        <w:rPr>
          <w:color w:val="231F20"/>
          <w:w w:val="65"/>
          <w:sz w:val="18"/>
        </w:rPr>
        <w:t>Л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w w:val="58"/>
          <w:sz w:val="18"/>
        </w:rPr>
        <w:t>(пересм</w:t>
      </w:r>
      <w:r>
        <w:rPr>
          <w:color w:val="231F20"/>
          <w:spacing w:val="-5"/>
          <w:w w:val="58"/>
          <w:sz w:val="18"/>
        </w:rPr>
        <w:t>о</w:t>
      </w:r>
      <w:r>
        <w:rPr>
          <w:color w:val="231F20"/>
          <w:w w:val="53"/>
          <w:sz w:val="18"/>
        </w:rPr>
        <w:t>трен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w w:val="53"/>
          <w:sz w:val="18"/>
        </w:rPr>
        <w:t>в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pacing w:val="-1"/>
          <w:sz w:val="18"/>
        </w:rPr>
        <w:t>201</w:t>
      </w:r>
      <w:r>
        <w:rPr>
          <w:color w:val="231F20"/>
          <w:sz w:val="18"/>
        </w:rPr>
        <w:t xml:space="preserve">0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pacing w:val="-22"/>
          <w:w w:val="36"/>
          <w:sz w:val="18"/>
        </w:rPr>
        <w:t>г</w:t>
      </w:r>
      <w:r>
        <w:rPr>
          <w:color w:val="231F20"/>
          <w:sz w:val="18"/>
        </w:rPr>
        <w:t xml:space="preserve">.).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w w:val="56"/>
          <w:sz w:val="18"/>
        </w:rPr>
        <w:t>Ор</w:t>
      </w:r>
      <w:r>
        <w:rPr>
          <w:color w:val="231F20"/>
          <w:spacing w:val="-4"/>
          <w:w w:val="56"/>
          <w:sz w:val="18"/>
        </w:rPr>
        <w:t>г</w:t>
      </w:r>
      <w:r>
        <w:rPr>
          <w:color w:val="231F20"/>
          <w:spacing w:val="-1"/>
          <w:w w:val="54"/>
          <w:sz w:val="18"/>
        </w:rPr>
        <w:t>анизаци</w:t>
      </w:r>
      <w:r>
        <w:rPr>
          <w:color w:val="231F20"/>
          <w:w w:val="54"/>
          <w:sz w:val="18"/>
        </w:rPr>
        <w:t>я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w w:val="67"/>
          <w:sz w:val="18"/>
        </w:rPr>
        <w:t>О</w:t>
      </w:r>
      <w:r>
        <w:rPr>
          <w:color w:val="231F20"/>
          <w:spacing w:val="-7"/>
          <w:w w:val="67"/>
          <w:sz w:val="18"/>
        </w:rPr>
        <w:t>б</w:t>
      </w:r>
      <w:r>
        <w:rPr>
          <w:color w:val="231F20"/>
          <w:w w:val="59"/>
          <w:sz w:val="18"/>
        </w:rPr>
        <w:t>ъ</w:t>
      </w:r>
      <w:r>
        <w:rPr>
          <w:color w:val="231F20"/>
          <w:spacing w:val="-4"/>
          <w:w w:val="59"/>
          <w:sz w:val="18"/>
        </w:rPr>
        <w:t>е</w:t>
      </w:r>
      <w:r>
        <w:rPr>
          <w:color w:val="231F20"/>
          <w:spacing w:val="-1"/>
          <w:w w:val="55"/>
          <w:sz w:val="18"/>
        </w:rPr>
        <w:t>динен</w:t>
      </w:r>
      <w:r>
        <w:rPr>
          <w:color w:val="231F20"/>
          <w:spacing w:val="2"/>
          <w:w w:val="55"/>
          <w:sz w:val="18"/>
        </w:rPr>
        <w:t>н</w:t>
      </w:r>
      <w:r>
        <w:rPr>
          <w:color w:val="231F20"/>
          <w:w w:val="71"/>
          <w:sz w:val="18"/>
        </w:rPr>
        <w:t>ы</w:t>
      </w:r>
      <w:r>
        <w:rPr>
          <w:color w:val="231F20"/>
          <w:w w:val="50"/>
          <w:sz w:val="18"/>
        </w:rPr>
        <w:t>х</w:t>
      </w:r>
      <w:r>
        <w:rPr>
          <w:color w:val="231F20"/>
          <w:sz w:val="18"/>
        </w:rPr>
        <w:t xml:space="preserve"> </w:t>
      </w:r>
      <w:r>
        <w:rPr>
          <w:color w:val="231F20"/>
          <w:spacing w:val="-19"/>
          <w:sz w:val="18"/>
        </w:rPr>
        <w:t xml:space="preserve"> </w:t>
      </w:r>
      <w:r>
        <w:rPr>
          <w:color w:val="231F20"/>
          <w:spacing w:val="-1"/>
          <w:w w:val="61"/>
          <w:sz w:val="18"/>
        </w:rPr>
        <w:t xml:space="preserve">Наций, </w:t>
      </w:r>
      <w:r>
        <w:rPr>
          <w:color w:val="231F20"/>
          <w:spacing w:val="-1"/>
          <w:w w:val="70"/>
          <w:sz w:val="18"/>
        </w:rPr>
        <w:t>Нью-Йорк.20</w:t>
      </w:r>
      <w:r>
        <w:rPr>
          <w:color w:val="231F20"/>
          <w:spacing w:val="-14"/>
          <w:w w:val="70"/>
          <w:sz w:val="18"/>
        </w:rPr>
        <w:t>1</w:t>
      </w:r>
      <w:r>
        <w:rPr>
          <w:color w:val="231F20"/>
          <w:sz w:val="18"/>
        </w:rPr>
        <w:t>1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22"/>
          <w:w w:val="36"/>
          <w:sz w:val="18"/>
        </w:rPr>
        <w:t>г</w:t>
      </w:r>
      <w:r>
        <w:rPr>
          <w:color w:val="231F20"/>
          <w:sz w:val="18"/>
        </w:rPr>
        <w:t>.</w:t>
      </w:r>
      <w:r>
        <w:rPr>
          <w:color w:val="231F20"/>
          <w:spacing w:val="-7"/>
          <w:sz w:val="18"/>
        </w:rPr>
        <w:t xml:space="preserve"> </w:t>
      </w:r>
      <w:r>
        <w:rPr>
          <w:color w:val="231F20"/>
          <w:spacing w:val="-1"/>
          <w:sz w:val="18"/>
        </w:rPr>
        <w:t>UR</w:t>
      </w:r>
      <w:r>
        <w:rPr>
          <w:color w:val="231F20"/>
          <w:sz w:val="18"/>
        </w:rPr>
        <w:t>L: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https://docs.pca-cpa.org/2015/</w:t>
      </w:r>
      <w:r>
        <w:rPr>
          <w:color w:val="231F20"/>
          <w:spacing w:val="-14"/>
          <w:sz w:val="18"/>
        </w:rPr>
        <w:t>1</w:t>
      </w:r>
      <w:r>
        <w:rPr>
          <w:color w:val="231F20"/>
          <w:spacing w:val="-1"/>
          <w:sz w:val="18"/>
        </w:rPr>
        <w:t>1/arb-rules-revised-r1.pd</w:t>
      </w:r>
      <w:r>
        <w:rPr>
          <w:color w:val="231F20"/>
          <w:sz w:val="18"/>
        </w:rPr>
        <w:t>f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w w:val="63"/>
          <w:sz w:val="18"/>
        </w:rPr>
        <w:t>(д</w:t>
      </w:r>
      <w:r>
        <w:rPr>
          <w:color w:val="231F20"/>
          <w:spacing w:val="-4"/>
          <w:w w:val="63"/>
          <w:sz w:val="18"/>
        </w:rPr>
        <w:t>а</w:t>
      </w:r>
      <w:r>
        <w:rPr>
          <w:color w:val="231F20"/>
          <w:spacing w:val="-3"/>
          <w:w w:val="45"/>
          <w:sz w:val="18"/>
        </w:rPr>
        <w:t>т</w:t>
      </w:r>
      <w:r>
        <w:rPr>
          <w:color w:val="231F20"/>
          <w:w w:val="55"/>
          <w:sz w:val="18"/>
        </w:rPr>
        <w:t>а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w w:val="49"/>
          <w:sz w:val="18"/>
        </w:rPr>
        <w:t>з</w:t>
      </w:r>
      <w:r>
        <w:rPr>
          <w:color w:val="231F20"/>
          <w:spacing w:val="-2"/>
          <w:w w:val="49"/>
          <w:sz w:val="18"/>
        </w:rPr>
        <w:t>в</w:t>
      </w:r>
      <w:r>
        <w:rPr>
          <w:color w:val="231F20"/>
          <w:spacing w:val="-1"/>
          <w:w w:val="55"/>
          <w:sz w:val="18"/>
        </w:rPr>
        <w:t>ерненн</w:t>
      </w:r>
      <w:r>
        <w:rPr>
          <w:color w:val="231F20"/>
          <w:w w:val="55"/>
          <w:sz w:val="18"/>
        </w:rPr>
        <w:t>я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sz w:val="18"/>
        </w:rPr>
        <w:t>14.02.202</w:t>
      </w:r>
      <w:r>
        <w:rPr>
          <w:color w:val="231F20"/>
          <w:sz w:val="18"/>
        </w:rPr>
        <w:t>0</w:t>
      </w:r>
      <w:r>
        <w:rPr>
          <w:color w:val="231F20"/>
          <w:spacing w:val="-8"/>
          <w:sz w:val="18"/>
        </w:rPr>
        <w:t xml:space="preserve"> </w:t>
      </w:r>
      <w:r>
        <w:rPr>
          <w:color w:val="231F20"/>
          <w:spacing w:val="-1"/>
          <w:w w:val="76"/>
          <w:sz w:val="18"/>
        </w:rPr>
        <w:t>р.).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863"/>
        </w:tabs>
        <w:spacing w:line="292" w:lineRule="auto"/>
        <w:ind w:right="391" w:firstLine="283"/>
        <w:jc w:val="both"/>
        <w:rPr>
          <w:sz w:val="18"/>
        </w:rPr>
      </w:pPr>
      <w:r>
        <w:rPr>
          <w:color w:val="231F20"/>
          <w:spacing w:val="-1"/>
          <w:w w:val="55"/>
          <w:sz w:val="18"/>
        </w:rPr>
        <w:t xml:space="preserve">Атамасов А. Міжнародний комерційний арбітраж: перспективи вдосконалення правового </w:t>
      </w:r>
      <w:r>
        <w:rPr>
          <w:color w:val="231F20"/>
          <w:w w:val="55"/>
          <w:sz w:val="18"/>
        </w:rPr>
        <w:t>регулювання: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rFonts w:ascii="Arial" w:hAnsi="Arial"/>
          <w:i/>
          <w:color w:val="231F20"/>
          <w:sz w:val="18"/>
        </w:rPr>
        <w:t>Реформування законодавства України та розвиток суспільних відносин в Україні: питання взаємодії</w:t>
      </w:r>
      <w:r>
        <w:rPr>
          <w:color w:val="231F20"/>
          <w:sz w:val="18"/>
        </w:rPr>
        <w:t>.</w:t>
      </w:r>
      <w:r>
        <w:rPr>
          <w:color w:val="231F20"/>
          <w:spacing w:val="1"/>
          <w:sz w:val="18"/>
        </w:rPr>
        <w:t xml:space="preserve"> </w:t>
      </w:r>
      <w:r>
        <w:rPr>
          <w:color w:val="231F20"/>
          <w:w w:val="80"/>
          <w:sz w:val="18"/>
        </w:rPr>
        <w:t>Ужгород.</w:t>
      </w:r>
      <w:r>
        <w:rPr>
          <w:color w:val="231F20"/>
          <w:spacing w:val="6"/>
          <w:w w:val="80"/>
          <w:sz w:val="18"/>
        </w:rPr>
        <w:t xml:space="preserve"> </w:t>
      </w:r>
      <w:r>
        <w:rPr>
          <w:color w:val="231F20"/>
          <w:sz w:val="18"/>
        </w:rPr>
        <w:t>2014.</w:t>
      </w:r>
      <w:r>
        <w:rPr>
          <w:color w:val="231F20"/>
          <w:spacing w:val="-4"/>
          <w:sz w:val="18"/>
        </w:rPr>
        <w:t xml:space="preserve"> </w:t>
      </w:r>
      <w:r>
        <w:rPr>
          <w:color w:val="231F20"/>
          <w:sz w:val="18"/>
        </w:rPr>
        <w:t>С.</w:t>
      </w:r>
      <w:r>
        <w:rPr>
          <w:color w:val="231F20"/>
          <w:spacing w:val="-3"/>
          <w:sz w:val="18"/>
        </w:rPr>
        <w:t xml:space="preserve"> </w:t>
      </w:r>
      <w:r>
        <w:rPr>
          <w:color w:val="231F20"/>
          <w:sz w:val="18"/>
        </w:rPr>
        <w:t>288-291.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885"/>
        </w:tabs>
        <w:spacing w:line="292" w:lineRule="auto"/>
        <w:ind w:right="391" w:firstLine="283"/>
        <w:jc w:val="both"/>
        <w:rPr>
          <w:sz w:val="18"/>
        </w:rPr>
      </w:pPr>
      <w:r>
        <w:rPr>
          <w:color w:val="231F20"/>
          <w:w w:val="55"/>
          <w:sz w:val="18"/>
        </w:rPr>
        <w:t>Білоусов Ю., Нагнибіда В. Підвідомчість як передумова виникнення процесуальних правовідносин у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spacing w:val="-1"/>
          <w:w w:val="75"/>
          <w:sz w:val="18"/>
        </w:rPr>
        <w:t>Міжнародному</w:t>
      </w:r>
      <w:r>
        <w:rPr>
          <w:color w:val="231F20"/>
          <w:spacing w:val="1"/>
          <w:w w:val="75"/>
          <w:sz w:val="18"/>
        </w:rPr>
        <w:t xml:space="preserve"> </w:t>
      </w:r>
      <w:r>
        <w:rPr>
          <w:color w:val="231F20"/>
          <w:spacing w:val="-1"/>
          <w:w w:val="75"/>
          <w:sz w:val="18"/>
        </w:rPr>
        <w:t>арбітражі.</w:t>
      </w:r>
      <w:r>
        <w:rPr>
          <w:color w:val="231F20"/>
          <w:spacing w:val="1"/>
          <w:w w:val="75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Вісник</w:t>
      </w:r>
      <w:r>
        <w:rPr>
          <w:rFonts w:ascii="Arial" w:hAnsi="Arial"/>
          <w:i/>
          <w:color w:val="231F20"/>
          <w:spacing w:val="-6"/>
          <w:w w:val="90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Хмельницького</w:t>
      </w:r>
      <w:r>
        <w:rPr>
          <w:rFonts w:ascii="Arial" w:hAnsi="Arial"/>
          <w:i/>
          <w:color w:val="231F20"/>
          <w:spacing w:val="-7"/>
          <w:w w:val="90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інститут</w:t>
      </w:r>
      <w:r>
        <w:rPr>
          <w:rFonts w:ascii="Arial" w:hAnsi="Arial"/>
          <w:i/>
          <w:color w:val="231F20"/>
          <w:spacing w:val="-6"/>
          <w:w w:val="90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управління</w:t>
      </w:r>
      <w:r>
        <w:rPr>
          <w:rFonts w:ascii="Arial" w:hAnsi="Arial"/>
          <w:i/>
          <w:color w:val="231F20"/>
          <w:spacing w:val="-7"/>
          <w:w w:val="90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і</w:t>
      </w:r>
      <w:r>
        <w:rPr>
          <w:rFonts w:ascii="Arial" w:hAnsi="Arial"/>
          <w:i/>
          <w:color w:val="231F20"/>
          <w:spacing w:val="-7"/>
          <w:w w:val="90"/>
          <w:sz w:val="18"/>
        </w:rPr>
        <w:t xml:space="preserve"> </w:t>
      </w:r>
      <w:r>
        <w:rPr>
          <w:rFonts w:ascii="Arial" w:hAnsi="Arial"/>
          <w:i/>
          <w:color w:val="231F20"/>
          <w:w w:val="90"/>
          <w:sz w:val="18"/>
        </w:rPr>
        <w:t>права</w:t>
      </w:r>
      <w:r>
        <w:rPr>
          <w:color w:val="231F20"/>
          <w:w w:val="90"/>
          <w:sz w:val="18"/>
        </w:rPr>
        <w:t>.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2003.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№</w:t>
      </w:r>
      <w:r>
        <w:rPr>
          <w:color w:val="231F20"/>
          <w:spacing w:val="-6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2.</w:t>
      </w:r>
      <w:r>
        <w:rPr>
          <w:color w:val="231F20"/>
          <w:spacing w:val="-7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С.46-53.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849"/>
        </w:tabs>
        <w:spacing w:line="292" w:lineRule="auto"/>
        <w:ind w:right="393" w:firstLine="283"/>
        <w:jc w:val="both"/>
        <w:rPr>
          <w:sz w:val="18"/>
        </w:rPr>
      </w:pPr>
      <w:r>
        <w:rPr>
          <w:color w:val="231F20"/>
          <w:spacing w:val="-1"/>
          <w:w w:val="58"/>
          <w:sz w:val="18"/>
        </w:rPr>
        <w:t>Бонд</w:t>
      </w:r>
      <w:r>
        <w:rPr>
          <w:color w:val="231F20"/>
          <w:w w:val="58"/>
          <w:sz w:val="18"/>
        </w:rPr>
        <w:t>а</w:t>
      </w:r>
      <w:r>
        <w:rPr>
          <w:color w:val="231F20"/>
          <w:spacing w:val="-1"/>
          <w:w w:val="53"/>
          <w:sz w:val="18"/>
        </w:rPr>
        <w:t>рє</w:t>
      </w:r>
      <w:r>
        <w:rPr>
          <w:color w:val="231F20"/>
          <w:w w:val="53"/>
          <w:sz w:val="18"/>
        </w:rPr>
        <w:t>в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pacing w:val="-20"/>
          <w:w w:val="61"/>
          <w:sz w:val="18"/>
        </w:rPr>
        <w:t>Т</w:t>
      </w:r>
      <w:r>
        <w:rPr>
          <w:color w:val="231F20"/>
          <w:sz w:val="18"/>
        </w:rPr>
        <w:t>.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w w:val="56"/>
          <w:sz w:val="18"/>
        </w:rPr>
        <w:t>Міжнар</w:t>
      </w:r>
      <w:r>
        <w:rPr>
          <w:color w:val="231F20"/>
          <w:spacing w:val="-4"/>
          <w:w w:val="56"/>
          <w:sz w:val="18"/>
        </w:rPr>
        <w:t>о</w:t>
      </w:r>
      <w:r>
        <w:rPr>
          <w:color w:val="231F20"/>
          <w:spacing w:val="-1"/>
          <w:w w:val="56"/>
          <w:sz w:val="18"/>
        </w:rPr>
        <w:t>дни</w:t>
      </w:r>
      <w:r>
        <w:rPr>
          <w:color w:val="231F20"/>
          <w:w w:val="56"/>
          <w:sz w:val="18"/>
        </w:rPr>
        <w:t>й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pacing w:val="2"/>
          <w:w w:val="43"/>
          <w:sz w:val="18"/>
        </w:rPr>
        <w:t>к</w:t>
      </w:r>
      <w:r>
        <w:rPr>
          <w:color w:val="231F20"/>
          <w:spacing w:val="-1"/>
          <w:w w:val="53"/>
          <w:sz w:val="18"/>
        </w:rPr>
        <w:t>омерційни</w:t>
      </w:r>
      <w:r>
        <w:rPr>
          <w:color w:val="231F20"/>
          <w:w w:val="53"/>
          <w:sz w:val="18"/>
        </w:rPr>
        <w:t>й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pacing w:val="-3"/>
          <w:w w:val="45"/>
          <w:sz w:val="18"/>
        </w:rPr>
        <w:t>т</w:t>
      </w:r>
      <w:r>
        <w:rPr>
          <w:color w:val="231F20"/>
          <w:w w:val="55"/>
          <w:sz w:val="18"/>
        </w:rPr>
        <w:t>а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pacing w:val="-1"/>
          <w:w w:val="43"/>
          <w:sz w:val="18"/>
        </w:rPr>
        <w:t>ін</w:t>
      </w:r>
      <w:r>
        <w:rPr>
          <w:color w:val="231F20"/>
          <w:spacing w:val="-2"/>
          <w:w w:val="43"/>
          <w:sz w:val="18"/>
        </w:rPr>
        <w:t>в</w:t>
      </w:r>
      <w:r>
        <w:rPr>
          <w:color w:val="231F20"/>
          <w:spacing w:val="-1"/>
          <w:w w:val="50"/>
          <w:sz w:val="18"/>
        </w:rPr>
        <w:t>естиційни</w:t>
      </w:r>
      <w:r>
        <w:rPr>
          <w:color w:val="231F20"/>
          <w:w w:val="50"/>
          <w:sz w:val="18"/>
        </w:rPr>
        <w:t>й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spacing w:val="-1"/>
          <w:w w:val="53"/>
          <w:sz w:val="18"/>
        </w:rPr>
        <w:t>арбітраж</w:t>
      </w:r>
      <w:r>
        <w:rPr>
          <w:color w:val="231F20"/>
          <w:w w:val="53"/>
          <w:sz w:val="18"/>
        </w:rPr>
        <w:t>.</w:t>
      </w:r>
      <w:r>
        <w:rPr>
          <w:color w:val="231F20"/>
          <w:spacing w:val="-17"/>
          <w:sz w:val="18"/>
        </w:rPr>
        <w:t xml:space="preserve"> </w:t>
      </w:r>
      <w:r>
        <w:rPr>
          <w:color w:val="231F20"/>
          <w:w w:val="53"/>
          <w:sz w:val="18"/>
        </w:rPr>
        <w:t>За</w:t>
      </w:r>
      <w:r>
        <w:rPr>
          <w:color w:val="231F20"/>
          <w:spacing w:val="1"/>
          <w:w w:val="53"/>
          <w:sz w:val="18"/>
        </w:rPr>
        <w:t>к</w:t>
      </w:r>
      <w:r>
        <w:rPr>
          <w:color w:val="231F20"/>
          <w:spacing w:val="-1"/>
          <w:w w:val="55"/>
          <w:sz w:val="18"/>
        </w:rPr>
        <w:t>он</w:t>
      </w:r>
      <w:r>
        <w:rPr>
          <w:color w:val="231F20"/>
          <w:spacing w:val="-4"/>
          <w:w w:val="55"/>
          <w:sz w:val="18"/>
        </w:rPr>
        <w:t>о</w:t>
      </w:r>
      <w:r>
        <w:rPr>
          <w:color w:val="231F20"/>
          <w:spacing w:val="-1"/>
          <w:w w:val="55"/>
          <w:sz w:val="18"/>
        </w:rPr>
        <w:t>да</w:t>
      </w:r>
      <w:r>
        <w:rPr>
          <w:color w:val="231F20"/>
          <w:spacing w:val="-2"/>
          <w:w w:val="55"/>
          <w:sz w:val="18"/>
        </w:rPr>
        <w:t>в</w:t>
      </w:r>
      <w:r>
        <w:rPr>
          <w:color w:val="231F20"/>
          <w:w w:val="49"/>
          <w:sz w:val="18"/>
        </w:rPr>
        <w:t>ст</w:t>
      </w:r>
      <w:r>
        <w:rPr>
          <w:color w:val="231F20"/>
          <w:spacing w:val="-2"/>
          <w:w w:val="49"/>
          <w:sz w:val="18"/>
        </w:rPr>
        <w:t>в</w:t>
      </w:r>
      <w:r>
        <w:rPr>
          <w:color w:val="231F20"/>
          <w:w w:val="55"/>
          <w:sz w:val="18"/>
        </w:rPr>
        <w:t>о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w w:val="22"/>
          <w:sz w:val="18"/>
        </w:rPr>
        <w:t>і</w:t>
      </w:r>
      <w:r>
        <w:rPr>
          <w:color w:val="231F20"/>
          <w:spacing w:val="-20"/>
          <w:sz w:val="18"/>
        </w:rPr>
        <w:t xml:space="preserve"> </w:t>
      </w:r>
      <w:r>
        <w:rPr>
          <w:color w:val="231F20"/>
          <w:w w:val="52"/>
          <w:sz w:val="18"/>
        </w:rPr>
        <w:t>пра</w:t>
      </w:r>
      <w:r>
        <w:rPr>
          <w:color w:val="231F20"/>
          <w:spacing w:val="1"/>
          <w:w w:val="52"/>
          <w:sz w:val="18"/>
        </w:rPr>
        <w:t>к</w:t>
      </w:r>
      <w:r>
        <w:rPr>
          <w:color w:val="231F20"/>
          <w:w w:val="48"/>
          <w:sz w:val="18"/>
        </w:rPr>
        <w:t>ти</w:t>
      </w:r>
      <w:r>
        <w:rPr>
          <w:color w:val="231F20"/>
          <w:spacing w:val="3"/>
          <w:w w:val="48"/>
          <w:sz w:val="18"/>
        </w:rPr>
        <w:t>к</w:t>
      </w:r>
      <w:r>
        <w:rPr>
          <w:color w:val="231F20"/>
          <w:w w:val="55"/>
          <w:sz w:val="18"/>
        </w:rPr>
        <w:t>а</w:t>
      </w:r>
      <w:r>
        <w:rPr>
          <w:color w:val="231F20"/>
          <w:sz w:val="18"/>
        </w:rPr>
        <w:t>.</w:t>
      </w:r>
      <w:r>
        <w:rPr>
          <w:color w:val="231F20"/>
          <w:spacing w:val="-20"/>
          <w:sz w:val="18"/>
        </w:rPr>
        <w:t xml:space="preserve"> </w:t>
      </w:r>
      <w:r>
        <w:rPr>
          <w:rFonts w:ascii="Arial" w:hAnsi="Arial"/>
          <w:i/>
          <w:color w:val="231F20"/>
          <w:spacing w:val="-1"/>
          <w:sz w:val="18"/>
        </w:rPr>
        <w:t>Юридичний журнал.</w:t>
      </w:r>
      <w:r>
        <w:rPr>
          <w:rFonts w:ascii="Arial" w:hAnsi="Arial"/>
          <w:i/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2005.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pacing w:val="-1"/>
          <w:sz w:val="18"/>
        </w:rPr>
        <w:t>№5.</w:t>
      </w:r>
      <w:r>
        <w:rPr>
          <w:color w:val="231F20"/>
          <w:spacing w:val="-9"/>
          <w:sz w:val="18"/>
        </w:rPr>
        <w:t xml:space="preserve"> </w:t>
      </w:r>
      <w:r>
        <w:rPr>
          <w:color w:val="231F20"/>
          <w:spacing w:val="-1"/>
          <w:sz w:val="18"/>
        </w:rPr>
        <w:t>URL:</w:t>
      </w:r>
      <w:r>
        <w:rPr>
          <w:color w:val="231F20"/>
          <w:spacing w:val="-9"/>
          <w:sz w:val="18"/>
        </w:rPr>
        <w:t xml:space="preserve"> </w:t>
      </w:r>
      <w:hyperlink r:id="rId6">
        <w:r>
          <w:rPr>
            <w:color w:val="231F20"/>
            <w:spacing w:val="-1"/>
            <w:sz w:val="18"/>
          </w:rPr>
          <w:t>http://www.justinian.com.ua/article.php?id=1713</w:t>
        </w:r>
        <w:r>
          <w:rPr>
            <w:color w:val="231F20"/>
            <w:spacing w:val="-11"/>
            <w:sz w:val="18"/>
          </w:rPr>
          <w:t xml:space="preserve"> </w:t>
        </w:r>
      </w:hyperlink>
      <w:r>
        <w:rPr>
          <w:color w:val="231F20"/>
          <w:w w:val="60"/>
          <w:sz w:val="18"/>
        </w:rPr>
        <w:t>(дата</w:t>
      </w:r>
      <w:r>
        <w:rPr>
          <w:color w:val="231F20"/>
          <w:spacing w:val="1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звернення</w:t>
      </w:r>
      <w:r>
        <w:rPr>
          <w:color w:val="231F20"/>
          <w:spacing w:val="10"/>
          <w:w w:val="60"/>
          <w:sz w:val="18"/>
        </w:rPr>
        <w:t xml:space="preserve"> </w:t>
      </w:r>
      <w:r>
        <w:rPr>
          <w:color w:val="231F20"/>
          <w:sz w:val="18"/>
        </w:rPr>
        <w:t>20.02.2020</w:t>
      </w:r>
      <w:r>
        <w:rPr>
          <w:color w:val="231F20"/>
          <w:spacing w:val="-10"/>
          <w:sz w:val="18"/>
        </w:rPr>
        <w:t xml:space="preserve"> </w:t>
      </w:r>
      <w:r>
        <w:rPr>
          <w:color w:val="231F20"/>
          <w:sz w:val="18"/>
        </w:rPr>
        <w:t>р.).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53"/>
        </w:tabs>
        <w:spacing w:line="206" w:lineRule="exact"/>
        <w:ind w:left="952" w:hanging="286"/>
        <w:jc w:val="both"/>
        <w:rPr>
          <w:sz w:val="18"/>
        </w:rPr>
      </w:pPr>
      <w:r>
        <w:rPr>
          <w:color w:val="231F20"/>
          <w:spacing w:val="-1"/>
          <w:w w:val="60"/>
          <w:sz w:val="18"/>
        </w:rPr>
        <w:t>Гуменюк</w:t>
      </w:r>
      <w:r>
        <w:rPr>
          <w:color w:val="231F20"/>
          <w:spacing w:val="13"/>
          <w:w w:val="60"/>
          <w:sz w:val="18"/>
        </w:rPr>
        <w:t xml:space="preserve"> </w:t>
      </w:r>
      <w:r>
        <w:rPr>
          <w:color w:val="231F20"/>
          <w:spacing w:val="-1"/>
          <w:w w:val="60"/>
          <w:sz w:val="18"/>
        </w:rPr>
        <w:t>В.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spacing w:val="-1"/>
          <w:w w:val="60"/>
          <w:sz w:val="18"/>
        </w:rPr>
        <w:t>Правові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spacing w:val="-1"/>
          <w:w w:val="60"/>
          <w:sz w:val="18"/>
        </w:rPr>
        <w:t>аспекти</w:t>
      </w:r>
      <w:r>
        <w:rPr>
          <w:color w:val="231F20"/>
          <w:spacing w:val="13"/>
          <w:w w:val="60"/>
          <w:sz w:val="18"/>
        </w:rPr>
        <w:t xml:space="preserve"> </w:t>
      </w:r>
      <w:r>
        <w:rPr>
          <w:color w:val="231F20"/>
          <w:spacing w:val="-1"/>
          <w:w w:val="60"/>
          <w:sz w:val="18"/>
        </w:rPr>
        <w:t>діяльності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spacing w:val="-1"/>
          <w:w w:val="60"/>
          <w:sz w:val="18"/>
        </w:rPr>
        <w:t>міжнародного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комерційного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арбітражу.</w:t>
      </w:r>
      <w:r>
        <w:rPr>
          <w:color w:val="231F20"/>
          <w:spacing w:val="13"/>
          <w:w w:val="60"/>
          <w:sz w:val="18"/>
        </w:rPr>
        <w:t xml:space="preserve"> </w:t>
      </w:r>
      <w:r>
        <w:rPr>
          <w:rFonts w:ascii="Arial" w:hAnsi="Arial"/>
          <w:i/>
          <w:color w:val="231F20"/>
          <w:w w:val="60"/>
          <w:sz w:val="18"/>
        </w:rPr>
        <w:t>Право</w:t>
      </w:r>
      <w:r>
        <w:rPr>
          <w:rFonts w:ascii="Arial" w:hAnsi="Arial"/>
          <w:i/>
          <w:color w:val="231F20"/>
          <w:spacing w:val="14"/>
          <w:w w:val="60"/>
          <w:sz w:val="18"/>
        </w:rPr>
        <w:t xml:space="preserve"> </w:t>
      </w:r>
      <w:r>
        <w:rPr>
          <w:rFonts w:ascii="Arial" w:hAnsi="Arial"/>
          <w:i/>
          <w:color w:val="231F20"/>
          <w:w w:val="60"/>
          <w:sz w:val="18"/>
        </w:rPr>
        <w:t>України</w:t>
      </w:r>
      <w:r>
        <w:rPr>
          <w:color w:val="231F20"/>
          <w:w w:val="60"/>
          <w:sz w:val="18"/>
        </w:rPr>
        <w:t>.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2008.</w:t>
      </w:r>
    </w:p>
    <w:p w:rsidR="00C908DE" w:rsidRDefault="00C908DE" w:rsidP="00C908DE">
      <w:pPr>
        <w:spacing w:before="42"/>
        <w:ind w:left="383"/>
        <w:jc w:val="both"/>
        <w:rPr>
          <w:rFonts w:ascii="Arial MT" w:hAnsi="Arial MT"/>
          <w:sz w:val="18"/>
        </w:rPr>
      </w:pPr>
      <w:r>
        <w:rPr>
          <w:rFonts w:ascii="Arial MT" w:hAnsi="Arial MT"/>
          <w:color w:val="231F20"/>
          <w:w w:val="95"/>
          <w:sz w:val="18"/>
        </w:rPr>
        <w:t>№4.</w:t>
      </w:r>
      <w:r>
        <w:rPr>
          <w:rFonts w:ascii="Arial MT" w:hAnsi="Arial MT"/>
          <w:color w:val="231F20"/>
          <w:spacing w:val="8"/>
          <w:w w:val="95"/>
          <w:sz w:val="18"/>
        </w:rPr>
        <w:t xml:space="preserve"> </w:t>
      </w:r>
      <w:r>
        <w:rPr>
          <w:rFonts w:ascii="Arial MT" w:hAnsi="Arial MT"/>
          <w:color w:val="231F20"/>
          <w:w w:val="95"/>
          <w:sz w:val="18"/>
        </w:rPr>
        <w:t>С.</w:t>
      </w:r>
      <w:r>
        <w:rPr>
          <w:rFonts w:ascii="Arial MT" w:hAnsi="Arial MT"/>
          <w:color w:val="231F20"/>
          <w:spacing w:val="6"/>
          <w:w w:val="95"/>
          <w:sz w:val="18"/>
        </w:rPr>
        <w:t xml:space="preserve"> </w:t>
      </w:r>
      <w:r>
        <w:rPr>
          <w:rFonts w:ascii="Arial MT" w:hAnsi="Arial MT"/>
          <w:color w:val="231F20"/>
          <w:w w:val="95"/>
          <w:sz w:val="18"/>
        </w:rPr>
        <w:t>139-145.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866"/>
        </w:tabs>
        <w:spacing w:before="45" w:line="292" w:lineRule="auto"/>
        <w:ind w:right="391" w:firstLine="283"/>
        <w:jc w:val="both"/>
        <w:rPr>
          <w:sz w:val="18"/>
        </w:rPr>
      </w:pPr>
      <w:r>
        <w:rPr>
          <w:color w:val="231F20"/>
          <w:w w:val="55"/>
          <w:sz w:val="18"/>
        </w:rPr>
        <w:t>Киричук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55"/>
          <w:sz w:val="18"/>
        </w:rPr>
        <w:t>А.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w w:val="55"/>
          <w:sz w:val="18"/>
        </w:rPr>
        <w:t>Правовий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55"/>
          <w:sz w:val="18"/>
        </w:rPr>
        <w:t>механізм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w w:val="55"/>
          <w:sz w:val="18"/>
        </w:rPr>
        <w:t>регулювання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55"/>
          <w:sz w:val="18"/>
        </w:rPr>
        <w:t>Міжнародного</w:t>
      </w:r>
      <w:r>
        <w:rPr>
          <w:color w:val="231F20"/>
          <w:spacing w:val="33"/>
          <w:sz w:val="18"/>
        </w:rPr>
        <w:t xml:space="preserve"> </w:t>
      </w:r>
      <w:r>
        <w:rPr>
          <w:color w:val="231F20"/>
          <w:w w:val="55"/>
          <w:sz w:val="18"/>
        </w:rPr>
        <w:t>комерційного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55"/>
          <w:sz w:val="18"/>
        </w:rPr>
        <w:t>арбітражу.</w:t>
      </w:r>
      <w:r>
        <w:rPr>
          <w:color w:val="231F20"/>
          <w:spacing w:val="5"/>
          <w:sz w:val="18"/>
        </w:rPr>
        <w:t xml:space="preserve">  </w:t>
      </w:r>
      <w:r>
        <w:rPr>
          <w:rFonts w:ascii="Arial" w:hAnsi="Arial"/>
          <w:i/>
          <w:color w:val="231F20"/>
          <w:w w:val="55"/>
          <w:sz w:val="18"/>
        </w:rPr>
        <w:t>Право.</w:t>
      </w:r>
      <w:r>
        <w:rPr>
          <w:rFonts w:ascii="Arial" w:hAnsi="Arial"/>
          <w:i/>
          <w:color w:val="231F20"/>
          <w:spacing w:val="33"/>
          <w:sz w:val="18"/>
        </w:rPr>
        <w:t xml:space="preserve"> </w:t>
      </w:r>
      <w:r>
        <w:rPr>
          <w:color w:val="231F20"/>
          <w:w w:val="55"/>
          <w:sz w:val="18"/>
        </w:rPr>
        <w:t>2014.</w:t>
      </w:r>
      <w:r>
        <w:rPr>
          <w:color w:val="231F20"/>
          <w:spacing w:val="32"/>
          <w:sz w:val="18"/>
        </w:rPr>
        <w:t xml:space="preserve"> </w:t>
      </w:r>
      <w:r>
        <w:rPr>
          <w:color w:val="231F20"/>
          <w:w w:val="55"/>
          <w:sz w:val="18"/>
        </w:rPr>
        <w:t>№24.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75"/>
          <w:sz w:val="18"/>
        </w:rPr>
        <w:t>С.</w:t>
      </w:r>
      <w:r>
        <w:rPr>
          <w:color w:val="231F20"/>
          <w:spacing w:val="11"/>
          <w:w w:val="75"/>
          <w:sz w:val="18"/>
        </w:rPr>
        <w:t xml:space="preserve"> </w:t>
      </w:r>
      <w:r>
        <w:rPr>
          <w:color w:val="231F20"/>
          <w:w w:val="90"/>
          <w:sz w:val="18"/>
        </w:rPr>
        <w:t>232-237.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20"/>
        </w:tabs>
        <w:spacing w:line="292" w:lineRule="auto"/>
        <w:ind w:right="393" w:firstLine="283"/>
        <w:jc w:val="both"/>
        <w:rPr>
          <w:sz w:val="18"/>
        </w:rPr>
      </w:pPr>
      <w:r>
        <w:rPr>
          <w:color w:val="231F20"/>
          <w:w w:val="55"/>
          <w:sz w:val="18"/>
        </w:rPr>
        <w:t>Мальський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М.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Характеристика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правовідносин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з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реалізації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права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на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звернення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до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Міжнародного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70"/>
          <w:sz w:val="18"/>
        </w:rPr>
        <w:t>комерційного</w:t>
      </w:r>
      <w:r>
        <w:rPr>
          <w:color w:val="231F20"/>
          <w:spacing w:val="6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арбітражу.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Юридичні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науки.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2010.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№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4.</w:t>
      </w:r>
      <w:r>
        <w:rPr>
          <w:color w:val="231F20"/>
          <w:spacing w:val="7"/>
          <w:w w:val="70"/>
          <w:sz w:val="18"/>
        </w:rPr>
        <w:t xml:space="preserve"> </w:t>
      </w:r>
      <w:r>
        <w:rPr>
          <w:color w:val="231F20"/>
          <w:w w:val="70"/>
          <w:sz w:val="18"/>
        </w:rPr>
        <w:t>С.70-75.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882"/>
        </w:tabs>
        <w:spacing w:line="292" w:lineRule="auto"/>
        <w:ind w:right="392" w:firstLine="283"/>
        <w:jc w:val="both"/>
        <w:rPr>
          <w:sz w:val="18"/>
        </w:rPr>
      </w:pPr>
      <w:r>
        <w:rPr>
          <w:color w:val="231F20"/>
          <w:spacing w:val="-1"/>
          <w:w w:val="55"/>
          <w:sz w:val="18"/>
        </w:rPr>
        <w:t xml:space="preserve">Нью-Йоркська конвенція про визнання та виконання іноземних </w:t>
      </w:r>
      <w:r>
        <w:rPr>
          <w:color w:val="231F20"/>
          <w:w w:val="55"/>
          <w:sz w:val="18"/>
        </w:rPr>
        <w:t>арбітражних рішень : 60-річна історія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spacing w:val="-3"/>
          <w:w w:val="50"/>
          <w:sz w:val="18"/>
        </w:rPr>
        <w:t>у</w:t>
      </w:r>
      <w:r>
        <w:rPr>
          <w:color w:val="231F20"/>
          <w:w w:val="45"/>
          <w:sz w:val="18"/>
        </w:rPr>
        <w:t>спіх</w:t>
      </w:r>
      <w:r>
        <w:rPr>
          <w:color w:val="231F20"/>
          <w:spacing w:val="-19"/>
          <w:w w:val="45"/>
          <w:sz w:val="18"/>
        </w:rPr>
        <w:t>у</w:t>
      </w:r>
      <w:r>
        <w:rPr>
          <w:color w:val="231F20"/>
          <w:sz w:val="18"/>
        </w:rPr>
        <w:t>.</w:t>
      </w:r>
      <w:r>
        <w:rPr>
          <w:rFonts w:ascii="Arial" w:hAnsi="Arial"/>
          <w:i/>
          <w:color w:val="231F20"/>
          <w:spacing w:val="-1"/>
          <w:sz w:val="18"/>
        </w:rPr>
        <w:t>Юридичн</w:t>
      </w:r>
      <w:r>
        <w:rPr>
          <w:rFonts w:ascii="Arial" w:hAnsi="Arial"/>
          <w:i/>
          <w:color w:val="231F20"/>
          <w:sz w:val="18"/>
        </w:rPr>
        <w:t>а</w:t>
      </w:r>
      <w:r>
        <w:rPr>
          <w:rFonts w:ascii="Arial" w:hAnsi="Arial"/>
          <w:i/>
          <w:color w:val="231F20"/>
          <w:spacing w:val="3"/>
          <w:sz w:val="18"/>
        </w:rPr>
        <w:t xml:space="preserve"> </w:t>
      </w:r>
      <w:r>
        <w:rPr>
          <w:rFonts w:ascii="Arial" w:hAnsi="Arial"/>
          <w:i/>
          <w:color w:val="231F20"/>
          <w:spacing w:val="-3"/>
          <w:sz w:val="18"/>
        </w:rPr>
        <w:t>г</w:t>
      </w:r>
      <w:r>
        <w:rPr>
          <w:rFonts w:ascii="Arial" w:hAnsi="Arial"/>
          <w:i/>
          <w:color w:val="231F20"/>
          <w:spacing w:val="-4"/>
          <w:sz w:val="18"/>
        </w:rPr>
        <w:t>а</w:t>
      </w:r>
      <w:r>
        <w:rPr>
          <w:rFonts w:ascii="Arial" w:hAnsi="Arial"/>
          <w:i/>
          <w:color w:val="231F20"/>
          <w:spacing w:val="-3"/>
          <w:sz w:val="18"/>
        </w:rPr>
        <w:t>зет</w:t>
      </w:r>
      <w:r>
        <w:rPr>
          <w:rFonts w:ascii="Arial" w:hAnsi="Arial"/>
          <w:i/>
          <w:color w:val="231F20"/>
          <w:sz w:val="18"/>
        </w:rPr>
        <w:t>а</w:t>
      </w:r>
      <w:r>
        <w:rPr>
          <w:rFonts w:ascii="Arial" w:hAnsi="Arial"/>
          <w:i/>
          <w:color w:val="231F20"/>
          <w:spacing w:val="5"/>
          <w:sz w:val="18"/>
        </w:rPr>
        <w:t xml:space="preserve"> </w:t>
      </w:r>
      <w:r>
        <w:rPr>
          <w:rFonts w:ascii="Arial" w:hAnsi="Arial"/>
          <w:i/>
          <w:color w:val="231F20"/>
          <w:spacing w:val="-1"/>
          <w:sz w:val="18"/>
        </w:rPr>
        <w:t>onlin</w:t>
      </w:r>
      <w:r>
        <w:rPr>
          <w:rFonts w:ascii="Arial" w:hAnsi="Arial"/>
          <w:i/>
          <w:color w:val="231F20"/>
          <w:sz w:val="18"/>
        </w:rPr>
        <w:t>e</w:t>
      </w:r>
      <w:r>
        <w:rPr>
          <w:color w:val="231F20"/>
          <w:sz w:val="18"/>
        </w:rPr>
        <w:t>.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z w:val="18"/>
        </w:rPr>
        <w:t>3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w w:val="58"/>
          <w:sz w:val="18"/>
        </w:rPr>
        <w:t>жо</w:t>
      </w:r>
      <w:r>
        <w:rPr>
          <w:color w:val="231F20"/>
          <w:spacing w:val="-4"/>
          <w:w w:val="58"/>
          <w:sz w:val="18"/>
        </w:rPr>
        <w:t>в</w:t>
      </w:r>
      <w:r>
        <w:rPr>
          <w:color w:val="231F20"/>
          <w:w w:val="51"/>
          <w:sz w:val="18"/>
        </w:rPr>
        <w:t>тня</w:t>
      </w:r>
      <w:r>
        <w:rPr>
          <w:color w:val="231F20"/>
          <w:spacing w:val="3"/>
          <w:sz w:val="18"/>
        </w:rPr>
        <w:t xml:space="preserve"> </w:t>
      </w:r>
      <w:r>
        <w:rPr>
          <w:color w:val="231F20"/>
          <w:spacing w:val="-1"/>
          <w:sz w:val="18"/>
        </w:rPr>
        <w:t>201</w:t>
      </w:r>
      <w:r>
        <w:rPr>
          <w:color w:val="231F20"/>
          <w:sz w:val="18"/>
        </w:rPr>
        <w:t>8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pacing w:val="-1"/>
          <w:w w:val="65"/>
          <w:sz w:val="18"/>
        </w:rPr>
        <w:t>р</w:t>
      </w:r>
      <w:r>
        <w:rPr>
          <w:color w:val="231F20"/>
          <w:w w:val="65"/>
          <w:sz w:val="18"/>
        </w:rPr>
        <w:t>.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pacing w:val="-1"/>
          <w:sz w:val="18"/>
        </w:rPr>
        <w:t>UR</w:t>
      </w:r>
      <w:r>
        <w:rPr>
          <w:color w:val="231F20"/>
          <w:sz w:val="18"/>
        </w:rPr>
        <w:t>L:</w:t>
      </w:r>
      <w:r>
        <w:rPr>
          <w:color w:val="231F20"/>
          <w:spacing w:val="4"/>
          <w:sz w:val="18"/>
        </w:rPr>
        <w:t xml:space="preserve"> </w:t>
      </w:r>
      <w:r>
        <w:rPr>
          <w:color w:val="231F20"/>
          <w:spacing w:val="-1"/>
          <w:sz w:val="18"/>
        </w:rPr>
        <w:t xml:space="preserve">https://yur-gazeta.com/golovna/nyuyorkska-konvenciya- </w:t>
      </w:r>
      <w:r>
        <w:rPr>
          <w:color w:val="231F20"/>
          <w:w w:val="90"/>
          <w:sz w:val="18"/>
        </w:rPr>
        <w:t xml:space="preserve">pro-viznannya-ta-vikonannya-inozemnih-arbitrazhnih-rishen-60richna-istoriya-us.html </w:t>
      </w:r>
      <w:r>
        <w:rPr>
          <w:color w:val="231F20"/>
          <w:w w:val="80"/>
          <w:sz w:val="18"/>
        </w:rPr>
        <w:t xml:space="preserve">(дата звернення </w:t>
      </w:r>
      <w:r>
        <w:rPr>
          <w:color w:val="231F20"/>
          <w:w w:val="90"/>
          <w:sz w:val="18"/>
        </w:rPr>
        <w:t>18.02.2020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р.).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60"/>
        </w:tabs>
        <w:spacing w:line="292" w:lineRule="auto"/>
        <w:ind w:right="391" w:firstLine="283"/>
        <w:jc w:val="both"/>
        <w:rPr>
          <w:sz w:val="18"/>
        </w:rPr>
      </w:pPr>
      <w:r>
        <w:rPr>
          <w:color w:val="231F20"/>
          <w:w w:val="55"/>
          <w:sz w:val="18"/>
        </w:rPr>
        <w:t>Регламент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Международного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коммерческого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арбитражного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суда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при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Торгово-промышленной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палате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80"/>
          <w:sz w:val="18"/>
        </w:rPr>
        <w:t xml:space="preserve">Украины. Киев. </w:t>
      </w:r>
      <w:r>
        <w:rPr>
          <w:color w:val="231F20"/>
          <w:w w:val="90"/>
          <w:sz w:val="18"/>
        </w:rPr>
        <w:t xml:space="preserve">2017. URL: https://icac.org.ua/wp-content/uploads/Reglament-ISAS-pry-TPP-Ukrayny.pdf </w:t>
      </w:r>
      <w:r>
        <w:rPr>
          <w:color w:val="231F20"/>
          <w:w w:val="80"/>
          <w:sz w:val="18"/>
        </w:rPr>
        <w:t>(дата</w:t>
      </w:r>
      <w:r>
        <w:rPr>
          <w:color w:val="231F20"/>
          <w:spacing w:val="1"/>
          <w:w w:val="80"/>
          <w:sz w:val="18"/>
        </w:rPr>
        <w:t xml:space="preserve"> </w:t>
      </w:r>
      <w:r>
        <w:rPr>
          <w:color w:val="231F20"/>
          <w:w w:val="80"/>
          <w:sz w:val="18"/>
        </w:rPr>
        <w:t>звернення</w:t>
      </w:r>
      <w:r>
        <w:rPr>
          <w:color w:val="231F20"/>
          <w:spacing w:val="6"/>
          <w:w w:val="80"/>
          <w:sz w:val="18"/>
        </w:rPr>
        <w:t xml:space="preserve"> </w:t>
      </w:r>
      <w:r>
        <w:rPr>
          <w:color w:val="231F20"/>
          <w:w w:val="90"/>
          <w:sz w:val="18"/>
        </w:rPr>
        <w:t>12.02.2020</w:t>
      </w:r>
      <w:r>
        <w:rPr>
          <w:color w:val="231F20"/>
          <w:spacing w:val="1"/>
          <w:w w:val="90"/>
          <w:sz w:val="18"/>
        </w:rPr>
        <w:t xml:space="preserve"> </w:t>
      </w:r>
      <w:r>
        <w:rPr>
          <w:color w:val="231F20"/>
          <w:w w:val="90"/>
          <w:sz w:val="18"/>
        </w:rPr>
        <w:t>р.).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45"/>
        </w:tabs>
        <w:spacing w:line="292" w:lineRule="auto"/>
        <w:ind w:right="395" w:firstLine="283"/>
        <w:jc w:val="both"/>
        <w:rPr>
          <w:sz w:val="18"/>
        </w:rPr>
      </w:pPr>
      <w:r>
        <w:rPr>
          <w:color w:val="231F20"/>
          <w:w w:val="50"/>
          <w:sz w:val="18"/>
        </w:rPr>
        <w:t>Переверзєва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О.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С.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Міжнародний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комерційний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арбітражний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суд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з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вирішення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спорів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у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сфері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50"/>
          <w:sz w:val="18"/>
        </w:rPr>
        <w:t>торговельного</w:t>
      </w:r>
      <w:r>
        <w:rPr>
          <w:color w:val="231F20"/>
          <w:spacing w:val="1"/>
          <w:w w:val="50"/>
          <w:sz w:val="18"/>
        </w:rPr>
        <w:t xml:space="preserve"> </w:t>
      </w:r>
      <w:r>
        <w:rPr>
          <w:color w:val="231F20"/>
          <w:w w:val="60"/>
          <w:sz w:val="18"/>
        </w:rPr>
        <w:t>мореплавства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: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дис.</w:t>
      </w:r>
      <w:r>
        <w:rPr>
          <w:color w:val="231F20"/>
          <w:spacing w:val="22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канд.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юрид.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наук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:</w:t>
      </w:r>
      <w:r>
        <w:rPr>
          <w:color w:val="231F20"/>
          <w:spacing w:val="29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12.00.03.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Київ.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нац.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ун-т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ім.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Т.</w:t>
      </w:r>
      <w:r>
        <w:rPr>
          <w:color w:val="231F20"/>
          <w:spacing w:val="29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Шевченка.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К.,</w:t>
      </w:r>
      <w:r>
        <w:rPr>
          <w:color w:val="231F20"/>
          <w:spacing w:val="28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2006.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173</w:t>
      </w:r>
      <w:r>
        <w:rPr>
          <w:color w:val="231F20"/>
          <w:spacing w:val="27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с.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1070"/>
        </w:tabs>
        <w:spacing w:line="292" w:lineRule="auto"/>
        <w:ind w:right="391" w:firstLine="283"/>
        <w:jc w:val="both"/>
        <w:rPr>
          <w:sz w:val="18"/>
        </w:rPr>
      </w:pPr>
      <w:r>
        <w:rPr>
          <w:color w:val="231F20"/>
          <w:w w:val="60"/>
          <w:sz w:val="18"/>
        </w:rPr>
        <w:t>Про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зовнішньоекономічну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діяльність: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Закон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України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від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16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липня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1991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р.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№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959-</w:t>
      </w:r>
      <w:r>
        <w:rPr>
          <w:color w:val="231F20"/>
          <w:spacing w:val="11"/>
          <w:sz w:val="18"/>
        </w:rPr>
        <w:t xml:space="preserve"> </w:t>
      </w:r>
      <w:r>
        <w:rPr>
          <w:color w:val="231F20"/>
          <w:w w:val="60"/>
          <w:sz w:val="18"/>
        </w:rPr>
        <w:t>XII.</w:t>
      </w:r>
      <w:r>
        <w:rPr>
          <w:color w:val="231F20"/>
          <w:spacing w:val="11"/>
          <w:sz w:val="18"/>
        </w:rPr>
        <w:t xml:space="preserve"> </w:t>
      </w:r>
      <w:r>
        <w:rPr>
          <w:rFonts w:ascii="Arial" w:hAnsi="Arial"/>
          <w:i/>
          <w:color w:val="231F20"/>
          <w:w w:val="60"/>
          <w:sz w:val="18"/>
        </w:rPr>
        <w:t>Відомості</w:t>
      </w:r>
      <w:r>
        <w:rPr>
          <w:rFonts w:ascii="Arial" w:hAnsi="Arial"/>
          <w:i/>
          <w:color w:val="231F20"/>
          <w:spacing w:val="1"/>
          <w:w w:val="60"/>
          <w:sz w:val="18"/>
        </w:rPr>
        <w:t xml:space="preserve"> </w:t>
      </w:r>
      <w:r>
        <w:rPr>
          <w:rFonts w:ascii="Arial" w:hAnsi="Arial"/>
          <w:i/>
          <w:color w:val="231F20"/>
          <w:w w:val="95"/>
          <w:sz w:val="18"/>
        </w:rPr>
        <w:t>Верховної</w:t>
      </w:r>
      <w:r>
        <w:rPr>
          <w:rFonts w:ascii="Arial" w:hAnsi="Arial"/>
          <w:i/>
          <w:color w:val="231F20"/>
          <w:spacing w:val="2"/>
          <w:w w:val="95"/>
          <w:sz w:val="18"/>
        </w:rPr>
        <w:t xml:space="preserve"> </w:t>
      </w:r>
      <w:r>
        <w:rPr>
          <w:rFonts w:ascii="Arial" w:hAnsi="Arial"/>
          <w:i/>
          <w:color w:val="231F20"/>
          <w:w w:val="95"/>
          <w:sz w:val="18"/>
        </w:rPr>
        <w:t>Ради</w:t>
      </w:r>
      <w:r>
        <w:rPr>
          <w:rFonts w:ascii="Arial" w:hAnsi="Arial"/>
          <w:i/>
          <w:color w:val="231F20"/>
          <w:spacing w:val="4"/>
          <w:w w:val="95"/>
          <w:sz w:val="18"/>
        </w:rPr>
        <w:t xml:space="preserve"> </w:t>
      </w:r>
      <w:r>
        <w:rPr>
          <w:rFonts w:ascii="Arial" w:hAnsi="Arial"/>
          <w:i/>
          <w:color w:val="231F20"/>
          <w:w w:val="95"/>
          <w:sz w:val="18"/>
        </w:rPr>
        <w:t>УРСР.</w:t>
      </w:r>
      <w:r>
        <w:rPr>
          <w:rFonts w:ascii="Arial" w:hAnsi="Arial"/>
          <w:i/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1991.</w:t>
      </w:r>
      <w:r>
        <w:rPr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№29.</w:t>
      </w:r>
      <w:r>
        <w:rPr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80"/>
          <w:sz w:val="18"/>
        </w:rPr>
        <w:t>с.377.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1096"/>
        </w:tabs>
        <w:spacing w:line="292" w:lineRule="auto"/>
        <w:ind w:right="391" w:firstLine="283"/>
        <w:jc w:val="both"/>
        <w:rPr>
          <w:sz w:val="18"/>
        </w:rPr>
      </w:pPr>
      <w:r>
        <w:rPr>
          <w:color w:val="231F20"/>
          <w:w w:val="60"/>
          <w:sz w:val="18"/>
        </w:rPr>
        <w:t>Про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міжнародний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комерційний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арбітраж: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Закон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Україні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від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5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травня</w:t>
      </w:r>
      <w:r>
        <w:rPr>
          <w:color w:val="231F20"/>
          <w:spacing w:val="1"/>
          <w:w w:val="60"/>
          <w:sz w:val="18"/>
        </w:rPr>
        <w:t xml:space="preserve"> </w:t>
      </w:r>
      <w:r>
        <w:rPr>
          <w:color w:val="231F20"/>
          <w:w w:val="60"/>
          <w:sz w:val="18"/>
        </w:rPr>
        <w:t>2005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w w:val="60"/>
          <w:sz w:val="18"/>
        </w:rPr>
        <w:t>р.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w w:val="60"/>
          <w:sz w:val="18"/>
        </w:rPr>
        <w:t>№</w:t>
      </w:r>
      <w:r>
        <w:rPr>
          <w:color w:val="231F20"/>
          <w:spacing w:val="10"/>
          <w:sz w:val="18"/>
        </w:rPr>
        <w:t xml:space="preserve"> </w:t>
      </w:r>
      <w:r>
        <w:rPr>
          <w:color w:val="231F20"/>
          <w:w w:val="60"/>
          <w:sz w:val="18"/>
        </w:rPr>
        <w:t>4002-XII.</w:t>
      </w:r>
      <w:r>
        <w:rPr>
          <w:color w:val="231F20"/>
          <w:spacing w:val="10"/>
          <w:sz w:val="18"/>
        </w:rPr>
        <w:t xml:space="preserve"> </w:t>
      </w:r>
      <w:r>
        <w:rPr>
          <w:rFonts w:ascii="Arial" w:hAnsi="Arial"/>
          <w:i/>
          <w:color w:val="231F20"/>
          <w:w w:val="60"/>
          <w:sz w:val="18"/>
        </w:rPr>
        <w:t>Офіційний</w:t>
      </w:r>
      <w:r>
        <w:rPr>
          <w:rFonts w:ascii="Arial" w:hAnsi="Arial"/>
          <w:i/>
          <w:color w:val="231F20"/>
          <w:spacing w:val="1"/>
          <w:w w:val="60"/>
          <w:sz w:val="18"/>
        </w:rPr>
        <w:t xml:space="preserve"> </w:t>
      </w:r>
      <w:r>
        <w:rPr>
          <w:rFonts w:ascii="Arial" w:hAnsi="Arial"/>
          <w:i/>
          <w:color w:val="231F20"/>
          <w:w w:val="95"/>
          <w:sz w:val="18"/>
        </w:rPr>
        <w:t>вісник</w:t>
      </w:r>
      <w:r>
        <w:rPr>
          <w:rFonts w:ascii="Arial" w:hAnsi="Arial"/>
          <w:i/>
          <w:color w:val="231F20"/>
          <w:spacing w:val="2"/>
          <w:w w:val="95"/>
          <w:sz w:val="18"/>
        </w:rPr>
        <w:t xml:space="preserve"> </w:t>
      </w:r>
      <w:r>
        <w:rPr>
          <w:rFonts w:ascii="Arial" w:hAnsi="Arial"/>
          <w:i/>
          <w:color w:val="231F20"/>
          <w:w w:val="95"/>
          <w:sz w:val="18"/>
        </w:rPr>
        <w:t>України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2005.</w:t>
      </w:r>
      <w:r>
        <w:rPr>
          <w:color w:val="231F20"/>
          <w:spacing w:val="2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№29.</w:t>
      </w:r>
      <w:r>
        <w:rPr>
          <w:color w:val="231F20"/>
          <w:spacing w:val="3"/>
          <w:w w:val="95"/>
          <w:sz w:val="18"/>
        </w:rPr>
        <w:t xml:space="preserve"> </w:t>
      </w:r>
      <w:r>
        <w:rPr>
          <w:color w:val="231F20"/>
          <w:w w:val="75"/>
          <w:sz w:val="18"/>
        </w:rPr>
        <w:t>Ст.</w:t>
      </w:r>
      <w:r>
        <w:rPr>
          <w:color w:val="231F20"/>
          <w:spacing w:val="13"/>
          <w:w w:val="75"/>
          <w:sz w:val="18"/>
        </w:rPr>
        <w:t xml:space="preserve"> </w:t>
      </w:r>
      <w:r>
        <w:rPr>
          <w:color w:val="231F20"/>
          <w:w w:val="95"/>
          <w:sz w:val="18"/>
        </w:rPr>
        <w:t>48.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1001"/>
        </w:tabs>
        <w:spacing w:line="206" w:lineRule="exact"/>
        <w:ind w:left="1000" w:hanging="334"/>
        <w:jc w:val="both"/>
        <w:rPr>
          <w:sz w:val="18"/>
        </w:rPr>
      </w:pPr>
      <w:r>
        <w:rPr>
          <w:color w:val="231F20"/>
          <w:w w:val="55"/>
          <w:sz w:val="18"/>
        </w:rPr>
        <w:t>Прусенко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Г.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Поняття  та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види  забезпечувальних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заходів  у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Міжнародному  комерційному</w:t>
      </w:r>
      <w:r>
        <w:rPr>
          <w:color w:val="231F20"/>
          <w:spacing w:val="27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арбітражі.</w:t>
      </w:r>
    </w:p>
    <w:p w:rsidR="00C908DE" w:rsidRDefault="00C908DE" w:rsidP="00C908DE">
      <w:pPr>
        <w:spacing w:before="37"/>
        <w:ind w:left="383"/>
        <w:jc w:val="both"/>
        <w:rPr>
          <w:rFonts w:ascii="Arial MT" w:hAnsi="Arial MT"/>
          <w:sz w:val="18"/>
        </w:rPr>
      </w:pPr>
      <w:r>
        <w:rPr>
          <w:rFonts w:ascii="Arial" w:hAnsi="Arial"/>
          <w:i/>
          <w:color w:val="231F20"/>
          <w:sz w:val="18"/>
        </w:rPr>
        <w:t>Юридичний</w:t>
      </w:r>
      <w:r>
        <w:rPr>
          <w:rFonts w:ascii="Arial" w:hAnsi="Arial"/>
          <w:i/>
          <w:color w:val="231F20"/>
          <w:spacing w:val="-12"/>
          <w:sz w:val="18"/>
        </w:rPr>
        <w:t xml:space="preserve"> </w:t>
      </w:r>
      <w:r>
        <w:rPr>
          <w:rFonts w:ascii="Arial" w:hAnsi="Arial"/>
          <w:i/>
          <w:color w:val="231F20"/>
          <w:sz w:val="18"/>
        </w:rPr>
        <w:t>вісник</w:t>
      </w:r>
      <w:r>
        <w:rPr>
          <w:rFonts w:ascii="Arial MT" w:hAnsi="Arial MT"/>
          <w:color w:val="231F20"/>
          <w:sz w:val="18"/>
        </w:rPr>
        <w:t>.</w:t>
      </w:r>
      <w:r>
        <w:rPr>
          <w:rFonts w:ascii="Arial MT" w:hAnsi="Arial MT"/>
          <w:color w:val="231F20"/>
          <w:spacing w:val="-12"/>
          <w:sz w:val="18"/>
        </w:rPr>
        <w:t xml:space="preserve"> </w:t>
      </w:r>
      <w:r>
        <w:rPr>
          <w:rFonts w:ascii="Arial MT" w:hAnsi="Arial MT"/>
          <w:color w:val="231F20"/>
          <w:sz w:val="18"/>
        </w:rPr>
        <w:t>2014.</w:t>
      </w:r>
      <w:r>
        <w:rPr>
          <w:rFonts w:ascii="Arial MT" w:hAnsi="Arial MT"/>
          <w:color w:val="231F20"/>
          <w:spacing w:val="-12"/>
          <w:sz w:val="18"/>
        </w:rPr>
        <w:t xml:space="preserve"> </w:t>
      </w:r>
      <w:r>
        <w:rPr>
          <w:rFonts w:ascii="Arial MT" w:hAnsi="Arial MT"/>
          <w:color w:val="231F20"/>
          <w:sz w:val="18"/>
        </w:rPr>
        <w:t>№2.</w:t>
      </w:r>
      <w:r>
        <w:rPr>
          <w:rFonts w:ascii="Arial MT" w:hAnsi="Arial MT"/>
          <w:color w:val="231F20"/>
          <w:spacing w:val="-11"/>
          <w:sz w:val="18"/>
        </w:rPr>
        <w:t xml:space="preserve"> </w:t>
      </w:r>
      <w:r>
        <w:rPr>
          <w:rFonts w:ascii="Arial MT" w:hAnsi="Arial MT"/>
          <w:color w:val="231F20"/>
          <w:sz w:val="18"/>
        </w:rPr>
        <w:t>С.284-288.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1010"/>
        </w:tabs>
        <w:spacing w:before="45" w:line="292" w:lineRule="auto"/>
        <w:ind w:right="393" w:firstLine="283"/>
        <w:jc w:val="both"/>
        <w:rPr>
          <w:sz w:val="18"/>
        </w:rPr>
      </w:pPr>
      <w:r>
        <w:rPr>
          <w:color w:val="231F20"/>
          <w:spacing w:val="-1"/>
          <w:w w:val="55"/>
          <w:sz w:val="18"/>
        </w:rPr>
        <w:t>Торгашин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О.М.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Історія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становлення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і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розвитку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комерційного</w:t>
      </w:r>
      <w:r>
        <w:rPr>
          <w:color w:val="231F20"/>
          <w:w w:val="55"/>
          <w:sz w:val="18"/>
        </w:rPr>
        <w:t xml:space="preserve"> </w:t>
      </w:r>
      <w:r>
        <w:rPr>
          <w:color w:val="231F20"/>
          <w:spacing w:val="-1"/>
          <w:w w:val="55"/>
          <w:sz w:val="18"/>
        </w:rPr>
        <w:t>арбітражного</w:t>
      </w:r>
      <w:r>
        <w:rPr>
          <w:color w:val="231F20"/>
          <w:w w:val="55"/>
          <w:sz w:val="18"/>
        </w:rPr>
        <w:t xml:space="preserve"> суду.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Підприємництво,</w:t>
      </w:r>
      <w:r>
        <w:rPr>
          <w:color w:val="231F20"/>
          <w:spacing w:val="1"/>
          <w:w w:val="55"/>
          <w:sz w:val="18"/>
        </w:rPr>
        <w:t xml:space="preserve"> </w:t>
      </w:r>
      <w:r>
        <w:rPr>
          <w:color w:val="231F20"/>
          <w:w w:val="75"/>
          <w:sz w:val="18"/>
        </w:rPr>
        <w:t>господарство</w:t>
      </w:r>
      <w:r>
        <w:rPr>
          <w:color w:val="231F20"/>
          <w:spacing w:val="5"/>
          <w:w w:val="75"/>
          <w:sz w:val="18"/>
        </w:rPr>
        <w:t xml:space="preserve"> </w:t>
      </w:r>
      <w:r>
        <w:rPr>
          <w:color w:val="231F20"/>
          <w:w w:val="60"/>
          <w:sz w:val="18"/>
        </w:rPr>
        <w:t>і</w:t>
      </w:r>
      <w:r>
        <w:rPr>
          <w:color w:val="231F20"/>
          <w:spacing w:val="14"/>
          <w:w w:val="60"/>
          <w:sz w:val="18"/>
        </w:rPr>
        <w:t xml:space="preserve"> </w:t>
      </w:r>
      <w:r>
        <w:rPr>
          <w:color w:val="231F20"/>
          <w:w w:val="75"/>
          <w:sz w:val="18"/>
        </w:rPr>
        <w:t>право.</w:t>
      </w:r>
      <w:r>
        <w:rPr>
          <w:color w:val="231F20"/>
          <w:spacing w:val="6"/>
          <w:w w:val="75"/>
          <w:sz w:val="18"/>
        </w:rPr>
        <w:t xml:space="preserve"> </w:t>
      </w:r>
      <w:r>
        <w:rPr>
          <w:color w:val="231F20"/>
          <w:w w:val="95"/>
          <w:sz w:val="18"/>
        </w:rPr>
        <w:t>2004.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№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95"/>
          <w:sz w:val="18"/>
        </w:rPr>
        <w:t>9.</w:t>
      </w:r>
      <w:r>
        <w:rPr>
          <w:color w:val="231F20"/>
          <w:spacing w:val="-4"/>
          <w:w w:val="95"/>
          <w:sz w:val="18"/>
        </w:rPr>
        <w:t xml:space="preserve"> </w:t>
      </w:r>
      <w:r>
        <w:rPr>
          <w:color w:val="231F20"/>
          <w:w w:val="75"/>
          <w:sz w:val="18"/>
        </w:rPr>
        <w:t>С.</w:t>
      </w:r>
      <w:r>
        <w:rPr>
          <w:color w:val="231F20"/>
          <w:spacing w:val="7"/>
          <w:w w:val="75"/>
          <w:sz w:val="18"/>
        </w:rPr>
        <w:t xml:space="preserve"> </w:t>
      </w:r>
      <w:r>
        <w:rPr>
          <w:color w:val="231F20"/>
          <w:w w:val="95"/>
          <w:sz w:val="18"/>
        </w:rPr>
        <w:t>21-25.</w:t>
      </w:r>
    </w:p>
    <w:p w:rsidR="00C908DE" w:rsidRDefault="00C908DE" w:rsidP="00C908DE">
      <w:pPr>
        <w:pStyle w:val="a7"/>
        <w:numPr>
          <w:ilvl w:val="0"/>
          <w:numId w:val="1"/>
        </w:numPr>
        <w:tabs>
          <w:tab w:val="left" w:pos="968"/>
        </w:tabs>
        <w:spacing w:line="206" w:lineRule="exact"/>
        <w:ind w:left="967" w:hanging="301"/>
        <w:jc w:val="both"/>
        <w:rPr>
          <w:sz w:val="18"/>
        </w:rPr>
      </w:pPr>
      <w:r>
        <w:rPr>
          <w:color w:val="231F20"/>
          <w:w w:val="55"/>
          <w:sz w:val="18"/>
        </w:rPr>
        <w:t>Цірат</w:t>
      </w:r>
      <w:r>
        <w:rPr>
          <w:color w:val="231F20"/>
          <w:spacing w:val="19"/>
          <w:w w:val="55"/>
          <w:sz w:val="18"/>
        </w:rPr>
        <w:t xml:space="preserve"> </w:t>
      </w:r>
      <w:r>
        <w:rPr>
          <w:color w:val="231F20"/>
          <w:w w:val="55"/>
          <w:sz w:val="18"/>
        </w:rPr>
        <w:t>Г.А.</w:t>
      </w:r>
      <w:r>
        <w:rPr>
          <w:color w:val="231F20"/>
          <w:spacing w:val="23"/>
          <w:sz w:val="18"/>
        </w:rPr>
        <w:t xml:space="preserve"> </w:t>
      </w:r>
      <w:r>
        <w:rPr>
          <w:color w:val="231F20"/>
          <w:w w:val="55"/>
          <w:sz w:val="18"/>
        </w:rPr>
        <w:t>Міжнародний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w w:val="55"/>
          <w:sz w:val="18"/>
        </w:rPr>
        <w:t>комерційний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w w:val="55"/>
          <w:sz w:val="18"/>
        </w:rPr>
        <w:t>арбітраж: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w w:val="55"/>
          <w:sz w:val="18"/>
        </w:rPr>
        <w:t>навчальний</w:t>
      </w:r>
      <w:r>
        <w:rPr>
          <w:color w:val="231F20"/>
          <w:spacing w:val="24"/>
          <w:sz w:val="18"/>
        </w:rPr>
        <w:t xml:space="preserve"> </w:t>
      </w:r>
      <w:r>
        <w:rPr>
          <w:color w:val="231F20"/>
          <w:w w:val="55"/>
          <w:sz w:val="18"/>
        </w:rPr>
        <w:t>посібник.</w:t>
      </w:r>
      <w:r>
        <w:rPr>
          <w:color w:val="231F20"/>
          <w:spacing w:val="23"/>
          <w:sz w:val="18"/>
        </w:rPr>
        <w:t xml:space="preserve"> </w:t>
      </w:r>
      <w:r>
        <w:rPr>
          <w:color w:val="231F20"/>
          <w:w w:val="55"/>
          <w:sz w:val="18"/>
        </w:rPr>
        <w:t>К.,</w:t>
      </w:r>
      <w:r>
        <w:rPr>
          <w:color w:val="231F20"/>
          <w:spacing w:val="24"/>
          <w:sz w:val="18"/>
        </w:rPr>
        <w:t xml:space="preserve"> </w:t>
      </w:r>
      <w:r>
        <w:rPr>
          <w:color w:val="231F20"/>
          <w:w w:val="55"/>
          <w:sz w:val="18"/>
        </w:rPr>
        <w:t>2002.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w w:val="55"/>
          <w:sz w:val="18"/>
        </w:rPr>
        <w:t>304</w:t>
      </w:r>
      <w:r>
        <w:rPr>
          <w:color w:val="231F20"/>
          <w:spacing w:val="22"/>
          <w:sz w:val="18"/>
        </w:rPr>
        <w:t xml:space="preserve"> </w:t>
      </w:r>
      <w:r>
        <w:rPr>
          <w:color w:val="231F20"/>
          <w:w w:val="55"/>
          <w:sz w:val="18"/>
        </w:rPr>
        <w:t>с.</w:t>
      </w:r>
    </w:p>
    <w:p w:rsidR="00C908DE" w:rsidRDefault="00C908DE">
      <w:bookmarkStart w:id="0" w:name="_GoBack"/>
      <w:bookmarkEnd w:id="0"/>
    </w:p>
    <w:sectPr w:rsidR="00C908D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altName w:val="Cambria"/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rebuchet MS">
    <w:altName w:val="Trebuchet MS"/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3F6F1D"/>
    <w:multiLevelType w:val="hybridMultilevel"/>
    <w:tmpl w:val="0CAC5F00"/>
    <w:lvl w:ilvl="0" w:tplc="0D7CB7BA">
      <w:numFmt w:val="bullet"/>
      <w:lvlText w:val="-"/>
      <w:lvlJc w:val="left"/>
      <w:pPr>
        <w:ind w:left="213" w:hanging="124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1" w:tplc="0B948F20">
      <w:numFmt w:val="bullet"/>
      <w:lvlText w:val="-"/>
      <w:lvlJc w:val="left"/>
      <w:pPr>
        <w:ind w:left="383" w:hanging="138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2" w:tplc="255C841C">
      <w:numFmt w:val="bullet"/>
      <w:lvlText w:val="•"/>
      <w:lvlJc w:val="left"/>
      <w:pPr>
        <w:ind w:left="1432" w:hanging="138"/>
      </w:pPr>
      <w:rPr>
        <w:rFonts w:hint="default"/>
        <w:lang w:val="uk-UA" w:eastAsia="en-US" w:bidi="ar-SA"/>
      </w:rPr>
    </w:lvl>
    <w:lvl w:ilvl="3" w:tplc="A72CCE0E">
      <w:numFmt w:val="bullet"/>
      <w:lvlText w:val="•"/>
      <w:lvlJc w:val="left"/>
      <w:pPr>
        <w:ind w:left="2484" w:hanging="138"/>
      </w:pPr>
      <w:rPr>
        <w:rFonts w:hint="default"/>
        <w:lang w:val="uk-UA" w:eastAsia="en-US" w:bidi="ar-SA"/>
      </w:rPr>
    </w:lvl>
    <w:lvl w:ilvl="4" w:tplc="9522C92A">
      <w:numFmt w:val="bullet"/>
      <w:lvlText w:val="•"/>
      <w:lvlJc w:val="left"/>
      <w:pPr>
        <w:ind w:left="3536" w:hanging="138"/>
      </w:pPr>
      <w:rPr>
        <w:rFonts w:hint="default"/>
        <w:lang w:val="uk-UA" w:eastAsia="en-US" w:bidi="ar-SA"/>
      </w:rPr>
    </w:lvl>
    <w:lvl w:ilvl="5" w:tplc="F446BA30">
      <w:numFmt w:val="bullet"/>
      <w:lvlText w:val="•"/>
      <w:lvlJc w:val="left"/>
      <w:pPr>
        <w:ind w:left="4588" w:hanging="138"/>
      </w:pPr>
      <w:rPr>
        <w:rFonts w:hint="default"/>
        <w:lang w:val="uk-UA" w:eastAsia="en-US" w:bidi="ar-SA"/>
      </w:rPr>
    </w:lvl>
    <w:lvl w:ilvl="6" w:tplc="32568D7E">
      <w:numFmt w:val="bullet"/>
      <w:lvlText w:val="•"/>
      <w:lvlJc w:val="left"/>
      <w:pPr>
        <w:ind w:left="5640" w:hanging="138"/>
      </w:pPr>
      <w:rPr>
        <w:rFonts w:hint="default"/>
        <w:lang w:val="uk-UA" w:eastAsia="en-US" w:bidi="ar-SA"/>
      </w:rPr>
    </w:lvl>
    <w:lvl w:ilvl="7" w:tplc="9A6EFD2C">
      <w:numFmt w:val="bullet"/>
      <w:lvlText w:val="•"/>
      <w:lvlJc w:val="left"/>
      <w:pPr>
        <w:ind w:left="6692" w:hanging="138"/>
      </w:pPr>
      <w:rPr>
        <w:rFonts w:hint="default"/>
        <w:lang w:val="uk-UA" w:eastAsia="en-US" w:bidi="ar-SA"/>
      </w:rPr>
    </w:lvl>
    <w:lvl w:ilvl="8" w:tplc="0C6CDD60">
      <w:numFmt w:val="bullet"/>
      <w:lvlText w:val="•"/>
      <w:lvlJc w:val="left"/>
      <w:pPr>
        <w:ind w:left="7744" w:hanging="138"/>
      </w:pPr>
      <w:rPr>
        <w:rFonts w:hint="default"/>
        <w:lang w:val="uk-UA" w:eastAsia="en-US" w:bidi="ar-SA"/>
      </w:rPr>
    </w:lvl>
  </w:abstractNum>
  <w:abstractNum w:abstractNumId="1" w15:restartNumberingAfterBreak="0">
    <w:nsid w:val="2AE83463"/>
    <w:multiLevelType w:val="hybridMultilevel"/>
    <w:tmpl w:val="0C7080AE"/>
    <w:lvl w:ilvl="0" w:tplc="29169780">
      <w:start w:val="1"/>
      <w:numFmt w:val="decimal"/>
      <w:lvlText w:val="%1."/>
      <w:lvlJc w:val="left"/>
      <w:pPr>
        <w:ind w:left="383" w:hanging="232"/>
        <w:jc w:val="left"/>
      </w:pPr>
      <w:rPr>
        <w:rFonts w:ascii="Arial MT" w:eastAsia="Arial MT" w:hAnsi="Arial MT" w:cs="Arial MT" w:hint="default"/>
        <w:color w:val="231F20"/>
        <w:spacing w:val="-1"/>
        <w:w w:val="100"/>
        <w:sz w:val="18"/>
        <w:szCs w:val="18"/>
        <w:lang w:val="uk-UA" w:eastAsia="en-US" w:bidi="ar-SA"/>
      </w:rPr>
    </w:lvl>
    <w:lvl w:ilvl="1" w:tplc="ACB63C9A">
      <w:numFmt w:val="bullet"/>
      <w:lvlText w:val="•"/>
      <w:lvlJc w:val="left"/>
      <w:pPr>
        <w:ind w:left="1326" w:hanging="232"/>
      </w:pPr>
      <w:rPr>
        <w:rFonts w:hint="default"/>
        <w:lang w:val="uk-UA" w:eastAsia="en-US" w:bidi="ar-SA"/>
      </w:rPr>
    </w:lvl>
    <w:lvl w:ilvl="2" w:tplc="387C6C1C">
      <w:numFmt w:val="bullet"/>
      <w:lvlText w:val="•"/>
      <w:lvlJc w:val="left"/>
      <w:pPr>
        <w:ind w:left="2273" w:hanging="232"/>
      </w:pPr>
      <w:rPr>
        <w:rFonts w:hint="default"/>
        <w:lang w:val="uk-UA" w:eastAsia="en-US" w:bidi="ar-SA"/>
      </w:rPr>
    </w:lvl>
    <w:lvl w:ilvl="3" w:tplc="FD32ED36">
      <w:numFmt w:val="bullet"/>
      <w:lvlText w:val="•"/>
      <w:lvlJc w:val="left"/>
      <w:pPr>
        <w:ind w:left="3220" w:hanging="232"/>
      </w:pPr>
      <w:rPr>
        <w:rFonts w:hint="default"/>
        <w:lang w:val="uk-UA" w:eastAsia="en-US" w:bidi="ar-SA"/>
      </w:rPr>
    </w:lvl>
    <w:lvl w:ilvl="4" w:tplc="E61C870E">
      <w:numFmt w:val="bullet"/>
      <w:lvlText w:val="•"/>
      <w:lvlJc w:val="left"/>
      <w:pPr>
        <w:ind w:left="4167" w:hanging="232"/>
      </w:pPr>
      <w:rPr>
        <w:rFonts w:hint="default"/>
        <w:lang w:val="uk-UA" w:eastAsia="en-US" w:bidi="ar-SA"/>
      </w:rPr>
    </w:lvl>
    <w:lvl w:ilvl="5" w:tplc="A8F07DE4">
      <w:numFmt w:val="bullet"/>
      <w:lvlText w:val="•"/>
      <w:lvlJc w:val="left"/>
      <w:pPr>
        <w:ind w:left="5114" w:hanging="232"/>
      </w:pPr>
      <w:rPr>
        <w:rFonts w:hint="default"/>
        <w:lang w:val="uk-UA" w:eastAsia="en-US" w:bidi="ar-SA"/>
      </w:rPr>
    </w:lvl>
    <w:lvl w:ilvl="6" w:tplc="FF62DDEC">
      <w:numFmt w:val="bullet"/>
      <w:lvlText w:val="•"/>
      <w:lvlJc w:val="left"/>
      <w:pPr>
        <w:ind w:left="6061" w:hanging="232"/>
      </w:pPr>
      <w:rPr>
        <w:rFonts w:hint="default"/>
        <w:lang w:val="uk-UA" w:eastAsia="en-US" w:bidi="ar-SA"/>
      </w:rPr>
    </w:lvl>
    <w:lvl w:ilvl="7" w:tplc="24A08E60">
      <w:numFmt w:val="bullet"/>
      <w:lvlText w:val="•"/>
      <w:lvlJc w:val="left"/>
      <w:pPr>
        <w:ind w:left="7008" w:hanging="232"/>
      </w:pPr>
      <w:rPr>
        <w:rFonts w:hint="default"/>
        <w:lang w:val="uk-UA" w:eastAsia="en-US" w:bidi="ar-SA"/>
      </w:rPr>
    </w:lvl>
    <w:lvl w:ilvl="8" w:tplc="6A5CE980">
      <w:numFmt w:val="bullet"/>
      <w:lvlText w:val="•"/>
      <w:lvlJc w:val="left"/>
      <w:pPr>
        <w:ind w:left="7954" w:hanging="232"/>
      </w:pPr>
      <w:rPr>
        <w:rFonts w:hint="default"/>
        <w:lang w:val="uk-UA" w:eastAsia="en-US" w:bidi="ar-SA"/>
      </w:rPr>
    </w:lvl>
  </w:abstractNum>
  <w:abstractNum w:abstractNumId="2" w15:restartNumberingAfterBreak="0">
    <w:nsid w:val="2F516B7E"/>
    <w:multiLevelType w:val="hybridMultilevel"/>
    <w:tmpl w:val="31306E12"/>
    <w:lvl w:ilvl="0" w:tplc="0F5CAEEC">
      <w:numFmt w:val="bullet"/>
      <w:lvlText w:val="-"/>
      <w:lvlJc w:val="left"/>
      <w:pPr>
        <w:ind w:left="213" w:hanging="147"/>
      </w:pPr>
      <w:rPr>
        <w:rFonts w:ascii="Times New Roman" w:eastAsia="Times New Roman" w:hAnsi="Times New Roman" w:cs="Times New Roman" w:hint="default"/>
        <w:color w:val="231F20"/>
        <w:w w:val="100"/>
        <w:sz w:val="21"/>
        <w:szCs w:val="21"/>
        <w:lang w:val="uk-UA" w:eastAsia="en-US" w:bidi="ar-SA"/>
      </w:rPr>
    </w:lvl>
    <w:lvl w:ilvl="1" w:tplc="1C1A61D0">
      <w:numFmt w:val="bullet"/>
      <w:lvlText w:val="•"/>
      <w:lvlJc w:val="left"/>
      <w:pPr>
        <w:ind w:left="1182" w:hanging="147"/>
      </w:pPr>
      <w:rPr>
        <w:rFonts w:hint="default"/>
        <w:lang w:val="uk-UA" w:eastAsia="en-US" w:bidi="ar-SA"/>
      </w:rPr>
    </w:lvl>
    <w:lvl w:ilvl="2" w:tplc="F820A420">
      <w:numFmt w:val="bullet"/>
      <w:lvlText w:val="•"/>
      <w:lvlJc w:val="left"/>
      <w:pPr>
        <w:ind w:left="2145" w:hanging="147"/>
      </w:pPr>
      <w:rPr>
        <w:rFonts w:hint="default"/>
        <w:lang w:val="uk-UA" w:eastAsia="en-US" w:bidi="ar-SA"/>
      </w:rPr>
    </w:lvl>
    <w:lvl w:ilvl="3" w:tplc="CF6CE982">
      <w:numFmt w:val="bullet"/>
      <w:lvlText w:val="•"/>
      <w:lvlJc w:val="left"/>
      <w:pPr>
        <w:ind w:left="3108" w:hanging="147"/>
      </w:pPr>
      <w:rPr>
        <w:rFonts w:hint="default"/>
        <w:lang w:val="uk-UA" w:eastAsia="en-US" w:bidi="ar-SA"/>
      </w:rPr>
    </w:lvl>
    <w:lvl w:ilvl="4" w:tplc="CE1A741E">
      <w:numFmt w:val="bullet"/>
      <w:lvlText w:val="•"/>
      <w:lvlJc w:val="left"/>
      <w:pPr>
        <w:ind w:left="4071" w:hanging="147"/>
      </w:pPr>
      <w:rPr>
        <w:rFonts w:hint="default"/>
        <w:lang w:val="uk-UA" w:eastAsia="en-US" w:bidi="ar-SA"/>
      </w:rPr>
    </w:lvl>
    <w:lvl w:ilvl="5" w:tplc="47981A0A">
      <w:numFmt w:val="bullet"/>
      <w:lvlText w:val="•"/>
      <w:lvlJc w:val="left"/>
      <w:pPr>
        <w:ind w:left="5034" w:hanging="147"/>
      </w:pPr>
      <w:rPr>
        <w:rFonts w:hint="default"/>
        <w:lang w:val="uk-UA" w:eastAsia="en-US" w:bidi="ar-SA"/>
      </w:rPr>
    </w:lvl>
    <w:lvl w:ilvl="6" w:tplc="5E30C54C">
      <w:numFmt w:val="bullet"/>
      <w:lvlText w:val="•"/>
      <w:lvlJc w:val="left"/>
      <w:pPr>
        <w:ind w:left="5997" w:hanging="147"/>
      </w:pPr>
      <w:rPr>
        <w:rFonts w:hint="default"/>
        <w:lang w:val="uk-UA" w:eastAsia="en-US" w:bidi="ar-SA"/>
      </w:rPr>
    </w:lvl>
    <w:lvl w:ilvl="7" w:tplc="7AF6CF40">
      <w:numFmt w:val="bullet"/>
      <w:lvlText w:val="•"/>
      <w:lvlJc w:val="left"/>
      <w:pPr>
        <w:ind w:left="6960" w:hanging="147"/>
      </w:pPr>
      <w:rPr>
        <w:rFonts w:hint="default"/>
        <w:lang w:val="uk-UA" w:eastAsia="en-US" w:bidi="ar-SA"/>
      </w:rPr>
    </w:lvl>
    <w:lvl w:ilvl="8" w:tplc="6E622198">
      <w:numFmt w:val="bullet"/>
      <w:lvlText w:val="•"/>
      <w:lvlJc w:val="left"/>
      <w:pPr>
        <w:ind w:left="7922" w:hanging="147"/>
      </w:pPr>
      <w:rPr>
        <w:rFonts w:hint="default"/>
        <w:lang w:val="uk-UA" w:eastAsia="en-US" w:bidi="ar-SA"/>
      </w:rPr>
    </w:lvl>
  </w:abstractNum>
  <w:num w:numId="1">
    <w:abstractNumId w:val="1"/>
  </w:num>
  <w:num w:numId="2">
    <w:abstractNumId w:val="2"/>
  </w:num>
  <w:num w:numId="3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8DE"/>
    <w:rsid w:val="00C908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230E33C-339B-47B2-B27B-48169F926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1" w:unhideWhenUsed="1" w:qFormat="1"/>
    <w:lsdException w:name="toc 4" w:semiHidden="1" w:uiPriority="1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908D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9"/>
    <w:qFormat/>
    <w:rsid w:val="00C908DE"/>
    <w:pPr>
      <w:spacing w:before="144"/>
      <w:ind w:left="124"/>
      <w:jc w:val="right"/>
      <w:outlineLvl w:val="0"/>
    </w:pPr>
    <w:rPr>
      <w:b/>
      <w:bCs/>
      <w:sz w:val="24"/>
      <w:szCs w:val="24"/>
    </w:rPr>
  </w:style>
  <w:style w:type="paragraph" w:styleId="2">
    <w:name w:val="heading 2"/>
    <w:basedOn w:val="a"/>
    <w:link w:val="20"/>
    <w:uiPriority w:val="9"/>
    <w:unhideWhenUsed/>
    <w:qFormat/>
    <w:rsid w:val="00C908DE"/>
    <w:pPr>
      <w:spacing w:before="10"/>
      <w:ind w:left="720"/>
      <w:jc w:val="center"/>
      <w:outlineLvl w:val="1"/>
    </w:pPr>
    <w:rPr>
      <w:rFonts w:ascii="Cambria" w:eastAsia="Cambria" w:hAnsi="Cambria" w:cs="Cambria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C908DE"/>
    <w:pPr>
      <w:spacing w:before="74"/>
      <w:ind w:left="406"/>
      <w:outlineLvl w:val="2"/>
    </w:pPr>
  </w:style>
  <w:style w:type="paragraph" w:styleId="4">
    <w:name w:val="heading 4"/>
    <w:basedOn w:val="a"/>
    <w:link w:val="40"/>
    <w:uiPriority w:val="9"/>
    <w:unhideWhenUsed/>
    <w:qFormat/>
    <w:rsid w:val="00C908DE"/>
    <w:pPr>
      <w:ind w:left="383"/>
      <w:jc w:val="both"/>
      <w:outlineLvl w:val="3"/>
    </w:pPr>
    <w:rPr>
      <w:b/>
      <w:b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908DE"/>
    <w:rPr>
      <w:rFonts w:ascii="Times New Roman" w:eastAsia="Times New Roman" w:hAnsi="Times New Roman" w:cs="Times New Roman"/>
      <w:b/>
      <w:bCs/>
      <w:sz w:val="24"/>
      <w:szCs w:val="24"/>
      <w:lang w:val="uk-UA"/>
    </w:rPr>
  </w:style>
  <w:style w:type="character" w:customStyle="1" w:styleId="20">
    <w:name w:val="Заголовок 2 Знак"/>
    <w:basedOn w:val="a0"/>
    <w:link w:val="2"/>
    <w:uiPriority w:val="9"/>
    <w:rsid w:val="00C908DE"/>
    <w:rPr>
      <w:rFonts w:ascii="Cambria" w:eastAsia="Cambria" w:hAnsi="Cambria" w:cs="Cambria"/>
      <w:sz w:val="24"/>
      <w:szCs w:val="24"/>
      <w:lang w:val="uk-UA"/>
    </w:rPr>
  </w:style>
  <w:style w:type="character" w:customStyle="1" w:styleId="30">
    <w:name w:val="Заголовок 3 Знак"/>
    <w:basedOn w:val="a0"/>
    <w:link w:val="3"/>
    <w:uiPriority w:val="9"/>
    <w:rsid w:val="00C908DE"/>
    <w:rPr>
      <w:rFonts w:ascii="Times New Roman" w:eastAsia="Times New Roman" w:hAnsi="Times New Roman" w:cs="Times New Roman"/>
      <w:lang w:val="uk-UA"/>
    </w:rPr>
  </w:style>
  <w:style w:type="character" w:customStyle="1" w:styleId="40">
    <w:name w:val="Заголовок 4 Знак"/>
    <w:basedOn w:val="a0"/>
    <w:link w:val="4"/>
    <w:uiPriority w:val="9"/>
    <w:rsid w:val="00C908DE"/>
    <w:rPr>
      <w:rFonts w:ascii="Times New Roman" w:eastAsia="Times New Roman" w:hAnsi="Times New Roman" w:cs="Times New Roman"/>
      <w:b/>
      <w:bCs/>
      <w:sz w:val="21"/>
      <w:szCs w:val="21"/>
      <w:lang w:val="uk-UA"/>
    </w:rPr>
  </w:style>
  <w:style w:type="table" w:customStyle="1" w:styleId="TableNormal">
    <w:name w:val="Table Normal"/>
    <w:uiPriority w:val="2"/>
    <w:semiHidden/>
    <w:unhideWhenUsed/>
    <w:qFormat/>
    <w:rsid w:val="00C908DE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C908DE"/>
    <w:pPr>
      <w:spacing w:before="22"/>
      <w:ind w:left="440"/>
    </w:pPr>
    <w:rPr>
      <w:sz w:val="20"/>
      <w:szCs w:val="20"/>
    </w:rPr>
  </w:style>
  <w:style w:type="paragraph" w:styleId="21">
    <w:name w:val="toc 2"/>
    <w:basedOn w:val="a"/>
    <w:uiPriority w:val="1"/>
    <w:qFormat/>
    <w:rsid w:val="00C908DE"/>
    <w:pPr>
      <w:spacing w:before="22"/>
      <w:ind w:left="610"/>
    </w:pPr>
    <w:rPr>
      <w:sz w:val="20"/>
      <w:szCs w:val="20"/>
    </w:rPr>
  </w:style>
  <w:style w:type="paragraph" w:styleId="31">
    <w:name w:val="toc 3"/>
    <w:basedOn w:val="a"/>
    <w:uiPriority w:val="1"/>
    <w:qFormat/>
    <w:rsid w:val="00C908DE"/>
    <w:pPr>
      <w:spacing w:before="274"/>
      <w:ind w:left="610"/>
    </w:pPr>
    <w:rPr>
      <w:b/>
      <w:bCs/>
      <w:i/>
      <w:iCs/>
    </w:rPr>
  </w:style>
  <w:style w:type="paragraph" w:styleId="41">
    <w:name w:val="toc 4"/>
    <w:basedOn w:val="a"/>
    <w:uiPriority w:val="1"/>
    <w:qFormat/>
    <w:rsid w:val="00C908DE"/>
    <w:pPr>
      <w:spacing w:before="74"/>
      <w:ind w:left="2968"/>
    </w:pPr>
  </w:style>
  <w:style w:type="paragraph" w:styleId="a3">
    <w:name w:val="Body Text"/>
    <w:basedOn w:val="a"/>
    <w:link w:val="a4"/>
    <w:uiPriority w:val="1"/>
    <w:qFormat/>
    <w:rsid w:val="00C908DE"/>
    <w:pPr>
      <w:ind w:firstLine="283"/>
      <w:jc w:val="both"/>
    </w:pPr>
    <w:rPr>
      <w:sz w:val="21"/>
      <w:szCs w:val="21"/>
    </w:rPr>
  </w:style>
  <w:style w:type="character" w:customStyle="1" w:styleId="a4">
    <w:name w:val="Основной текст Знак"/>
    <w:basedOn w:val="a0"/>
    <w:link w:val="a3"/>
    <w:uiPriority w:val="1"/>
    <w:rsid w:val="00C908DE"/>
    <w:rPr>
      <w:rFonts w:ascii="Times New Roman" w:eastAsia="Times New Roman" w:hAnsi="Times New Roman" w:cs="Times New Roman"/>
      <w:sz w:val="21"/>
      <w:szCs w:val="21"/>
      <w:lang w:val="uk-UA"/>
    </w:rPr>
  </w:style>
  <w:style w:type="paragraph" w:styleId="a5">
    <w:name w:val="Title"/>
    <w:basedOn w:val="a"/>
    <w:link w:val="a6"/>
    <w:uiPriority w:val="10"/>
    <w:qFormat/>
    <w:rsid w:val="00C908DE"/>
    <w:pPr>
      <w:spacing w:before="116"/>
      <w:ind w:left="381" w:right="729"/>
      <w:jc w:val="center"/>
    </w:pPr>
    <w:rPr>
      <w:b/>
      <w:bCs/>
      <w:sz w:val="48"/>
      <w:szCs w:val="48"/>
    </w:rPr>
  </w:style>
  <w:style w:type="character" w:customStyle="1" w:styleId="a6">
    <w:name w:val="Заголовок Знак"/>
    <w:basedOn w:val="a0"/>
    <w:link w:val="a5"/>
    <w:uiPriority w:val="10"/>
    <w:rsid w:val="00C908DE"/>
    <w:rPr>
      <w:rFonts w:ascii="Times New Roman" w:eastAsia="Times New Roman" w:hAnsi="Times New Roman" w:cs="Times New Roman"/>
      <w:b/>
      <w:bCs/>
      <w:sz w:val="48"/>
      <w:szCs w:val="48"/>
      <w:lang w:val="uk-UA"/>
    </w:rPr>
  </w:style>
  <w:style w:type="paragraph" w:styleId="a7">
    <w:name w:val="List Paragraph"/>
    <w:basedOn w:val="a"/>
    <w:uiPriority w:val="1"/>
    <w:qFormat/>
    <w:rsid w:val="00C908DE"/>
    <w:pPr>
      <w:ind w:left="213" w:firstLine="283"/>
      <w:jc w:val="both"/>
    </w:pPr>
    <w:rPr>
      <w:rFonts w:ascii="Arial MT" w:eastAsia="Arial MT" w:hAnsi="Arial MT" w:cs="Arial MT"/>
    </w:rPr>
  </w:style>
  <w:style w:type="paragraph" w:customStyle="1" w:styleId="TableParagraph">
    <w:name w:val="Table Paragraph"/>
    <w:basedOn w:val="a"/>
    <w:uiPriority w:val="1"/>
    <w:qFormat/>
    <w:rsid w:val="00C908DE"/>
    <w:pPr>
      <w:spacing w:before="116"/>
      <w:ind w:left="229"/>
    </w:pPr>
    <w:rPr>
      <w:rFonts w:ascii="Trebuchet MS" w:eastAsia="Trebuchet MS" w:hAnsi="Trebuchet MS" w:cs="Trebuchet M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justinian.com.ua/article.php?id=1713" TargetMode="External"/><Relationship Id="rId5" Type="http://schemas.openxmlformats.org/officeDocument/2006/relationships/hyperlink" Target="mailto:St_kravchuk@ukr.ne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3665</Words>
  <Characters>20892</Characters>
  <Application>Microsoft Office Word</Application>
  <DocSecurity>0</DocSecurity>
  <Lines>174</Lines>
  <Paragraphs>49</Paragraphs>
  <ScaleCrop>false</ScaleCrop>
  <Company/>
  <LinksUpToDate>false</LinksUpToDate>
  <CharactersWithSpaces>24508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Kravchuk</dc:creator>
  <cp:keywords/>
  <dc:description/>
  <cp:lastModifiedBy>Kravchuk</cp:lastModifiedBy>
  <cp:revision>1</cp:revision>
  <dcterms:created xsi:type="dcterms:W3CDTF">2022-08-05T17:46:00Z</dcterms:created>
  <dcterms:modified xsi:type="dcterms:W3CDTF">2022-08-05T17:46:00Z</dcterms:modified>
</cp:coreProperties>
</file>